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B716">
      <w:pPr>
        <w:pStyle w:val="18"/>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邹城市钢山街道办事处崇义家园楼梯间热力改造工程</w:t>
      </w:r>
    </w:p>
    <w:p w14:paraId="2DFC204C">
      <w:pPr>
        <w:pStyle w:val="18"/>
        <w:jc w:val="center"/>
        <w:rPr>
          <w:rFonts w:hint="eastAsia" w:hAnsi="宋体"/>
          <w:b/>
          <w:color w:val="auto"/>
          <w:sz w:val="52"/>
          <w:szCs w:val="52"/>
          <w:lang w:eastAsia="zh-CN"/>
        </w:rPr>
      </w:pPr>
    </w:p>
    <w:p w14:paraId="2CC7E217">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14:paraId="2D3D12F1">
      <w:pPr>
        <w:pStyle w:val="18"/>
        <w:jc w:val="center"/>
        <w:rPr>
          <w:rFonts w:hint="eastAsia" w:hAnsi="宋体" w:eastAsia="宋体"/>
          <w:b/>
          <w:color w:val="auto"/>
          <w:sz w:val="18"/>
          <w:szCs w:val="18"/>
          <w:lang w:eastAsia="zh-CN"/>
        </w:rPr>
      </w:pPr>
    </w:p>
    <w:p w14:paraId="43C55680">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YGZD-GSJD2024-0919</w:t>
      </w:r>
    </w:p>
    <w:p w14:paraId="5CB8D601">
      <w:pPr>
        <w:jc w:val="center"/>
        <w:rPr>
          <w:rFonts w:ascii="宋体" w:hAnsi="宋体"/>
          <w:b/>
          <w:color w:val="auto"/>
          <w:sz w:val="36"/>
          <w:szCs w:val="36"/>
        </w:rPr>
      </w:pPr>
    </w:p>
    <w:p w14:paraId="6ED48152">
      <w:pPr>
        <w:jc w:val="center"/>
        <w:rPr>
          <w:rFonts w:ascii="宋体" w:hAnsi="宋体"/>
          <w:b/>
          <w:color w:val="auto"/>
          <w:sz w:val="36"/>
          <w:szCs w:val="36"/>
        </w:rPr>
      </w:pPr>
    </w:p>
    <w:p w14:paraId="5AE4D7DC">
      <w:pPr>
        <w:jc w:val="center"/>
        <w:rPr>
          <w:rFonts w:ascii="宋体" w:hAnsi="宋体"/>
          <w:b/>
          <w:bCs/>
          <w:color w:val="auto"/>
          <w:kern w:val="16"/>
          <w:sz w:val="36"/>
          <w:szCs w:val="36"/>
        </w:rPr>
      </w:pPr>
    </w:p>
    <w:p w14:paraId="63644B83">
      <w:pPr>
        <w:pStyle w:val="10"/>
        <w:rPr>
          <w:rFonts w:ascii="宋体" w:hAnsi="宋体"/>
          <w:b/>
          <w:bCs/>
          <w:color w:val="auto"/>
          <w:kern w:val="16"/>
          <w:sz w:val="36"/>
          <w:szCs w:val="36"/>
        </w:rPr>
      </w:pPr>
    </w:p>
    <w:p w14:paraId="0511BFDE">
      <w:pPr>
        <w:rPr>
          <w:rFonts w:ascii="宋体" w:hAnsi="宋体"/>
          <w:b/>
          <w:bCs/>
          <w:color w:val="auto"/>
          <w:kern w:val="16"/>
          <w:sz w:val="36"/>
          <w:szCs w:val="36"/>
        </w:rPr>
      </w:pPr>
    </w:p>
    <w:p w14:paraId="1310C065">
      <w:pPr>
        <w:rPr>
          <w:rFonts w:ascii="宋体" w:hAnsi="宋体"/>
          <w:b/>
          <w:bCs/>
          <w:color w:val="auto"/>
          <w:kern w:val="16"/>
          <w:sz w:val="36"/>
          <w:szCs w:val="36"/>
        </w:rPr>
      </w:pPr>
    </w:p>
    <w:p w14:paraId="33AFBB1B">
      <w:pPr>
        <w:pStyle w:val="85"/>
        <w:spacing w:line="600" w:lineRule="auto"/>
        <w:ind w:firstLine="1446" w:firstLineChars="400"/>
        <w:jc w:val="both"/>
        <w:rPr>
          <w:rFonts w:hint="eastAsia" w:ascii="宋体" w:hAnsi="宋体"/>
          <w:b/>
          <w:color w:val="auto"/>
          <w:sz w:val="36"/>
          <w:szCs w:val="36"/>
        </w:rPr>
      </w:pPr>
    </w:p>
    <w:p w14:paraId="61728ACE">
      <w:pPr>
        <w:pStyle w:val="85"/>
        <w:spacing w:line="600" w:lineRule="auto"/>
        <w:ind w:firstLine="1446" w:firstLineChars="400"/>
        <w:jc w:val="both"/>
        <w:rPr>
          <w:rFonts w:hint="eastAsia" w:ascii="宋体" w:hAnsi="宋体"/>
          <w:b/>
          <w:color w:val="auto"/>
          <w:sz w:val="36"/>
          <w:szCs w:val="36"/>
        </w:rPr>
      </w:pPr>
    </w:p>
    <w:p w14:paraId="7EC2A74E">
      <w:pPr>
        <w:pStyle w:val="85"/>
        <w:spacing w:line="600" w:lineRule="auto"/>
        <w:ind w:firstLine="1446" w:firstLineChars="400"/>
        <w:jc w:val="both"/>
        <w:rPr>
          <w:rFonts w:hint="eastAsia" w:ascii="宋体" w:hAnsi="宋体"/>
          <w:b/>
          <w:color w:val="auto"/>
          <w:sz w:val="36"/>
          <w:szCs w:val="36"/>
        </w:rPr>
      </w:pPr>
    </w:p>
    <w:p w14:paraId="57485BB4">
      <w:pPr>
        <w:pStyle w:val="85"/>
        <w:spacing w:line="600" w:lineRule="auto"/>
        <w:ind w:firstLine="1446" w:firstLineChars="400"/>
        <w:jc w:val="both"/>
        <w:rPr>
          <w:rFonts w:hint="eastAsia" w:ascii="宋体" w:hAnsi="宋体"/>
          <w:b/>
          <w:color w:val="auto"/>
          <w:sz w:val="36"/>
          <w:szCs w:val="36"/>
        </w:rPr>
      </w:pPr>
    </w:p>
    <w:p w14:paraId="0F5DDC13">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邹城市钢山街道崇义庄村村民委员会</w:t>
      </w:r>
    </w:p>
    <w:p w14:paraId="0D0217CC">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山东阳光正大建设项目管理有限公司</w:t>
      </w:r>
    </w:p>
    <w:p w14:paraId="1A4FB62F">
      <w:pPr>
        <w:tabs>
          <w:tab w:val="left" w:pos="1080"/>
        </w:tabs>
        <w:spacing w:line="600" w:lineRule="auto"/>
        <w:ind w:firstLine="1446" w:firstLineChars="400"/>
        <w:rPr>
          <w:rFonts w:ascii="宋体" w:hAnsi="宋体"/>
          <w:b/>
          <w:color w:val="auto"/>
          <w:sz w:val="36"/>
          <w:szCs w:val="36"/>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四</w:t>
      </w:r>
      <w:r>
        <w:rPr>
          <w:rFonts w:hint="eastAsia" w:ascii="宋体" w:hAnsi="宋体"/>
          <w:b/>
          <w:color w:val="auto"/>
          <w:sz w:val="36"/>
          <w:szCs w:val="36"/>
        </w:rPr>
        <w:t>年</w:t>
      </w:r>
      <w:r>
        <w:rPr>
          <w:rFonts w:hint="eastAsia" w:ascii="宋体" w:hAnsi="宋体"/>
          <w:b/>
          <w:color w:val="auto"/>
          <w:sz w:val="36"/>
          <w:szCs w:val="36"/>
          <w:lang w:eastAsia="zh-CN"/>
        </w:rPr>
        <w:t>九</w:t>
      </w:r>
      <w:r>
        <w:rPr>
          <w:rFonts w:hint="eastAsia" w:ascii="宋体" w:hAnsi="宋体"/>
          <w:b/>
          <w:color w:val="auto"/>
          <w:sz w:val="36"/>
          <w:szCs w:val="36"/>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40FEAF89">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05E9238A">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14:paraId="5F79D498">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BA63B10">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AC3BD2">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9B94CE">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48A765A">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743DA7">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3C548A8">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14:paraId="48A14670">
      <w:pPr>
        <w:spacing w:line="360" w:lineRule="auto"/>
        <w:jc w:val="center"/>
        <w:outlineLvl w:val="9"/>
        <w:rPr>
          <w:rFonts w:ascii="宋体" w:hAnsi="宋体"/>
          <w:b/>
          <w:color w:val="auto"/>
          <w:sz w:val="32"/>
          <w:szCs w:val="32"/>
        </w:rPr>
      </w:pPr>
      <w:bookmarkStart w:id="4" w:name="_Toc15040"/>
    </w:p>
    <w:p w14:paraId="7207DBF6">
      <w:pPr>
        <w:spacing w:line="360" w:lineRule="auto"/>
        <w:jc w:val="center"/>
        <w:outlineLvl w:val="9"/>
        <w:rPr>
          <w:rFonts w:ascii="宋体" w:hAnsi="宋体"/>
          <w:b/>
          <w:color w:val="auto"/>
          <w:sz w:val="32"/>
          <w:szCs w:val="32"/>
        </w:rPr>
      </w:pPr>
    </w:p>
    <w:p w14:paraId="55535E10">
      <w:pPr>
        <w:spacing w:line="360" w:lineRule="auto"/>
        <w:jc w:val="center"/>
        <w:outlineLvl w:val="9"/>
        <w:rPr>
          <w:rFonts w:ascii="宋体" w:hAnsi="宋体"/>
          <w:color w:val="auto"/>
          <w:sz w:val="32"/>
          <w:szCs w:val="32"/>
        </w:rPr>
      </w:pPr>
    </w:p>
    <w:p w14:paraId="26880072">
      <w:pPr>
        <w:tabs>
          <w:tab w:val="left" w:pos="6210"/>
        </w:tabs>
        <w:rPr>
          <w:rFonts w:ascii="宋体" w:hAnsi="宋体"/>
          <w:color w:val="auto"/>
          <w:sz w:val="32"/>
          <w:szCs w:val="32"/>
        </w:rPr>
        <w:sectPr>
          <w:headerReference r:id="rId7" w:type="default"/>
          <w:footerReference r:id="rId8"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14:paraId="1C62FE24">
      <w:pPr>
        <w:pStyle w:val="3"/>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14:paraId="0AE6A364">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6" w:name="_Hlk62638239"/>
      <w:r>
        <w:rPr>
          <w:rFonts w:hint="eastAsia" w:ascii="宋体" w:hAnsi="宋体" w:cs="Helvetica"/>
          <w:b/>
          <w:bCs/>
          <w:color w:val="auto"/>
          <w:kern w:val="0"/>
          <w:sz w:val="24"/>
          <w:lang w:val="en" w:eastAsia="zh-CN"/>
        </w:rPr>
        <w:t>邹城市钢山街道办事处崇义家园楼梯间热力改造工程</w:t>
      </w:r>
    </w:p>
    <w:p w14:paraId="737E155A">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14:paraId="3EFC4338">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邹城市钢山街道崇义庄村村民委员会</w:t>
      </w:r>
    </w:p>
    <w:p w14:paraId="7E5CD562">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邹城市钢山街道办事处崇义家园楼梯间热力改造工程</w:t>
      </w:r>
    </w:p>
    <w:p w14:paraId="72089A75">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YGZD-GSJD2024-0919</w:t>
      </w:r>
    </w:p>
    <w:p w14:paraId="2B8FFC39">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14:paraId="415938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szCs w:val="24"/>
          <w:lang w:eastAsia="zh-CN"/>
        </w:rPr>
        <w:t>邹城市钢山街道办事处崇义家园楼梯间热力改造工程包括图纸范围内（以施工界面划分为准）的全部内容，主要包括挖槽、土石方回填、给排水、采暖，燃气安装等全部内容（详见工程量清单，以工程量清单为准）。</w:t>
      </w:r>
      <w:r>
        <w:rPr>
          <w:rFonts w:hint="eastAsia" w:ascii="宋体" w:hAnsi="宋体" w:eastAsia="宋体" w:cs="宋体"/>
          <w:color w:val="auto"/>
          <w:sz w:val="24"/>
          <w:szCs w:val="24"/>
          <w:lang w:eastAsia="zh-CN"/>
        </w:rPr>
        <w:t>采购预算为1011667.94元 (详见第四章采购内容及要求)</w:t>
      </w:r>
      <w:r>
        <w:rPr>
          <w:rFonts w:hint="eastAsia" w:ascii="宋体" w:hAnsi="宋体" w:cs="宋体"/>
          <w:color w:val="auto"/>
          <w:kern w:val="0"/>
          <w:sz w:val="24"/>
          <w:shd w:val="clear" w:color="auto" w:fill="FFFFFF"/>
          <w:lang w:val="en-US" w:eastAsia="zh-CN" w:bidi="ar"/>
        </w:rPr>
        <w:t>。</w:t>
      </w:r>
    </w:p>
    <w:p w14:paraId="4A8221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14:paraId="57EBB84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09C9037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48191F8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7D291F2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33AC6D0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41A4DB9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5DCD9F2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14:paraId="0CFEE1C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建筑工程施工总承包三级或建筑机电安装工程专业承包三级（含）以上资质，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cs="宋体"/>
          <w:bCs/>
          <w:color w:val="auto"/>
          <w:kern w:val="0"/>
          <w:sz w:val="24"/>
        </w:rPr>
        <w:t>。</w:t>
      </w:r>
    </w:p>
    <w:p w14:paraId="09E1330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6FD4FB4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建造师注册证（原件或加盖单位公章复印件）及建造师安全生产考核合格证B证（原件或加盖单位公章复印件）、</w:t>
      </w:r>
      <w:r>
        <w:rPr>
          <w:rFonts w:hint="eastAsia" w:ascii="宋体" w:hAnsi="宋体" w:cs="宋体"/>
          <w:b/>
          <w:bCs w:val="0"/>
          <w:color w:val="auto"/>
          <w:kern w:val="0"/>
          <w:sz w:val="24"/>
          <w:lang w:eastAsia="zh-CN"/>
        </w:rPr>
        <w:t>磋商保证金缴纳凭证、</w:t>
      </w:r>
      <w:r>
        <w:rPr>
          <w:rFonts w:hint="eastAsia" w:ascii="宋体" w:hAnsi="宋体" w:cs="宋体"/>
          <w:b/>
          <w:bCs w:val="0"/>
          <w:color w:val="auto"/>
          <w:kern w:val="0"/>
          <w:sz w:val="24"/>
        </w:rPr>
        <w:t>法定代表人或授权委托人有效身份证原件及法人授权委托书原件以及竞争性磋商文件第三部分磋商组织、步骤与评审方法中要求的相关证件资料等。</w:t>
      </w:r>
    </w:p>
    <w:p w14:paraId="62D6061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03700E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14:paraId="3880D54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14:paraId="1C19E1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lang w:eastAsia="zh-CN"/>
        </w:rPr>
        <w:t>日至</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09时00分</w:t>
      </w:r>
    </w:p>
    <w:p w14:paraId="3628FC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14:paraId="6B2479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14:paraId="576787C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14:paraId="08F83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邹城市钢山街道崇义庄村村民委员会</w:t>
      </w:r>
      <w:r>
        <w:rPr>
          <w:rFonts w:hint="eastAsia" w:ascii="宋体" w:hAnsi="宋体" w:eastAsia="宋体" w:cs="宋体"/>
          <w:color w:val="auto"/>
          <w:sz w:val="24"/>
          <w:szCs w:val="24"/>
          <w:lang w:eastAsia="zh-CN"/>
        </w:rPr>
        <w:t>会于</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lang w:eastAsia="zh-CN"/>
        </w:rPr>
        <w:t>磋商开始前在</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受理供应商磋商响应文件的递交；</w:t>
      </w:r>
    </w:p>
    <w:p w14:paraId="503398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14:paraId="0A6A529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14:paraId="07934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lang w:eastAsia="zh-CN"/>
        </w:rPr>
        <w:t>。</w:t>
      </w:r>
    </w:p>
    <w:p w14:paraId="254DE7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w:t>
      </w:r>
    </w:p>
    <w:p w14:paraId="0167F99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14:paraId="522F11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邹城市钢山街道崇义庄村村民委员会</w:t>
      </w:r>
    </w:p>
    <w:p w14:paraId="1BAF9C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邹城市崇义家园</w:t>
      </w:r>
    </w:p>
    <w:p w14:paraId="0E8DBE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侯主任</w:t>
      </w:r>
    </w:p>
    <w:p w14:paraId="159698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13153709768</w:t>
      </w:r>
    </w:p>
    <w:p w14:paraId="6D37D3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山东阳光正大建设项目管理有限公司</w:t>
      </w:r>
    </w:p>
    <w:p w14:paraId="6AB2BF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址：邹城市齐鲁时代</w:t>
      </w:r>
      <w:r>
        <w:rPr>
          <w:rFonts w:hint="eastAsia" w:ascii="宋体" w:hAnsi="宋体" w:eastAsia="宋体" w:cs="宋体"/>
          <w:color w:val="auto"/>
          <w:sz w:val="24"/>
          <w:szCs w:val="24"/>
          <w:lang w:val="en-US" w:eastAsia="zh-CN"/>
        </w:rPr>
        <w:t>SOHO营销中心15楼1509室</w:t>
      </w:r>
    </w:p>
    <w:p w14:paraId="32425E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刘亚萍</w:t>
      </w:r>
    </w:p>
    <w:p w14:paraId="642FF4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15315183185</w:t>
      </w:r>
      <w:r>
        <w:rPr>
          <w:rFonts w:hint="eastAsia" w:ascii="宋体" w:hAnsi="宋体" w:eastAsia="宋体" w:cs="宋体"/>
          <w:color w:val="auto"/>
          <w:sz w:val="24"/>
          <w:szCs w:val="24"/>
          <w:lang w:val="en-US" w:eastAsia="zh-CN"/>
        </w:rPr>
        <w:t xml:space="preserve">    </w:t>
      </w:r>
    </w:p>
    <w:p w14:paraId="46CBE1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val="en-US" w:eastAsia="zh-CN"/>
        </w:rPr>
        <w:t>sdgyzdjnfgs</w:t>
      </w:r>
      <w:r>
        <w:rPr>
          <w:rFonts w:hint="eastAsia" w:ascii="宋体" w:hAnsi="宋体" w:cs="宋体"/>
          <w:color w:val="auto"/>
          <w:sz w:val="24"/>
          <w:szCs w:val="24"/>
          <w:lang w:eastAsia="zh-CN"/>
        </w:rPr>
        <w:t>@163.com</w:t>
      </w:r>
    </w:p>
    <w:p w14:paraId="380C09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14:paraId="593C01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14:paraId="36D7EB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2、竞争性磋商文件等相关资料一经在邹城外宣网 (http://w.mencius.gov.cn/）发布，视作已发放给所有潜在供应商 (发布时间即为发出磋商文件的时间)，各供应商应随时关注邹城市外宣网下载电子版磋商文件，否则所造成的一切后果由供应商自负。</w:t>
      </w:r>
    </w:p>
    <w:p w14:paraId="76E287E0">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w:t>
      </w:r>
      <w:r>
        <w:rPr>
          <w:rFonts w:hint="eastAsia" w:ascii="宋体" w:hAnsi="宋体" w:eastAsia="宋体" w:cs="宋体"/>
          <w:color w:val="auto"/>
          <w:sz w:val="24"/>
          <w:szCs w:val="24"/>
          <w:shd w:val="clear" w:color="auto" w:fill="FFFFFF"/>
        </w:rPr>
        <w:t>书面形式通知所有潜在供应商。</w:t>
      </w:r>
    </w:p>
    <w:p w14:paraId="789865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p w14:paraId="34E8B4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邹城市钢山街道崇义庄村村民委员会</w:t>
      </w:r>
    </w:p>
    <w:p w14:paraId="43DB7F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山东阳光正大建设项目管理有限公司</w:t>
      </w:r>
      <w:r>
        <w:rPr>
          <w:rFonts w:hint="eastAsia" w:ascii="宋体" w:hAnsi="宋体" w:eastAsia="宋体" w:cs="宋体"/>
          <w:color w:val="auto"/>
          <w:sz w:val="24"/>
          <w:szCs w:val="24"/>
          <w:lang w:eastAsia="zh-CN"/>
        </w:rPr>
        <w:t xml:space="preserve"> </w:t>
      </w:r>
    </w:p>
    <w:p w14:paraId="123F73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lang w:eastAsia="zh-CN"/>
        </w:rPr>
        <w:t>日</w:t>
      </w:r>
    </w:p>
    <w:p w14:paraId="60614B6D">
      <w:pPr>
        <w:widowControl/>
        <w:shd w:val="clear" w:color="auto" w:fill="FFFFFF"/>
        <w:spacing w:line="560" w:lineRule="exact"/>
        <w:ind w:firstLine="480"/>
        <w:jc w:val="left"/>
        <w:rPr>
          <w:rFonts w:ascii="宋体" w:hAnsi="宋体" w:cs="Helvetica"/>
          <w:color w:val="auto"/>
          <w:kern w:val="0"/>
          <w:sz w:val="24"/>
          <w:lang w:val="en"/>
        </w:rPr>
      </w:pPr>
    </w:p>
    <w:p w14:paraId="73824522">
      <w:pPr>
        <w:widowControl/>
        <w:shd w:val="clear" w:color="auto" w:fill="FFFFFF"/>
        <w:spacing w:line="560" w:lineRule="exact"/>
        <w:ind w:firstLine="480"/>
        <w:jc w:val="left"/>
        <w:rPr>
          <w:rFonts w:ascii="宋体" w:hAnsi="宋体" w:cs="Helvetica"/>
          <w:color w:val="auto"/>
          <w:kern w:val="0"/>
          <w:sz w:val="24"/>
          <w:lang w:val="en"/>
        </w:rPr>
      </w:pPr>
    </w:p>
    <w:p w14:paraId="0E783956">
      <w:pPr>
        <w:widowControl/>
        <w:shd w:val="clear" w:color="auto" w:fill="FFFFFF"/>
        <w:spacing w:line="560" w:lineRule="exact"/>
        <w:ind w:firstLine="480"/>
        <w:jc w:val="left"/>
        <w:rPr>
          <w:rFonts w:ascii="宋体" w:hAnsi="宋体" w:cs="Helvetica"/>
          <w:color w:val="auto"/>
          <w:kern w:val="0"/>
          <w:sz w:val="24"/>
          <w:lang w:val="en"/>
        </w:rPr>
      </w:pPr>
    </w:p>
    <w:p w14:paraId="1F7490C1">
      <w:pPr>
        <w:widowControl/>
        <w:shd w:val="clear" w:color="auto" w:fill="FFFFFF"/>
        <w:spacing w:line="560" w:lineRule="exact"/>
        <w:ind w:firstLine="480"/>
        <w:jc w:val="left"/>
        <w:rPr>
          <w:rFonts w:ascii="宋体" w:hAnsi="宋体" w:cs="Helvetica"/>
          <w:color w:val="auto"/>
          <w:kern w:val="0"/>
          <w:sz w:val="24"/>
          <w:lang w:val="en"/>
        </w:rPr>
      </w:pPr>
    </w:p>
    <w:p w14:paraId="58314EB2">
      <w:pPr>
        <w:rPr>
          <w:rFonts w:hint="eastAsia" w:ascii="宋体" w:hAnsi="宋体" w:eastAsia="宋体" w:cs="宋体"/>
          <w:color w:val="auto"/>
          <w:sz w:val="24"/>
          <w:szCs w:val="24"/>
          <w:lang w:eastAsia="zh-CN"/>
        </w:rPr>
      </w:pPr>
      <w:bookmarkStart w:id="8" w:name="_Toc474"/>
      <w:bookmarkStart w:id="9" w:name="_Toc17307"/>
      <w:r>
        <w:rPr>
          <w:rFonts w:hint="eastAsia" w:ascii="宋体" w:hAnsi="宋体" w:eastAsia="宋体" w:cs="宋体"/>
          <w:color w:val="auto"/>
          <w:sz w:val="24"/>
          <w:szCs w:val="24"/>
          <w:lang w:eastAsia="zh-CN"/>
        </w:rPr>
        <w:br w:type="page"/>
      </w:r>
    </w:p>
    <w:p w14:paraId="7714E92B">
      <w:pPr>
        <w:pStyle w:val="3"/>
        <w:bidi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14:paraId="0978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3D858D7E">
            <w:pPr>
              <w:spacing w:line="440" w:lineRule="exact"/>
              <w:jc w:val="center"/>
              <w:rPr>
                <w:rFonts w:hint="eastAsia" w:ascii="宋体" w:hAnsi="宋体" w:eastAsia="宋体" w:cs="宋体"/>
                <w:color w:val="auto"/>
                <w:sz w:val="24"/>
                <w:szCs w:val="24"/>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color w:val="auto"/>
                <w:sz w:val="24"/>
                <w:szCs w:val="24"/>
              </w:rPr>
              <w:t>项号</w:t>
            </w:r>
          </w:p>
        </w:tc>
        <w:tc>
          <w:tcPr>
            <w:tcW w:w="1716" w:type="dxa"/>
            <w:noWrap w:val="0"/>
            <w:vAlign w:val="center"/>
          </w:tcPr>
          <w:p w14:paraId="30FF3A1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14:paraId="7433DD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5853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14:paraId="52DC460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14:paraId="07D59CC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14:paraId="76ABBE73">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邹城市钢山街道办事处崇义家园楼梯间热力改造工程</w:t>
            </w:r>
          </w:p>
        </w:tc>
      </w:tr>
      <w:tr w14:paraId="656D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14:paraId="1EBAD86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14:paraId="22EBBE8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14:paraId="56A828C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YGZD-GSJD2024-0919</w:t>
            </w:r>
          </w:p>
        </w:tc>
      </w:tr>
      <w:tr w14:paraId="4D75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AEDB8D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14:paraId="69C0310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14:paraId="1268164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邹城市钢山街道办事处崇义家园小区内</w:t>
            </w:r>
          </w:p>
        </w:tc>
      </w:tr>
      <w:tr w14:paraId="20AC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165C50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14:paraId="68211AD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14:paraId="7A374A45">
            <w:pPr>
              <w:spacing w:line="440" w:lineRule="exact"/>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highlight w:val="none"/>
                <w:lang w:val="en-US" w:eastAsia="zh-CN"/>
              </w:rPr>
              <w:t>35日历天</w:t>
            </w:r>
          </w:p>
        </w:tc>
      </w:tr>
      <w:tr w14:paraId="174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14:paraId="59C4530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14:paraId="1D0CC881">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14:paraId="1098EE4B">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14:paraId="1097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58E1FE1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14:paraId="174DBC0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14:paraId="47C65517">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14:paraId="00B4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487A5C4D">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14:paraId="5CB14C95">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14:paraId="3046713F">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default" w:ascii="宋体" w:hAnsi="宋体" w:eastAsia="宋体" w:cs="宋体"/>
                <w:color w:val="auto"/>
                <w:sz w:val="24"/>
                <w:szCs w:val="24"/>
                <w:lang w:val="en-US" w:eastAsia="zh-CN"/>
              </w:rPr>
            </w:pPr>
            <w:r>
              <w:rPr>
                <w:rFonts w:hint="eastAsia" w:ascii="宋体" w:hAnsi="宋体" w:cs="宋体"/>
                <w:bCs/>
                <w:color w:val="auto"/>
                <w:sz w:val="24"/>
                <w:highlight w:val="none"/>
                <w:lang w:val="en-US" w:eastAsia="zh-CN"/>
              </w:rPr>
              <w:t>双方签订采购合同后，甲方支付合同价款的30%为预付款，施工完成后付至合同价款的60%，工程竣工经</w:t>
            </w:r>
            <w:r>
              <w:rPr>
                <w:rFonts w:hint="eastAsia" w:ascii="宋体" w:hAnsi="宋体"/>
                <w:color w:val="auto"/>
                <w:sz w:val="24"/>
                <w:highlight w:val="none"/>
                <w:lang w:val="en-US" w:eastAsia="zh-CN"/>
              </w:rPr>
              <w:t>华电邹城热力有限公司验收合格并审计完成后付至审定价款的97%，剩余3%在质保期满后，无质量问题无息付清。</w:t>
            </w:r>
          </w:p>
        </w:tc>
      </w:tr>
      <w:tr w14:paraId="1D63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615677B">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14:paraId="21AB25E8">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14:paraId="48C0CA0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14:paraId="7DDE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72A71CC7">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14:paraId="1657B0B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14:paraId="17AB8F6E">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14:paraId="310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48B26B2">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14:paraId="5D2F90F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14:paraId="3287A536">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14:paraId="2D8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0D399E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14:paraId="6A1788C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14:paraId="592125D6">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1.磋商保证金为人民币：小写：</w:t>
            </w:r>
            <w:r>
              <w:rPr>
                <w:rFonts w:hint="eastAsia" w:ascii="宋体" w:hAnsi="宋体" w:cs="宋体"/>
                <w:color w:val="auto"/>
                <w:sz w:val="24"/>
                <w:szCs w:val="24"/>
                <w:lang w:val="en-US" w:eastAsia="zh-CN"/>
              </w:rPr>
              <w:t>20000</w:t>
            </w:r>
            <w:r>
              <w:rPr>
                <w:rFonts w:hint="eastAsia" w:ascii="宋体" w:hAnsi="宋体" w:eastAsia="宋体" w:cs="宋体"/>
                <w:color w:val="auto"/>
                <w:sz w:val="24"/>
                <w:szCs w:val="24"/>
                <w:lang w:eastAsia="zh-CN"/>
              </w:rPr>
              <w:t>.00元，大写：</w:t>
            </w:r>
            <w:r>
              <w:rPr>
                <w:rFonts w:hint="eastAsia" w:ascii="宋体" w:hAnsi="宋体" w:cs="宋体"/>
                <w:color w:val="auto"/>
                <w:sz w:val="24"/>
                <w:szCs w:val="24"/>
                <w:lang w:eastAsia="zh-CN"/>
              </w:rPr>
              <w:t>贰万元整</w:t>
            </w:r>
            <w:r>
              <w:rPr>
                <w:rFonts w:hint="eastAsia" w:ascii="宋体" w:hAnsi="宋体" w:eastAsia="宋体" w:cs="宋体"/>
                <w:color w:val="auto"/>
                <w:sz w:val="24"/>
                <w:szCs w:val="24"/>
                <w:lang w:eastAsia="zh-CN"/>
              </w:rPr>
              <w:t>。</w:t>
            </w:r>
          </w:p>
          <w:p w14:paraId="41875F1B">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保证金的形式：电汇或网上银行转账的方式交纳（应从磋商响应方的基本账户一次性汇入指定账户），且从供应商的基本账户转来。其他形式的磋商保证金或非磋商响应方基本账户汇入的磋商保证金视为无效。磋商保证金应当在磋商响应文件递交截止时间前到达指定账户（以实际到账时间为准）。磋商响应方提交磋商保证金时必须计算资金在途时间，由于资金没有及时到账而造成的后果，由磋商响应方自行承担。</w:t>
            </w:r>
          </w:p>
          <w:p w14:paraId="54B4D7C8">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2.磋商保证金应当在磋商响应文件递交截止时间前到达指定账户（以实际到账为准）。</w:t>
            </w:r>
          </w:p>
          <w:p w14:paraId="0F6E717A">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指定帐户：山东阳光正大建设项目管理有限公司</w:t>
            </w:r>
          </w:p>
          <w:p w14:paraId="4BD74512">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开户银行：中国工商银行邹城支行</w:t>
            </w:r>
          </w:p>
          <w:p w14:paraId="7A5ADD3A">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账号：1608003009200400779</w:t>
            </w:r>
          </w:p>
          <w:p w14:paraId="6EFD3730">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DDF3351">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4、有下列情形之一的，磋商保证金可不予退还：</w:t>
            </w:r>
          </w:p>
          <w:p w14:paraId="014CB56F">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（一）供应商在提交响应文件截止时间后撤回响应文件的（已提交响应文件的供应商，在提交最后报价之前，可以根据磋商情况退出磋商。应当退还退出磋商的供应商的磋商保证金。）；</w:t>
            </w:r>
          </w:p>
          <w:p w14:paraId="44E55BCB">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（二）供应商在响应文件中提供虚假材料的；</w:t>
            </w:r>
          </w:p>
          <w:p w14:paraId="13CA5793">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（三）除因不可抗力或磋商文件认可的情形以外，成交供应商不与采购人签订合同的；</w:t>
            </w:r>
          </w:p>
          <w:p w14:paraId="70358EB3">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（四）供应商与采购人、其他供应商或者采购代理机构恶意串通的；</w:t>
            </w:r>
          </w:p>
          <w:p w14:paraId="1E8BDA46">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（五）磋商文件规定的其他情形。</w:t>
            </w:r>
          </w:p>
        </w:tc>
      </w:tr>
      <w:tr w14:paraId="3D26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AB6FDE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14:paraId="1868981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14:paraId="72B4773C">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cs="宋体"/>
                <w:color w:val="auto"/>
                <w:sz w:val="24"/>
                <w:szCs w:val="24"/>
                <w:lang w:eastAsia="zh-CN"/>
              </w:rPr>
              <w:t>肆</w:t>
            </w:r>
            <w:r>
              <w:rPr>
                <w:rFonts w:hint="eastAsia" w:ascii="宋体" w:hAnsi="宋体" w:eastAsia="宋体" w:cs="宋体"/>
                <w:color w:val="auto"/>
                <w:sz w:val="24"/>
                <w:szCs w:val="24"/>
              </w:rPr>
              <w:t>份</w:t>
            </w:r>
          </w:p>
        </w:tc>
      </w:tr>
      <w:tr w14:paraId="0E3F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30C8E66">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14:paraId="4EE7357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14:paraId="4D3A1400">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14:paraId="180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2F956BB">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14:paraId="2C7803A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14:paraId="7680F2DF">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14:paraId="6A2A4CF7">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14:paraId="0D99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8A03BD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14:paraId="44B6C2E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14:paraId="03E5181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邹城市钢山街道公共资源交易中心开标室</w:t>
            </w:r>
          </w:p>
          <w:p w14:paraId="1CC327F7">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w:t>
            </w:r>
          </w:p>
        </w:tc>
      </w:tr>
      <w:tr w14:paraId="4A50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C603E4F">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14:paraId="654990A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14:paraId="3B2F6175">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w:t>
            </w:r>
          </w:p>
          <w:p w14:paraId="6B57C84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邹城市钢山街道公共资源交易中心开标室</w:t>
            </w:r>
          </w:p>
        </w:tc>
      </w:tr>
      <w:tr w14:paraId="4FD4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0E94BE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14:paraId="5B17CDE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14:paraId="306F42D5">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14:paraId="4ADBBB73">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14:paraId="030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1042722">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14:paraId="3A8B05D6">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14:paraId="5076494D">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3B47DE9E">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eastAsia="zh-CN"/>
              </w:rPr>
              <w:t>采购代理费为</w:t>
            </w:r>
            <w:r>
              <w:rPr>
                <w:rFonts w:hint="eastAsia" w:ascii="宋体" w:hAnsi="宋体" w:cs="宋体"/>
                <w:color w:val="auto"/>
                <w:sz w:val="24"/>
                <w:szCs w:val="24"/>
                <w:highlight w:val="none"/>
                <w:lang w:val="en-US" w:eastAsia="zh-CN"/>
              </w:rPr>
              <w:t>15520.00，</w:t>
            </w:r>
            <w:r>
              <w:rPr>
                <w:rFonts w:hint="eastAsia" w:ascii="宋体" w:hAnsi="宋体" w:eastAsia="宋体" w:cs="宋体"/>
                <w:color w:val="auto"/>
                <w:sz w:val="24"/>
                <w:szCs w:val="24"/>
                <w:highlight w:val="none"/>
              </w:rPr>
              <w:t>成交通知书发出前，成交人从其账户一次性汇入代理机构指定账户。</w:t>
            </w:r>
          </w:p>
          <w:p w14:paraId="38518D69">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3、本项目代收评审费3216.00元，</w:t>
            </w:r>
            <w:r>
              <w:rPr>
                <w:rFonts w:hint="eastAsia" w:ascii="宋体" w:hAnsi="宋体" w:eastAsia="宋体" w:cs="宋体"/>
                <w:color w:val="auto"/>
                <w:sz w:val="24"/>
                <w:szCs w:val="24"/>
                <w:highlight w:val="none"/>
              </w:rPr>
              <w:t>成交通知书发出前，成交人从其账户一次性汇入代理机构指定账户。</w:t>
            </w:r>
          </w:p>
        </w:tc>
      </w:tr>
      <w:tr w14:paraId="4E4C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3F532B2">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14:paraId="66937945">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14:paraId="2B536E1C">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：1011667.94</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14:paraId="69E240B4">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14:paraId="062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14:paraId="7EBE9941">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14:paraId="11F87C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14:paraId="7C640FFE">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14:paraId="63A8703E">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14:paraId="4E87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14:paraId="195A5599">
            <w:pPr>
              <w:spacing w:line="440" w:lineRule="exact"/>
              <w:jc w:val="center"/>
              <w:rPr>
                <w:rFonts w:hint="eastAsia" w:ascii="宋体" w:hAnsi="宋体" w:eastAsia="宋体" w:cs="宋体"/>
                <w:color w:val="auto"/>
                <w:sz w:val="24"/>
                <w:szCs w:val="24"/>
              </w:rPr>
            </w:pPr>
          </w:p>
        </w:tc>
        <w:tc>
          <w:tcPr>
            <w:tcW w:w="1716" w:type="dxa"/>
            <w:noWrap w:val="0"/>
            <w:vAlign w:val="center"/>
          </w:tcPr>
          <w:p w14:paraId="0E5E283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14:paraId="2CE3EAD5">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sdygzdjnfgs@163.com</w:t>
            </w:r>
            <w:r>
              <w:rPr>
                <w:rFonts w:hint="eastAsia" w:ascii="宋体" w:hAnsi="宋体" w:eastAsia="宋体" w:cs="宋体"/>
                <w:color w:val="auto"/>
                <w:sz w:val="24"/>
                <w:szCs w:val="24"/>
                <w:highlight w:val="none"/>
              </w:rPr>
              <w:t>。</w:t>
            </w:r>
          </w:p>
        </w:tc>
      </w:tr>
    </w:tbl>
    <w:p w14:paraId="12551842">
      <w:pPr>
        <w:numPr>
          <w:ilvl w:val="0"/>
          <w:numId w:val="0"/>
        </w:numPr>
        <w:jc w:val="both"/>
        <w:rPr>
          <w:rFonts w:hint="eastAsia" w:ascii="宋体" w:hAnsi="宋体" w:eastAsia="宋体" w:cs="宋体"/>
          <w:b w:val="0"/>
          <w:bCs/>
          <w:color w:val="auto"/>
          <w:kern w:val="0"/>
          <w:sz w:val="24"/>
          <w:szCs w:val="24"/>
          <w:highlight w:val="none"/>
        </w:rPr>
      </w:pPr>
    </w:p>
    <w:p w14:paraId="4D3F8B42">
      <w:pPr>
        <w:numPr>
          <w:ilvl w:val="0"/>
          <w:numId w:val="0"/>
        </w:numPr>
        <w:jc w:val="center"/>
        <w:rPr>
          <w:rFonts w:hint="eastAsia" w:ascii="宋体" w:hAnsi="宋体" w:eastAsia="宋体" w:cs="宋体"/>
          <w:b/>
          <w:color w:val="auto"/>
          <w:kern w:val="0"/>
          <w:sz w:val="24"/>
          <w:szCs w:val="24"/>
          <w:highlight w:val="none"/>
        </w:rPr>
      </w:pPr>
    </w:p>
    <w:p w14:paraId="176D764F">
      <w:pPr>
        <w:numPr>
          <w:ilvl w:val="0"/>
          <w:numId w:val="0"/>
        </w:numPr>
        <w:jc w:val="center"/>
        <w:rPr>
          <w:rFonts w:hint="eastAsia" w:ascii="宋体" w:hAnsi="宋体" w:eastAsia="宋体" w:cs="宋体"/>
          <w:b/>
          <w:color w:val="auto"/>
          <w:kern w:val="0"/>
          <w:sz w:val="24"/>
          <w:szCs w:val="24"/>
          <w:highlight w:val="none"/>
        </w:rPr>
      </w:pPr>
    </w:p>
    <w:p w14:paraId="6C9CD595">
      <w:pPr>
        <w:rPr>
          <w:rFonts w:hint="eastAsia" w:ascii="宋体" w:hAnsi="宋体" w:eastAsia="宋体" w:cs="宋体"/>
          <w:b/>
          <w:color w:val="auto"/>
          <w:kern w:val="0"/>
          <w:sz w:val="24"/>
          <w:szCs w:val="24"/>
          <w:highlight w:val="none"/>
        </w:rPr>
      </w:pPr>
    </w:p>
    <w:p w14:paraId="707E8265">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14:paraId="54881F77">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14:paraId="66057B82">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邹城市钢山街道办事处崇义家园楼梯间热力改造工程</w:t>
      </w:r>
      <w:r>
        <w:rPr>
          <w:rFonts w:hint="eastAsia" w:ascii="宋体" w:hAnsi="宋体"/>
          <w:color w:val="auto"/>
          <w:sz w:val="24"/>
        </w:rPr>
        <w:t>。</w:t>
      </w:r>
    </w:p>
    <w:p w14:paraId="7AF710A3">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14:paraId="03769EB8">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邹城市钢山街道崇义庄村村民委员会</w:t>
      </w:r>
      <w:r>
        <w:rPr>
          <w:rFonts w:hint="eastAsia" w:ascii="宋体" w:hAnsi="宋体" w:cs="Arial Unicode MS"/>
          <w:color w:val="auto"/>
          <w:sz w:val="24"/>
        </w:rPr>
        <w:t>；</w:t>
      </w:r>
    </w:p>
    <w:p w14:paraId="5119EB93">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山东阳光正大建设项目管理有限公司</w:t>
      </w:r>
      <w:r>
        <w:rPr>
          <w:rFonts w:hint="eastAsia" w:ascii="宋体" w:hAnsi="宋体" w:cs="Arial Unicode MS"/>
          <w:color w:val="auto"/>
          <w:sz w:val="24"/>
        </w:rPr>
        <w:t>；</w:t>
      </w:r>
    </w:p>
    <w:p w14:paraId="65C3D672">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14:paraId="43A35B35">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14:paraId="44ABF3C1">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14:paraId="339B179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14:paraId="5F6051D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14:paraId="556F16DF">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14:paraId="0494FB8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14:paraId="079FFC9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14:paraId="13F72988">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14:paraId="25E5490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14:paraId="6404C0B7">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建筑工程施工总承包三级（含）以上资质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eastAsia="宋体" w:cs="宋体"/>
          <w:i w:val="0"/>
          <w:iCs w:val="0"/>
          <w:caps w:val="0"/>
          <w:color w:val="auto"/>
          <w:spacing w:val="0"/>
          <w:sz w:val="24"/>
          <w:szCs w:val="24"/>
          <w:shd w:val="clear" w:color="auto" w:fill="FFFFFF"/>
        </w:rPr>
        <w:t>。</w:t>
      </w:r>
    </w:p>
    <w:p w14:paraId="73BFEBF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4196411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eastAsia="宋体" w:cs="宋体"/>
          <w:i w:val="0"/>
          <w:iCs w:val="0"/>
          <w:caps w:val="0"/>
          <w:color w:val="auto"/>
          <w:spacing w:val="0"/>
          <w:sz w:val="24"/>
          <w:szCs w:val="24"/>
          <w:shd w:val="clear" w:fill="FFFFFF"/>
        </w:rPr>
        <w:t>4、</w:t>
      </w:r>
      <w:r>
        <w:rPr>
          <w:rFonts w:hint="eastAsia" w:ascii="宋体" w:hAnsi="宋体" w:cs="宋体"/>
          <w:bCs/>
          <w:color w:val="auto"/>
          <w:kern w:val="0"/>
          <w:sz w:val="24"/>
        </w:rPr>
        <w:t>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建造师注册证（原件或加盖单位公章复印件）及建造师安全生产考核合格证B证（原件或加盖单位公章复印件）、</w:t>
      </w:r>
      <w:r>
        <w:rPr>
          <w:rFonts w:hint="eastAsia" w:ascii="宋体" w:hAnsi="宋体" w:cs="宋体"/>
          <w:b/>
          <w:bCs w:val="0"/>
          <w:color w:val="auto"/>
          <w:kern w:val="0"/>
          <w:sz w:val="24"/>
          <w:lang w:eastAsia="zh-CN"/>
        </w:rPr>
        <w:t>磋商保证金缴纳凭证、</w:t>
      </w:r>
      <w:r>
        <w:rPr>
          <w:rFonts w:hint="eastAsia" w:ascii="宋体" w:hAnsi="宋体" w:cs="宋体"/>
          <w:b/>
          <w:bCs w:val="0"/>
          <w:color w:val="auto"/>
          <w:kern w:val="0"/>
          <w:sz w:val="24"/>
        </w:rPr>
        <w:t>法定代表人或授权委托人有效身份证原件及法人授权委托书原件以及竞争性磋商文件第三部分磋商组织、步骤与评审方法中要求的相关证件资料等。</w:t>
      </w:r>
    </w:p>
    <w:p w14:paraId="45FA967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eastAsia="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eastAsia="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32842654">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14:paraId="32E0E9E1">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14:paraId="6B2F3B4A">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14:paraId="60DB0FE7">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14:paraId="3C3CD1A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14:paraId="4EA64F80">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14:paraId="2AED793B">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14:paraId="004189D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14:paraId="451DE04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14:paraId="5ADA3E0E">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14:paraId="7F990320">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sdygzdjnfgs@163.com</w:t>
      </w:r>
      <w:r>
        <w:rPr>
          <w:rFonts w:hint="eastAsia" w:ascii="宋体" w:hAnsi="宋体" w:cs="宋体"/>
          <w:color w:val="auto"/>
          <w:sz w:val="24"/>
        </w:rPr>
        <w:t>；</w:t>
      </w:r>
    </w:p>
    <w:p w14:paraId="269E2082">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14:paraId="7A05DFA1">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14:paraId="0A68B5F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14:paraId="6144BDA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14:paraId="2D9A99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14:paraId="089174E3">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14:paraId="61EFC340">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3D36BE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4D13D9C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394A19A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4D07739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3172B6EE">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3DB28E0C">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5D88886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673165A2">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25CF7FC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14:paraId="5C07449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14:paraId="6DFB77A1">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14:paraId="75D51B2F">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14:paraId="284C91EE">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14:paraId="4D23542E">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highlight w:val="none"/>
          <w:lang w:eastAsia="zh-CN"/>
        </w:rPr>
        <w:t>2024年</w:t>
      </w:r>
      <w:r>
        <w:rPr>
          <w:rFonts w:hint="eastAsia" w:ascii="宋体" w:hAnsi="宋体" w:cs="宋体"/>
          <w:b/>
          <w:color w:val="auto"/>
          <w:kern w:val="0"/>
          <w:sz w:val="24"/>
          <w:highlight w:val="none"/>
          <w:lang w:val="en-US" w:eastAsia="zh-CN"/>
        </w:rPr>
        <w:t>10</w:t>
      </w:r>
      <w:r>
        <w:rPr>
          <w:rFonts w:hint="eastAsia" w:ascii="宋体" w:hAnsi="宋体" w:cs="宋体"/>
          <w:b/>
          <w:color w:val="auto"/>
          <w:kern w:val="0"/>
          <w:sz w:val="24"/>
          <w:highlight w:val="none"/>
          <w:lang w:eastAsia="zh-CN"/>
        </w:rPr>
        <w:t>月</w:t>
      </w:r>
      <w:r>
        <w:rPr>
          <w:rFonts w:hint="eastAsia" w:ascii="宋体" w:hAnsi="宋体" w:cs="宋体"/>
          <w:b/>
          <w:color w:val="auto"/>
          <w:kern w:val="0"/>
          <w:sz w:val="24"/>
          <w:highlight w:val="none"/>
          <w:lang w:val="en-US" w:eastAsia="zh-CN"/>
        </w:rPr>
        <w:t>10</w:t>
      </w:r>
      <w:r>
        <w:rPr>
          <w:rFonts w:hint="eastAsia" w:ascii="宋体" w:hAnsi="宋体" w:cs="宋体"/>
          <w:b/>
          <w:color w:val="auto"/>
          <w:kern w:val="0"/>
          <w:sz w:val="24"/>
          <w:highlight w:val="none"/>
          <w:lang w:eastAsia="zh-CN"/>
        </w:rPr>
        <w:t>日</w:t>
      </w:r>
      <w:r>
        <w:rPr>
          <w:rFonts w:hint="eastAsia" w:ascii="宋体" w:hAnsi="宋体" w:cs="宋体"/>
          <w:b/>
          <w:color w:val="auto"/>
          <w:kern w:val="0"/>
          <w:sz w:val="24"/>
          <w:highlight w:val="none"/>
          <w:lang w:val="en-US" w:eastAsia="zh-CN"/>
        </w:rPr>
        <w:t>09</w:t>
      </w:r>
      <w:r>
        <w:rPr>
          <w:rFonts w:hint="eastAsia" w:ascii="宋体" w:hAnsi="宋体" w:cs="宋体"/>
          <w:b/>
          <w:color w:val="auto"/>
          <w:kern w:val="0"/>
          <w:sz w:val="24"/>
          <w:highlight w:val="none"/>
          <w:lang w:eastAsia="zh-CN"/>
        </w:rPr>
        <w:t>时</w:t>
      </w:r>
      <w:r>
        <w:rPr>
          <w:rFonts w:hint="eastAsia" w:ascii="宋体" w:hAnsi="宋体" w:cs="宋体"/>
          <w:b/>
          <w:color w:val="auto"/>
          <w:kern w:val="0"/>
          <w:sz w:val="24"/>
          <w:highlight w:val="none"/>
          <w:lang w:val="en-US" w:eastAsia="zh-CN"/>
        </w:rPr>
        <w:t>00</w:t>
      </w:r>
      <w:r>
        <w:rPr>
          <w:rFonts w:hint="eastAsia" w:ascii="宋体" w:hAnsi="宋体" w:cs="宋体"/>
          <w:b/>
          <w:color w:val="auto"/>
          <w:kern w:val="0"/>
          <w:sz w:val="24"/>
          <w:highlight w:val="none"/>
          <w:lang w:eastAsia="zh-CN"/>
        </w:rPr>
        <w:t>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邹城市钢山街道公共资源交易中心开标室</w:t>
      </w:r>
      <w:r>
        <w:rPr>
          <w:rFonts w:hint="eastAsia" w:ascii="宋体" w:hAnsi="宋体" w:cs="宋体"/>
          <w:b/>
          <w:color w:val="auto"/>
          <w:kern w:val="0"/>
          <w:sz w:val="24"/>
        </w:rPr>
        <w:t>。</w:t>
      </w:r>
    </w:p>
    <w:p w14:paraId="598B2D7F">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14:paraId="312000E6">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14:paraId="31290F7E">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14:paraId="3A489CF2">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14:paraId="78393DDA">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14:paraId="6F7AC297">
      <w:pPr>
        <w:widowControl/>
        <w:shd w:val="clear" w:color="auto" w:fill="FFFFFF"/>
        <w:spacing w:line="360" w:lineRule="auto"/>
        <w:ind w:firstLine="480"/>
        <w:jc w:val="left"/>
        <w:rPr>
          <w:rFonts w:hint="eastAsia" w:ascii="宋体" w:hAnsi="宋体" w:cs="黑体"/>
          <w:b/>
          <w:bCs/>
          <w:color w:val="auto"/>
          <w:kern w:val="0"/>
          <w:sz w:val="24"/>
        </w:rPr>
      </w:pPr>
      <w:r>
        <w:rPr>
          <w:rFonts w:hint="eastAsia" w:ascii="宋体" w:hAnsi="宋体" w:cs="黑体"/>
          <w:b/>
          <w:bCs/>
          <w:color w:val="auto"/>
          <w:kern w:val="0"/>
          <w:sz w:val="24"/>
        </w:rPr>
        <w:t>1、本项目采用固定含税全费用综合单价合同形式。</w:t>
      </w:r>
    </w:p>
    <w:p w14:paraId="1A7D824D">
      <w:pPr>
        <w:widowControl/>
        <w:shd w:val="clear" w:color="auto" w:fill="FFFFFF"/>
        <w:spacing w:line="360" w:lineRule="auto"/>
        <w:ind w:firstLine="480"/>
        <w:jc w:val="left"/>
        <w:rPr>
          <w:rFonts w:ascii="宋体" w:hAnsi="宋体" w:cs="黑体"/>
          <w:b/>
          <w:bCs/>
          <w:color w:val="auto"/>
          <w:kern w:val="0"/>
          <w:sz w:val="24"/>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给定的工程量清单逐项填报单价和合价，并以此汇总计算总价，供应商的报价包括施工设备、劳务、材料（含辅材）、安装、运输、维护、保险（含劳动保险等）、管理费、</w:t>
      </w:r>
      <w:r>
        <w:rPr>
          <w:rFonts w:hint="eastAsia" w:ascii="宋体" w:hAnsi="宋体" w:cs="黑体"/>
          <w:b/>
          <w:bCs/>
          <w:color w:val="auto"/>
          <w:kern w:val="0"/>
          <w:sz w:val="24"/>
          <w:lang w:eastAsia="zh-CN"/>
        </w:rPr>
        <w:t>利润及税金、</w:t>
      </w:r>
      <w:r>
        <w:rPr>
          <w:rFonts w:hint="eastAsia" w:ascii="宋体" w:hAnsi="宋体" w:cs="黑体"/>
          <w:b/>
          <w:bCs/>
          <w:color w:val="auto"/>
          <w:kern w:val="0"/>
          <w:sz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w:t>
      </w:r>
      <w:r>
        <w:rPr>
          <w:rFonts w:hint="eastAsia" w:ascii="宋体" w:hAnsi="宋体" w:cs="黑体"/>
          <w:b/>
          <w:bCs/>
          <w:color w:val="auto"/>
          <w:kern w:val="0"/>
          <w:sz w:val="24"/>
          <w:lang w:eastAsia="zh-CN"/>
        </w:rPr>
        <w:t>隐含的为完成该项目而必须发生的费用（包括发包人分包的给水系统、热力系统、强电、强电系统、燃气系统等各项施工中的配合及预留的接口闭合等相关费用）</w:t>
      </w:r>
      <w:r>
        <w:rPr>
          <w:rFonts w:hint="eastAsia" w:ascii="宋体" w:hAnsi="宋体" w:cs="黑体"/>
          <w:b/>
          <w:bCs/>
          <w:color w:val="auto"/>
          <w:kern w:val="0"/>
          <w:sz w:val="24"/>
        </w:rPr>
        <w:t>、在合同实施期间不因市场变化因素而变动。除固定含税全费用综合单价外，承包人无权再向发包人主张任何价款及费用。</w:t>
      </w:r>
    </w:p>
    <w:p w14:paraId="057DC238">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14:paraId="2E306E1D">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14:paraId="1B1752BB">
      <w:pPr>
        <w:spacing w:line="560" w:lineRule="exact"/>
        <w:ind w:firstLine="482" w:firstLineChars="200"/>
        <w:rPr>
          <w:rFonts w:hint="eastAsia" w:ascii="宋体" w:hAnsi="宋体" w:cs="黑体"/>
          <w:b/>
          <w:bCs/>
          <w:color w:val="auto"/>
          <w:kern w:val="0"/>
          <w:sz w:val="24"/>
          <w:lang w:eastAsia="zh-CN"/>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w:t>
      </w:r>
      <w:r>
        <w:rPr>
          <w:rFonts w:hint="eastAsia" w:ascii="宋体" w:hAnsi="宋体" w:cs="宋体"/>
          <w:b/>
          <w:color w:val="auto"/>
          <w:sz w:val="24"/>
          <w:szCs w:val="24"/>
          <w:lang w:eastAsia="zh-CN"/>
        </w:rPr>
        <w:t>给定的工程量清单</w:t>
      </w:r>
      <w:r>
        <w:rPr>
          <w:rFonts w:hint="eastAsia" w:ascii="宋体" w:hAnsi="宋体" w:eastAsia="宋体" w:cs="宋体"/>
          <w:b/>
          <w:color w:val="auto"/>
          <w:sz w:val="24"/>
          <w:szCs w:val="24"/>
        </w:rPr>
        <w:t>格式</w:t>
      </w:r>
      <w:r>
        <w:rPr>
          <w:rFonts w:hint="eastAsia" w:ascii="宋体" w:hAnsi="宋体" w:cs="黑体"/>
          <w:b/>
          <w:bCs/>
          <w:color w:val="auto"/>
          <w:kern w:val="0"/>
          <w:sz w:val="24"/>
        </w:rPr>
        <w:t>逐项填报固定含税全费用综合单价和合价，并以此汇总计算</w:t>
      </w:r>
      <w:r>
        <w:rPr>
          <w:rFonts w:hint="eastAsia" w:ascii="宋体" w:hAnsi="宋体" w:cs="黑体"/>
          <w:b/>
          <w:bCs/>
          <w:color w:val="auto"/>
          <w:kern w:val="0"/>
          <w:sz w:val="24"/>
          <w:lang w:eastAsia="zh-CN"/>
        </w:rPr>
        <w:t>初次报价</w:t>
      </w:r>
      <w:r>
        <w:rPr>
          <w:rFonts w:hint="eastAsia" w:ascii="宋体" w:hAnsi="宋体" w:cs="黑体"/>
          <w:b/>
          <w:bCs/>
          <w:color w:val="auto"/>
          <w:kern w:val="0"/>
          <w:sz w:val="24"/>
        </w:rPr>
        <w:t>总价</w:t>
      </w:r>
      <w:r>
        <w:rPr>
          <w:rFonts w:hint="eastAsia" w:ascii="宋体" w:hAnsi="宋体" w:cs="黑体"/>
          <w:b/>
          <w:bCs/>
          <w:color w:val="auto"/>
          <w:kern w:val="0"/>
          <w:sz w:val="24"/>
          <w:lang w:eastAsia="zh-CN"/>
        </w:rPr>
        <w:t>。</w:t>
      </w:r>
    </w:p>
    <w:p w14:paraId="1E70E42C">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后递交，最终报价只报总价，分项明细报价按最终报价与初次报价的比率，同比例下调。供应商两次报价均不得超出采购预算（控制价）且最终报价不得超出初次报价，如若超出按无效响应处理。</w:t>
      </w:r>
    </w:p>
    <w:p w14:paraId="6446F7AD">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14:paraId="6C4DE5BD">
      <w:pPr>
        <w:widowControl/>
        <w:shd w:val="clear" w:color="auto" w:fill="FFFFFF"/>
        <w:spacing w:line="360" w:lineRule="auto"/>
        <w:ind w:firstLine="480"/>
        <w:jc w:val="left"/>
        <w:rPr>
          <w:rFonts w:hint="default" w:ascii="宋体" w:hAnsi="宋体" w:eastAsia="宋体" w:cs="黑体"/>
          <w:b/>
          <w:color w:val="auto"/>
          <w:kern w:val="0"/>
          <w:sz w:val="24"/>
          <w:u w:val="single"/>
          <w:lang w:val="en-US"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采购预算为1011667.94元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 xml:space="preserve">壹佰零壹万壹仟陆佰陆拾柒元玖角肆分 </w:t>
      </w:r>
    </w:p>
    <w:p w14:paraId="3749A7C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14:paraId="0D13D434">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14:paraId="7F91EDD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14:paraId="42CBD656">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14:paraId="17E56D0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sz w:val="24"/>
        </w:rPr>
      </w:pPr>
      <w:r>
        <w:rPr>
          <w:rFonts w:hint="eastAsia" w:ascii="宋体" w:hAnsi="宋体"/>
          <w:b w:val="0"/>
          <w:bCs w:val="0"/>
          <w:color w:val="auto"/>
          <w:sz w:val="24"/>
        </w:rPr>
        <w:t>1、无论报价过程中的方法和结果如何，各磋商响应方自行承担所有参与磋商的有关费用。</w:t>
      </w:r>
    </w:p>
    <w:p w14:paraId="35960B8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sz w:val="24"/>
        </w:rPr>
      </w:pPr>
      <w:r>
        <w:rPr>
          <w:rFonts w:hint="eastAsia" w:ascii="宋体" w:hAnsi="宋体"/>
          <w:b w:val="0"/>
          <w:bCs w:val="0"/>
          <w:color w:val="auto"/>
          <w:sz w:val="24"/>
        </w:rPr>
        <w:t>2、本次采购代理费由成交供应商支付，</w:t>
      </w:r>
      <w:r>
        <w:rPr>
          <w:rFonts w:hint="eastAsia" w:ascii="宋体" w:hAnsi="宋体"/>
          <w:b w:val="0"/>
          <w:bCs w:val="0"/>
          <w:color w:val="auto"/>
          <w:sz w:val="24"/>
          <w:lang w:eastAsia="zh-CN"/>
        </w:rPr>
        <w:t>采购代理费为</w:t>
      </w:r>
      <w:r>
        <w:rPr>
          <w:rFonts w:hint="eastAsia" w:ascii="宋体" w:hAnsi="宋体"/>
          <w:b w:val="0"/>
          <w:bCs w:val="0"/>
          <w:color w:val="auto"/>
          <w:sz w:val="24"/>
          <w:lang w:val="en-US" w:eastAsia="zh-CN"/>
        </w:rPr>
        <w:t>15520.00，</w:t>
      </w:r>
      <w:r>
        <w:rPr>
          <w:rFonts w:hint="eastAsia" w:ascii="宋体" w:hAnsi="宋体"/>
          <w:b w:val="0"/>
          <w:bCs w:val="0"/>
          <w:color w:val="auto"/>
          <w:sz w:val="24"/>
        </w:rPr>
        <w:t>成交通知书发出前，成交人从其账户一次性汇入代理机构指定账户。</w:t>
      </w:r>
    </w:p>
    <w:p w14:paraId="49EE010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bCs/>
          <w:color w:val="auto"/>
          <w:sz w:val="24"/>
        </w:rPr>
      </w:pPr>
      <w:r>
        <w:rPr>
          <w:rFonts w:hint="eastAsia" w:ascii="宋体" w:hAnsi="宋体"/>
          <w:b w:val="0"/>
          <w:bCs w:val="0"/>
          <w:color w:val="auto"/>
          <w:sz w:val="24"/>
          <w:lang w:val="en-US" w:eastAsia="zh-CN"/>
        </w:rPr>
        <w:t>3、本项目代收评审费3920.00元，</w:t>
      </w:r>
      <w:r>
        <w:rPr>
          <w:rFonts w:hint="eastAsia" w:ascii="宋体" w:hAnsi="宋体"/>
          <w:b w:val="0"/>
          <w:bCs w:val="0"/>
          <w:color w:val="auto"/>
          <w:sz w:val="24"/>
        </w:rPr>
        <w:t>成交通知书发出前，成交人从其账户一次性汇入代理机构指定账户。</w:t>
      </w:r>
    </w:p>
    <w:p w14:paraId="225C60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14:paraId="67B2D6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14:paraId="26C2EC3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auto"/>
          <w:sz w:val="24"/>
          <w:highlight w:val="yellow"/>
          <w:lang w:val="en-US" w:eastAsia="zh-CN"/>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r>
        <w:rPr>
          <w:rFonts w:hint="eastAsia" w:ascii="宋体" w:hAnsi="宋体" w:cs="宋体"/>
          <w:bCs/>
          <w:color w:val="auto"/>
          <w:sz w:val="24"/>
          <w:highlight w:val="none"/>
          <w:lang w:val="en-US" w:eastAsia="zh-CN"/>
        </w:rPr>
        <w:t>双方签订采购合同后，甲方支付合同价款的30%为预付款，施工完成后付至合同价款的60%，工程竣工经</w:t>
      </w:r>
      <w:r>
        <w:rPr>
          <w:rFonts w:hint="eastAsia" w:ascii="宋体" w:hAnsi="宋体"/>
          <w:color w:val="auto"/>
          <w:sz w:val="24"/>
          <w:highlight w:val="none"/>
          <w:lang w:val="en-US" w:eastAsia="zh-CN"/>
        </w:rPr>
        <w:t>华电邹城热力有限公司验收合格并审计完成后付至审定价款的97%，剩余3%在质保期满后，无质量问题无息付清。</w:t>
      </w:r>
      <w:r>
        <w:rPr>
          <w:rFonts w:hint="eastAsia" w:ascii="宋体" w:hAnsi="宋体"/>
          <w:b/>
          <w:color w:val="auto"/>
          <w:sz w:val="24"/>
          <w:highlight w:val="none"/>
          <w:lang w:val="en-US" w:eastAsia="zh-CN"/>
        </w:rPr>
        <w:t xml:space="preserve">          </w:t>
      </w:r>
    </w:p>
    <w:p w14:paraId="731B4E1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auto"/>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p>
    <w:p w14:paraId="6F925A3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lang w:eastAsia="zh-CN"/>
        </w:rPr>
      </w:pPr>
      <w:r>
        <w:rPr>
          <w:rFonts w:hint="eastAsia" w:ascii="宋体" w:hAnsi="宋体"/>
          <w:b w:val="0"/>
          <w:bCs/>
          <w:color w:val="auto"/>
          <w:sz w:val="24"/>
          <w:lang w:eastAsia="zh-CN"/>
        </w:rPr>
        <w:t>1.磋商保证金为人民币：小写：</w:t>
      </w:r>
      <w:r>
        <w:rPr>
          <w:rFonts w:hint="eastAsia" w:ascii="宋体" w:hAnsi="宋体"/>
          <w:b w:val="0"/>
          <w:bCs/>
          <w:color w:val="auto"/>
          <w:sz w:val="24"/>
          <w:lang w:val="en-US" w:eastAsia="zh-CN"/>
        </w:rPr>
        <w:t>20000</w:t>
      </w:r>
      <w:r>
        <w:rPr>
          <w:rFonts w:hint="eastAsia" w:ascii="宋体" w:hAnsi="宋体"/>
          <w:b w:val="0"/>
          <w:bCs/>
          <w:color w:val="auto"/>
          <w:sz w:val="24"/>
          <w:lang w:eastAsia="zh-CN"/>
        </w:rPr>
        <w:t>.00元，大写：贰万元整。</w:t>
      </w:r>
    </w:p>
    <w:p w14:paraId="62DFE10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lang w:eastAsia="zh-CN"/>
        </w:rPr>
      </w:pPr>
      <w:r>
        <w:rPr>
          <w:rFonts w:hint="eastAsia" w:ascii="宋体" w:hAnsi="宋体"/>
          <w:b w:val="0"/>
          <w:bCs/>
          <w:color w:val="auto"/>
          <w:sz w:val="24"/>
          <w:lang w:eastAsia="zh-CN"/>
        </w:rPr>
        <w:t>磋商保证金的形式：电汇或网上银行转账的方式交纳（应从磋商响应方的基本账户一次性汇入指定账户），且从供应商的基本账户转来。其他形式的磋商保证金或非磋商响应方基本账户汇入的磋商保证金视为无效。磋商保证金应当在磋商响应文件递交截止时间前到达指定账户（以实际到账时间为准）。磋商响应方提交磋商保证金时必须计算资金在途时间，由于资金没有及时到账而造成的后果，由磋商响应方自行承担。</w:t>
      </w:r>
    </w:p>
    <w:p w14:paraId="3ABC4F7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lang w:eastAsia="zh-CN"/>
        </w:rPr>
      </w:pPr>
      <w:r>
        <w:rPr>
          <w:rFonts w:hint="eastAsia" w:ascii="宋体" w:hAnsi="宋体"/>
          <w:b w:val="0"/>
          <w:bCs/>
          <w:color w:val="auto"/>
          <w:sz w:val="24"/>
          <w:lang w:eastAsia="zh-CN"/>
        </w:rPr>
        <w:t>2.磋商保证金应当在磋商响应文件递交截止时间前到达指定账户（以实际到账为准）。</w:t>
      </w:r>
    </w:p>
    <w:p w14:paraId="55C14D2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auto"/>
          <w:sz w:val="24"/>
          <w:lang w:eastAsia="zh-CN"/>
        </w:rPr>
      </w:pPr>
      <w:r>
        <w:rPr>
          <w:rFonts w:hint="eastAsia" w:ascii="宋体" w:hAnsi="宋体"/>
          <w:b/>
          <w:bCs w:val="0"/>
          <w:color w:val="auto"/>
          <w:sz w:val="24"/>
          <w:lang w:eastAsia="zh-CN"/>
        </w:rPr>
        <w:t>指定帐户：山东阳光正大建设项目管理有限公司</w:t>
      </w:r>
    </w:p>
    <w:p w14:paraId="475B2AD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auto"/>
          <w:sz w:val="24"/>
          <w:lang w:eastAsia="zh-CN"/>
        </w:rPr>
      </w:pPr>
      <w:r>
        <w:rPr>
          <w:rFonts w:hint="eastAsia" w:ascii="宋体" w:hAnsi="宋体"/>
          <w:b/>
          <w:bCs w:val="0"/>
          <w:color w:val="auto"/>
          <w:sz w:val="24"/>
          <w:lang w:eastAsia="zh-CN"/>
        </w:rPr>
        <w:t>开户银行：中国工商银行邹城支行</w:t>
      </w:r>
    </w:p>
    <w:p w14:paraId="39200B2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auto"/>
          <w:sz w:val="24"/>
          <w:lang w:eastAsia="zh-CN"/>
        </w:rPr>
      </w:pPr>
      <w:r>
        <w:rPr>
          <w:rFonts w:hint="eastAsia" w:ascii="宋体" w:hAnsi="宋体"/>
          <w:b/>
          <w:bCs w:val="0"/>
          <w:color w:val="auto"/>
          <w:sz w:val="24"/>
          <w:lang w:eastAsia="zh-CN"/>
        </w:rPr>
        <w:t>账号：1608003009200400779</w:t>
      </w:r>
    </w:p>
    <w:p w14:paraId="4F844C9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lang w:eastAsia="zh-CN"/>
        </w:rPr>
      </w:pPr>
      <w:r>
        <w:rPr>
          <w:rFonts w:hint="eastAsia" w:ascii="宋体" w:hAnsi="宋体"/>
          <w:b w:val="0"/>
          <w:bCs/>
          <w:color w:val="auto"/>
          <w:sz w:val="24"/>
          <w:lang w:eastAsia="zh-CN"/>
        </w:rPr>
        <w:t>3.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C6680E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lang w:eastAsia="zh-CN"/>
        </w:rPr>
      </w:pPr>
      <w:r>
        <w:rPr>
          <w:rFonts w:hint="eastAsia" w:ascii="宋体" w:hAnsi="宋体"/>
          <w:b w:val="0"/>
          <w:bCs/>
          <w:color w:val="auto"/>
          <w:sz w:val="24"/>
          <w:lang w:eastAsia="zh-CN"/>
        </w:rPr>
        <w:t>4、有下列情形之一的，磋商保证金可不予退还：</w:t>
      </w:r>
    </w:p>
    <w:p w14:paraId="64B4AFA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lang w:eastAsia="zh-CN"/>
        </w:rPr>
      </w:pPr>
      <w:r>
        <w:rPr>
          <w:rFonts w:hint="eastAsia" w:ascii="宋体" w:hAnsi="宋体"/>
          <w:b w:val="0"/>
          <w:bCs/>
          <w:color w:val="auto"/>
          <w:sz w:val="24"/>
          <w:lang w:eastAsia="zh-CN"/>
        </w:rPr>
        <w:t>（一）供应商在提交响应文件截止时间后撤回响应文件的（已提交响应文件的供应商，在提交最后报价之前，可以根据磋商情况退出磋商。应当退还退出磋商的供应商的磋商保证金。）；</w:t>
      </w:r>
    </w:p>
    <w:p w14:paraId="08C59B6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lang w:eastAsia="zh-CN"/>
        </w:rPr>
      </w:pPr>
      <w:r>
        <w:rPr>
          <w:rFonts w:hint="eastAsia" w:ascii="宋体" w:hAnsi="宋体"/>
          <w:b w:val="0"/>
          <w:bCs/>
          <w:color w:val="auto"/>
          <w:sz w:val="24"/>
          <w:lang w:eastAsia="zh-CN"/>
        </w:rPr>
        <w:t>（二）供应商在响应文件中提供虚假材料的；</w:t>
      </w:r>
    </w:p>
    <w:p w14:paraId="32A5E72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lang w:eastAsia="zh-CN"/>
        </w:rPr>
      </w:pPr>
      <w:r>
        <w:rPr>
          <w:rFonts w:hint="eastAsia" w:ascii="宋体" w:hAnsi="宋体"/>
          <w:b w:val="0"/>
          <w:bCs/>
          <w:color w:val="auto"/>
          <w:sz w:val="24"/>
          <w:lang w:eastAsia="zh-CN"/>
        </w:rPr>
        <w:t>（三）除因不可抗力或磋商文件认可的情形以外，成交供应商不与采购人签订合同的；</w:t>
      </w:r>
    </w:p>
    <w:p w14:paraId="60EBC8B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lang w:eastAsia="zh-CN"/>
        </w:rPr>
      </w:pPr>
      <w:r>
        <w:rPr>
          <w:rFonts w:hint="eastAsia" w:ascii="宋体" w:hAnsi="宋体"/>
          <w:b w:val="0"/>
          <w:bCs/>
          <w:color w:val="auto"/>
          <w:sz w:val="24"/>
          <w:lang w:eastAsia="zh-CN"/>
        </w:rPr>
        <w:t>（四）供应商与采购人、其他供应商或者采购代理机构恶意串通的；</w:t>
      </w:r>
    </w:p>
    <w:p w14:paraId="4DB7B9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color w:val="auto"/>
          <w:kern w:val="0"/>
          <w:sz w:val="24"/>
        </w:rPr>
      </w:pPr>
      <w:r>
        <w:rPr>
          <w:rFonts w:hint="eastAsia" w:ascii="宋体" w:hAnsi="宋体"/>
          <w:b w:val="0"/>
          <w:bCs/>
          <w:color w:val="auto"/>
          <w:sz w:val="24"/>
          <w:lang w:eastAsia="zh-CN"/>
        </w:rPr>
        <w:t>（五）磋商文件规定的其他情形。</w:t>
      </w:r>
    </w:p>
    <w:p w14:paraId="3B70DF91">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14:paraId="1B4C694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14:paraId="21BCAEB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14:paraId="431F614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14:paraId="2C85CB8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14:paraId="6314F8A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14:paraId="38028FA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14:paraId="2730A60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14:paraId="29F89B1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14:paraId="6540BE4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14:paraId="284C28A5">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14:paraId="3349AD2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14:paraId="7F97F306">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14:paraId="2A70227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14:paraId="7FA67FD5">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14:paraId="37A1C670">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14:paraId="13E96529">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14:paraId="60C50825">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1B124366">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14:paraId="13EE731D">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14:paraId="67357BE4">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14:paraId="789E3096">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14:paraId="51268B53">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5023"/>
      <w:bookmarkStart w:id="11" w:name="_Toc20347"/>
      <w:bookmarkStart w:id="12" w:name="_Toc1197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14:paraId="0DF3A551">
      <w:pPr>
        <w:spacing w:line="360" w:lineRule="auto"/>
        <w:rPr>
          <w:rFonts w:ascii="宋体" w:hAnsi="宋体"/>
          <w:b/>
          <w:color w:val="auto"/>
          <w:sz w:val="24"/>
        </w:rPr>
      </w:pPr>
      <w:r>
        <w:rPr>
          <w:rFonts w:hint="eastAsia" w:ascii="宋体" w:hAnsi="宋体"/>
          <w:b/>
          <w:color w:val="auto"/>
          <w:sz w:val="24"/>
        </w:rPr>
        <w:t>一、磋商组织：</w:t>
      </w:r>
    </w:p>
    <w:p w14:paraId="6FD6DE94">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14:paraId="3D7EF4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14:paraId="1EED71C5">
      <w:pPr>
        <w:spacing w:line="360" w:lineRule="auto"/>
        <w:rPr>
          <w:rFonts w:ascii="宋体" w:hAnsi="宋体"/>
          <w:b/>
          <w:color w:val="auto"/>
          <w:sz w:val="24"/>
        </w:rPr>
      </w:pPr>
      <w:r>
        <w:rPr>
          <w:rFonts w:hint="eastAsia" w:ascii="宋体" w:hAnsi="宋体"/>
          <w:b/>
          <w:color w:val="auto"/>
          <w:sz w:val="24"/>
        </w:rPr>
        <w:t>二、磋商步骤：</w:t>
      </w:r>
    </w:p>
    <w:p w14:paraId="5041CC3F">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14:paraId="2BB657FA">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14:paraId="09B98170">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14:paraId="03BB1C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14:paraId="0C5EE918">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14:paraId="39180DF9">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14:paraId="73B62628">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387"/>
        <w:gridCol w:w="878"/>
        <w:gridCol w:w="6257"/>
      </w:tblGrid>
      <w:tr w14:paraId="43F4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1" w:type="dxa"/>
            <w:gridSpan w:val="2"/>
            <w:tcBorders>
              <w:tl2br w:val="nil"/>
              <w:tr2bl w:val="nil"/>
            </w:tcBorders>
            <w:vAlign w:val="center"/>
          </w:tcPr>
          <w:p w14:paraId="3360A3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878" w:type="dxa"/>
            <w:tcBorders>
              <w:tl2br w:val="nil"/>
              <w:tr2bl w:val="nil"/>
            </w:tcBorders>
            <w:vAlign w:val="center"/>
          </w:tcPr>
          <w:p w14:paraId="22FC64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6257" w:type="dxa"/>
            <w:tcBorders>
              <w:tl2br w:val="nil"/>
              <w:tr2bl w:val="nil"/>
            </w:tcBorders>
            <w:vAlign w:val="center"/>
          </w:tcPr>
          <w:p w14:paraId="72B2A9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7907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EDC76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387" w:type="dxa"/>
            <w:tcBorders>
              <w:tl2br w:val="nil"/>
              <w:tr2bl w:val="nil"/>
            </w:tcBorders>
            <w:vAlign w:val="center"/>
          </w:tcPr>
          <w:p w14:paraId="682BEB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878" w:type="dxa"/>
            <w:tcBorders>
              <w:tl2br w:val="nil"/>
              <w:tr2bl w:val="nil"/>
            </w:tcBorders>
            <w:vAlign w:val="center"/>
          </w:tcPr>
          <w:p w14:paraId="409557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6257" w:type="dxa"/>
            <w:tcBorders>
              <w:tl2br w:val="nil"/>
              <w:tr2bl w:val="nil"/>
            </w:tcBorders>
            <w:vAlign w:val="center"/>
          </w:tcPr>
          <w:p w14:paraId="1FE23E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*30%*100</w:t>
            </w:r>
            <w:r>
              <w:rPr>
                <w:rFonts w:hint="eastAsia" w:ascii="宋体" w:hAnsi="宋体" w:eastAsia="宋体" w:cs="宋体"/>
                <w:b w:val="0"/>
                <w:bCs/>
                <w:color w:val="auto"/>
                <w:sz w:val="24"/>
                <w:szCs w:val="24"/>
                <w:highlight w:val="none"/>
              </w:rPr>
              <w:t>。</w:t>
            </w:r>
          </w:p>
        </w:tc>
      </w:tr>
      <w:tr w14:paraId="241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4" w:type="dxa"/>
            <w:tcBorders>
              <w:tl2br w:val="nil"/>
              <w:tr2bl w:val="nil"/>
            </w:tcBorders>
            <w:vAlign w:val="center"/>
          </w:tcPr>
          <w:p w14:paraId="451BD1F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2387" w:type="dxa"/>
            <w:tcBorders>
              <w:tl2br w:val="nil"/>
              <w:tr2bl w:val="nil"/>
            </w:tcBorders>
            <w:vAlign w:val="center"/>
          </w:tcPr>
          <w:p w14:paraId="7405E25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施工组织设计</w:t>
            </w:r>
          </w:p>
        </w:tc>
        <w:tc>
          <w:tcPr>
            <w:tcW w:w="878" w:type="dxa"/>
            <w:tcBorders>
              <w:tl2br w:val="nil"/>
              <w:tr2bl w:val="nil"/>
            </w:tcBorders>
            <w:vAlign w:val="center"/>
          </w:tcPr>
          <w:p w14:paraId="454D3DE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50</w:t>
            </w:r>
            <w:r>
              <w:rPr>
                <w:rFonts w:hint="eastAsia" w:ascii="宋体" w:hAnsi="宋体" w:eastAsia="宋体" w:cs="宋体"/>
                <w:b/>
                <w:color w:val="auto"/>
                <w:sz w:val="24"/>
                <w:szCs w:val="24"/>
                <w:highlight w:val="none"/>
              </w:rPr>
              <w:t>分</w:t>
            </w:r>
          </w:p>
        </w:tc>
        <w:tc>
          <w:tcPr>
            <w:tcW w:w="6257" w:type="dxa"/>
            <w:tcBorders>
              <w:tl2br w:val="nil"/>
              <w:tr2bl w:val="nil"/>
            </w:tcBorders>
            <w:vAlign w:val="center"/>
          </w:tcPr>
          <w:p w14:paraId="6F59C76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4A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81D099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387" w:type="dxa"/>
            <w:tcBorders>
              <w:tl2br w:val="nil"/>
              <w:tr2bl w:val="nil"/>
            </w:tcBorders>
            <w:vAlign w:val="center"/>
          </w:tcPr>
          <w:p w14:paraId="3781E42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8" w:type="dxa"/>
            <w:tcBorders>
              <w:tl2br w:val="nil"/>
              <w:tr2bl w:val="nil"/>
            </w:tcBorders>
            <w:vAlign w:val="center"/>
          </w:tcPr>
          <w:p w14:paraId="01BF0F7E">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5分</w:t>
            </w:r>
          </w:p>
        </w:tc>
        <w:tc>
          <w:tcPr>
            <w:tcW w:w="6257" w:type="dxa"/>
            <w:tcBorders>
              <w:tl2br w:val="nil"/>
              <w:tr2bl w:val="nil"/>
            </w:tcBorders>
            <w:vAlign w:val="top"/>
          </w:tcPr>
          <w:p w14:paraId="46C7AC9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得2分；根据其合理性、详细性较差得1分；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58D0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84" w:type="dxa"/>
            <w:tcBorders>
              <w:tl2br w:val="nil"/>
              <w:tr2bl w:val="nil"/>
            </w:tcBorders>
            <w:vAlign w:val="center"/>
          </w:tcPr>
          <w:p w14:paraId="0D16D97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387" w:type="dxa"/>
            <w:tcBorders>
              <w:tl2br w:val="nil"/>
              <w:tr2bl w:val="nil"/>
            </w:tcBorders>
            <w:vAlign w:val="center"/>
          </w:tcPr>
          <w:p w14:paraId="78A0436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施工方案与技术措施</w:t>
            </w:r>
          </w:p>
        </w:tc>
        <w:tc>
          <w:tcPr>
            <w:tcW w:w="878" w:type="dxa"/>
            <w:tcBorders>
              <w:tl2br w:val="nil"/>
              <w:tr2bl w:val="nil"/>
            </w:tcBorders>
            <w:vAlign w:val="center"/>
          </w:tcPr>
          <w:p w14:paraId="745279F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5分</w:t>
            </w:r>
          </w:p>
        </w:tc>
        <w:tc>
          <w:tcPr>
            <w:tcW w:w="6257" w:type="dxa"/>
            <w:tcBorders>
              <w:tl2br w:val="nil"/>
              <w:tr2bl w:val="nil"/>
            </w:tcBorders>
            <w:vAlign w:val="top"/>
          </w:tcPr>
          <w:p w14:paraId="21A6354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得2分；根据其合理性、详细性较差得1分；</w:t>
            </w:r>
            <w:r>
              <w:rPr>
                <w:rFonts w:hint="eastAsia" w:ascii="宋体" w:hAnsi="宋体" w:eastAsia="宋体" w:cs="宋体"/>
                <w:b w:val="0"/>
                <w:bCs/>
                <w:color w:val="auto"/>
                <w:sz w:val="24"/>
                <w:szCs w:val="24"/>
                <w:highlight w:val="none"/>
              </w:rPr>
              <w:t>缺项不得分。</w:t>
            </w:r>
          </w:p>
        </w:tc>
      </w:tr>
      <w:tr w14:paraId="2D1C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84" w:type="dxa"/>
            <w:tcBorders>
              <w:tl2br w:val="nil"/>
              <w:tr2bl w:val="nil"/>
            </w:tcBorders>
            <w:vAlign w:val="center"/>
          </w:tcPr>
          <w:p w14:paraId="1958CF6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387" w:type="dxa"/>
            <w:tcBorders>
              <w:tl2br w:val="nil"/>
              <w:tr2bl w:val="nil"/>
            </w:tcBorders>
            <w:vAlign w:val="center"/>
          </w:tcPr>
          <w:p w14:paraId="3CC1D9E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质量管理体系与措施</w:t>
            </w:r>
          </w:p>
        </w:tc>
        <w:tc>
          <w:tcPr>
            <w:tcW w:w="878" w:type="dxa"/>
            <w:tcBorders>
              <w:tl2br w:val="nil"/>
              <w:tr2bl w:val="nil"/>
            </w:tcBorders>
            <w:vAlign w:val="center"/>
          </w:tcPr>
          <w:p w14:paraId="280DE077">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5分</w:t>
            </w:r>
          </w:p>
        </w:tc>
        <w:tc>
          <w:tcPr>
            <w:tcW w:w="6257" w:type="dxa"/>
            <w:tcBorders>
              <w:tl2br w:val="nil"/>
              <w:tr2bl w:val="nil"/>
            </w:tcBorders>
            <w:vAlign w:val="top"/>
          </w:tcPr>
          <w:p w14:paraId="0D3ABA6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得2分；根据其合理性、详细性较差得1分；</w:t>
            </w:r>
            <w:r>
              <w:rPr>
                <w:rFonts w:hint="eastAsia" w:ascii="宋体" w:hAnsi="宋体" w:eastAsia="宋体" w:cs="宋体"/>
                <w:color w:val="auto"/>
                <w:sz w:val="24"/>
                <w:szCs w:val="24"/>
                <w:highlight w:val="none"/>
              </w:rPr>
              <w:t>缺项不得分。</w:t>
            </w:r>
          </w:p>
        </w:tc>
      </w:tr>
      <w:tr w14:paraId="5CD6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0F8FE7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387" w:type="dxa"/>
            <w:tcBorders>
              <w:tl2br w:val="nil"/>
              <w:tr2bl w:val="nil"/>
            </w:tcBorders>
            <w:vAlign w:val="center"/>
          </w:tcPr>
          <w:p w14:paraId="234DBC4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安全管理体系与措施</w:t>
            </w:r>
          </w:p>
        </w:tc>
        <w:tc>
          <w:tcPr>
            <w:tcW w:w="878" w:type="dxa"/>
            <w:tcBorders>
              <w:tl2br w:val="nil"/>
              <w:tr2bl w:val="nil"/>
            </w:tcBorders>
            <w:vAlign w:val="center"/>
          </w:tcPr>
          <w:p w14:paraId="41B6F771">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5分</w:t>
            </w:r>
          </w:p>
        </w:tc>
        <w:tc>
          <w:tcPr>
            <w:tcW w:w="6257" w:type="dxa"/>
            <w:tcBorders>
              <w:tl2br w:val="nil"/>
              <w:tr2bl w:val="nil"/>
            </w:tcBorders>
            <w:vAlign w:val="top"/>
          </w:tcPr>
          <w:p w14:paraId="23564B4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得2分；根据其合理性、详细性较差得1分；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103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41FD26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387" w:type="dxa"/>
            <w:tcBorders>
              <w:tl2br w:val="nil"/>
              <w:tr2bl w:val="nil"/>
            </w:tcBorders>
            <w:vAlign w:val="center"/>
          </w:tcPr>
          <w:p w14:paraId="7DC2703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工程进度计划与措施（附施工进度横道图或网络图）</w:t>
            </w:r>
          </w:p>
        </w:tc>
        <w:tc>
          <w:tcPr>
            <w:tcW w:w="878" w:type="dxa"/>
            <w:tcBorders>
              <w:tl2br w:val="nil"/>
              <w:tr2bl w:val="nil"/>
            </w:tcBorders>
            <w:vAlign w:val="center"/>
          </w:tcPr>
          <w:p w14:paraId="3AE1F4C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5分</w:t>
            </w:r>
          </w:p>
        </w:tc>
        <w:tc>
          <w:tcPr>
            <w:tcW w:w="6257" w:type="dxa"/>
            <w:tcBorders>
              <w:tl2br w:val="nil"/>
              <w:tr2bl w:val="nil"/>
            </w:tcBorders>
            <w:vAlign w:val="center"/>
          </w:tcPr>
          <w:p w14:paraId="0BCE6CC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得2分；根据其合理性、详细性较差得1分；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7DB7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6AF8E01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387" w:type="dxa"/>
            <w:tcBorders>
              <w:tl2br w:val="nil"/>
              <w:tr2bl w:val="nil"/>
            </w:tcBorders>
            <w:vAlign w:val="center"/>
          </w:tcPr>
          <w:p w14:paraId="1324AA3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环保管理体系与措施</w:t>
            </w:r>
          </w:p>
        </w:tc>
        <w:tc>
          <w:tcPr>
            <w:tcW w:w="878" w:type="dxa"/>
            <w:tcBorders>
              <w:tl2br w:val="nil"/>
              <w:tr2bl w:val="nil"/>
            </w:tcBorders>
            <w:vAlign w:val="center"/>
          </w:tcPr>
          <w:p w14:paraId="03A75BC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5分</w:t>
            </w:r>
          </w:p>
        </w:tc>
        <w:tc>
          <w:tcPr>
            <w:tcW w:w="6257" w:type="dxa"/>
            <w:tcBorders>
              <w:tl2br w:val="nil"/>
              <w:tr2bl w:val="nil"/>
            </w:tcBorders>
            <w:vAlign w:val="top"/>
          </w:tcPr>
          <w:p w14:paraId="718A299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得2分；根据其合理性、详细性较差得1分；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4D0D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l2br w:val="nil"/>
              <w:tr2bl w:val="nil"/>
            </w:tcBorders>
            <w:vAlign w:val="center"/>
          </w:tcPr>
          <w:p w14:paraId="7AB9339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387" w:type="dxa"/>
            <w:tcBorders>
              <w:tl2br w:val="nil"/>
              <w:tr2bl w:val="nil"/>
            </w:tcBorders>
            <w:vAlign w:val="center"/>
          </w:tcPr>
          <w:p w14:paraId="5871059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文明管理体系与措施</w:t>
            </w:r>
          </w:p>
        </w:tc>
        <w:tc>
          <w:tcPr>
            <w:tcW w:w="878" w:type="dxa"/>
            <w:tcBorders>
              <w:tl2br w:val="nil"/>
              <w:tr2bl w:val="nil"/>
            </w:tcBorders>
            <w:vAlign w:val="center"/>
          </w:tcPr>
          <w:p w14:paraId="3D283A9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5分</w:t>
            </w:r>
          </w:p>
        </w:tc>
        <w:tc>
          <w:tcPr>
            <w:tcW w:w="6257" w:type="dxa"/>
            <w:tcBorders>
              <w:tl2br w:val="nil"/>
              <w:tr2bl w:val="nil"/>
            </w:tcBorders>
            <w:vAlign w:val="top"/>
          </w:tcPr>
          <w:p w14:paraId="6426AD39">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得2分；根据其合理性、详细性较差得1分；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1D3A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7548E0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387" w:type="dxa"/>
            <w:tcBorders>
              <w:tl2br w:val="nil"/>
              <w:tr2bl w:val="nil"/>
            </w:tcBorders>
            <w:vAlign w:val="center"/>
          </w:tcPr>
          <w:p w14:paraId="4A8002AF">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施工管理及措施</w:t>
            </w:r>
          </w:p>
        </w:tc>
        <w:tc>
          <w:tcPr>
            <w:tcW w:w="878" w:type="dxa"/>
            <w:tcBorders>
              <w:tl2br w:val="nil"/>
              <w:tr2bl w:val="nil"/>
            </w:tcBorders>
            <w:vAlign w:val="center"/>
          </w:tcPr>
          <w:p w14:paraId="6F866C56">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5分</w:t>
            </w:r>
          </w:p>
        </w:tc>
        <w:tc>
          <w:tcPr>
            <w:tcW w:w="6257" w:type="dxa"/>
            <w:tcBorders>
              <w:tl2br w:val="nil"/>
              <w:tr2bl w:val="nil"/>
            </w:tcBorders>
            <w:vAlign w:val="top"/>
          </w:tcPr>
          <w:p w14:paraId="13DC27A1">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得2分；根据其合理性、详细性较差得1分；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55D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15D140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387" w:type="dxa"/>
            <w:tcBorders>
              <w:tl2br w:val="nil"/>
              <w:tr2bl w:val="nil"/>
            </w:tcBorders>
            <w:vAlign w:val="center"/>
          </w:tcPr>
          <w:p w14:paraId="3B06810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资源配备计划及措施（附劳动力计划表、主要施工设备表、试验和检测仪器设备表）</w:t>
            </w:r>
          </w:p>
        </w:tc>
        <w:tc>
          <w:tcPr>
            <w:tcW w:w="878" w:type="dxa"/>
            <w:tcBorders>
              <w:tl2br w:val="nil"/>
              <w:tr2bl w:val="nil"/>
            </w:tcBorders>
            <w:vAlign w:val="center"/>
          </w:tcPr>
          <w:p w14:paraId="656AA63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5分</w:t>
            </w:r>
          </w:p>
        </w:tc>
        <w:tc>
          <w:tcPr>
            <w:tcW w:w="6257" w:type="dxa"/>
            <w:tcBorders>
              <w:tl2br w:val="nil"/>
              <w:tr2bl w:val="nil"/>
            </w:tcBorders>
            <w:vAlign w:val="center"/>
          </w:tcPr>
          <w:p w14:paraId="4F5EBD19">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得2分；根据其合理性、详细性较差得1分；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09C0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5632AE0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7" w:type="dxa"/>
            <w:tcBorders>
              <w:tl2br w:val="nil"/>
              <w:tr2bl w:val="nil"/>
            </w:tcBorders>
            <w:vAlign w:val="center"/>
          </w:tcPr>
          <w:p w14:paraId="3D57D30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施工关键部位、材料采购要点的控制及措施</w:t>
            </w:r>
          </w:p>
        </w:tc>
        <w:tc>
          <w:tcPr>
            <w:tcW w:w="878" w:type="dxa"/>
            <w:tcBorders>
              <w:tl2br w:val="nil"/>
              <w:tr2bl w:val="nil"/>
            </w:tcBorders>
            <w:vAlign w:val="center"/>
          </w:tcPr>
          <w:p w14:paraId="0E9A5022">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5分</w:t>
            </w:r>
          </w:p>
        </w:tc>
        <w:tc>
          <w:tcPr>
            <w:tcW w:w="6257" w:type="dxa"/>
            <w:tcBorders>
              <w:tl2br w:val="nil"/>
              <w:tr2bl w:val="nil"/>
            </w:tcBorders>
            <w:vAlign w:val="center"/>
          </w:tcPr>
          <w:p w14:paraId="0658BE77">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根据措施体系完整、内容齐全、安排恰当、针对项目实际情况措施可行程度合理</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得2分；根据其合理性、详细性较差得1分；</w:t>
            </w:r>
            <w:r>
              <w:rPr>
                <w:rFonts w:hint="eastAsia" w:ascii="宋体" w:hAnsi="宋体" w:eastAsia="宋体" w:cs="宋体"/>
                <w:b w:val="0"/>
                <w:bCs/>
                <w:color w:val="auto"/>
                <w:sz w:val="24"/>
                <w:szCs w:val="24"/>
                <w:highlight w:val="none"/>
                <w:lang w:val="en-US" w:eastAsia="zh-CN"/>
              </w:rPr>
              <w:t>缺项不得分</w:t>
            </w:r>
            <w:r>
              <w:rPr>
                <w:rFonts w:hint="eastAsia" w:ascii="宋体" w:hAnsi="宋体" w:eastAsia="宋体" w:cs="宋体"/>
                <w:color w:val="auto"/>
                <w:sz w:val="24"/>
                <w:szCs w:val="24"/>
                <w:highlight w:val="none"/>
              </w:rPr>
              <w:t>。</w:t>
            </w:r>
          </w:p>
        </w:tc>
      </w:tr>
      <w:tr w14:paraId="3E94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5263BF3">
            <w:pPr>
              <w:snapToGrid w:val="0"/>
              <w:spacing w:line="360" w:lineRule="auto"/>
              <w:rPr>
                <w:rFonts w:hint="eastAsia" w:hAnsi="宋体" w:eastAsia="宋体" w:cs="Arial"/>
                <w:sz w:val="24"/>
                <w:lang w:eastAsia="zh-CN"/>
              </w:rPr>
            </w:pPr>
            <w:r>
              <w:rPr>
                <w:rFonts w:hint="eastAsia" w:hAnsi="宋体" w:cs="Arial"/>
                <w:sz w:val="24"/>
                <w:lang w:eastAsia="zh-CN"/>
              </w:rPr>
              <w:t>三</w:t>
            </w:r>
          </w:p>
        </w:tc>
        <w:tc>
          <w:tcPr>
            <w:tcW w:w="2387" w:type="dxa"/>
            <w:tcBorders>
              <w:tl2br w:val="nil"/>
              <w:tr2bl w:val="nil"/>
            </w:tcBorders>
            <w:vAlign w:val="center"/>
          </w:tcPr>
          <w:p w14:paraId="5CD08F4F">
            <w:pPr>
              <w:widowControl/>
              <w:adjustRightInd w:val="0"/>
              <w:snapToGrid w:val="0"/>
              <w:spacing w:line="360" w:lineRule="auto"/>
              <w:jc w:val="center"/>
              <w:rPr>
                <w:rFonts w:hint="eastAsia" w:hAnsi="宋体" w:cs="宋体"/>
                <w:sz w:val="24"/>
                <w:lang w:eastAsia="zh-CN"/>
              </w:rPr>
            </w:pPr>
            <w:r>
              <w:rPr>
                <w:rFonts w:hint="eastAsia" w:hAnsi="宋体" w:cs="Arial"/>
                <w:sz w:val="24"/>
              </w:rPr>
              <w:t>商务部分</w:t>
            </w:r>
          </w:p>
        </w:tc>
        <w:tc>
          <w:tcPr>
            <w:tcW w:w="878" w:type="dxa"/>
            <w:tcBorders>
              <w:tl2br w:val="nil"/>
              <w:tr2bl w:val="nil"/>
            </w:tcBorders>
            <w:vAlign w:val="center"/>
          </w:tcPr>
          <w:p w14:paraId="588A18FF">
            <w:pPr>
              <w:adjustRightInd w:val="0"/>
              <w:snapToGrid w:val="0"/>
              <w:spacing w:line="360" w:lineRule="auto"/>
              <w:rPr>
                <w:rFonts w:hint="default" w:hAnsi="宋体" w:cs="宋体"/>
                <w:sz w:val="24"/>
                <w:lang w:val="en-US" w:eastAsia="zh-CN"/>
              </w:rPr>
            </w:pPr>
            <w:r>
              <w:rPr>
                <w:rFonts w:hint="eastAsia" w:hAnsi="宋体" w:cs="宋体"/>
                <w:sz w:val="24"/>
                <w:lang w:val="en-US" w:eastAsia="zh-CN"/>
              </w:rPr>
              <w:t>20分</w:t>
            </w:r>
          </w:p>
        </w:tc>
        <w:tc>
          <w:tcPr>
            <w:tcW w:w="6257" w:type="dxa"/>
            <w:tcBorders>
              <w:tl2br w:val="nil"/>
              <w:tr2bl w:val="nil"/>
            </w:tcBorders>
            <w:vAlign w:val="center"/>
          </w:tcPr>
          <w:p w14:paraId="219CE8C0">
            <w:pPr>
              <w:pStyle w:val="10"/>
              <w:ind w:firstLine="482" w:firstLineChars="200"/>
              <w:rPr>
                <w:rFonts w:hint="eastAsia" w:ascii="宋体" w:hAnsi="宋体" w:cs="宋体"/>
                <w:b/>
                <w:bCs/>
                <w:lang w:eastAsia="zh-CN"/>
              </w:rPr>
            </w:pPr>
          </w:p>
        </w:tc>
      </w:tr>
      <w:tr w14:paraId="2513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4B225DA6">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387" w:type="dxa"/>
            <w:tcBorders>
              <w:tl2br w:val="nil"/>
              <w:tr2bl w:val="nil"/>
            </w:tcBorders>
            <w:vAlign w:val="center"/>
          </w:tcPr>
          <w:p w14:paraId="19E4C892">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hAnsi="宋体" w:cs="宋体"/>
                <w:sz w:val="24"/>
                <w:lang w:eastAsia="zh-CN"/>
              </w:rPr>
              <w:t>资质认证</w:t>
            </w:r>
          </w:p>
        </w:tc>
        <w:tc>
          <w:tcPr>
            <w:tcW w:w="878" w:type="dxa"/>
            <w:tcBorders>
              <w:tl2br w:val="nil"/>
              <w:tr2bl w:val="nil"/>
            </w:tcBorders>
            <w:vAlign w:val="center"/>
          </w:tcPr>
          <w:p w14:paraId="1DFC79AB">
            <w:pPr>
              <w:adjustRightInd w:val="0"/>
              <w:snapToGrid w:val="0"/>
              <w:spacing w:line="360" w:lineRule="auto"/>
              <w:rPr>
                <w:rFonts w:hint="eastAsia" w:ascii="宋体" w:hAnsi="宋体" w:cs="宋体"/>
                <w:b w:val="0"/>
                <w:bCs/>
                <w:color w:val="auto"/>
                <w:sz w:val="24"/>
                <w:szCs w:val="24"/>
                <w:highlight w:val="none"/>
                <w:lang w:val="en-US" w:eastAsia="zh-CN"/>
              </w:rPr>
            </w:pPr>
            <w:r>
              <w:rPr>
                <w:rFonts w:hint="eastAsia" w:hAnsi="宋体" w:cs="宋体"/>
                <w:sz w:val="24"/>
                <w:lang w:val="en-US" w:eastAsia="zh-CN"/>
              </w:rPr>
              <w:t>5</w:t>
            </w:r>
            <w:r>
              <w:rPr>
                <w:rFonts w:hint="eastAsia" w:hAnsi="宋体" w:cs="宋体"/>
                <w:sz w:val="24"/>
              </w:rPr>
              <w:t>分</w:t>
            </w:r>
          </w:p>
        </w:tc>
        <w:tc>
          <w:tcPr>
            <w:tcW w:w="6257" w:type="dxa"/>
            <w:tcBorders>
              <w:tl2br w:val="nil"/>
              <w:tr2bl w:val="nil"/>
            </w:tcBorders>
            <w:vAlign w:val="center"/>
          </w:tcPr>
          <w:p w14:paraId="6ECD3A0E">
            <w:pPr>
              <w:spacing w:line="480" w:lineRule="exact"/>
              <w:rPr>
                <w:rFonts w:hint="eastAsia" w:ascii="宋体" w:hAnsi="宋体" w:cs="宋体"/>
                <w:bCs/>
                <w:sz w:val="24"/>
                <w:highlight w:val="none"/>
                <w:lang w:eastAsia="zh-CN"/>
              </w:rPr>
            </w:pPr>
            <w:r>
              <w:rPr>
                <w:rFonts w:hint="eastAsia" w:ascii="宋体" w:hAnsi="宋体" w:cs="宋体"/>
                <w:bCs/>
                <w:sz w:val="24"/>
                <w:highlight w:val="none"/>
                <w:lang w:eastAsia="zh-CN"/>
              </w:rPr>
              <w:t>供应商资质要求:</w:t>
            </w:r>
          </w:p>
          <w:p w14:paraId="3E51734A">
            <w:pPr>
              <w:spacing w:line="480" w:lineRule="exact"/>
              <w:rPr>
                <w:rFonts w:hint="eastAsia" w:ascii="宋体" w:hAnsi="宋体" w:eastAsia="宋体" w:cs="宋体"/>
                <w:bCs/>
                <w:sz w:val="24"/>
                <w:highlight w:val="none"/>
                <w:lang w:eastAsia="zh-CN"/>
              </w:rPr>
            </w:pPr>
            <w:r>
              <w:rPr>
                <w:rFonts w:hint="eastAsia" w:ascii="宋体" w:hAnsi="宋体" w:cs="宋体"/>
                <w:bCs/>
                <w:sz w:val="24"/>
                <w:highlight w:val="none"/>
                <w:lang w:eastAsia="zh-CN"/>
              </w:rPr>
              <w:t>供应商所有产品</w:t>
            </w:r>
            <w:r>
              <w:rPr>
                <w:rFonts w:hint="eastAsia" w:ascii="宋体" w:hAnsi="宋体" w:cs="宋体"/>
                <w:bCs/>
                <w:sz w:val="24"/>
                <w:highlight w:val="none"/>
              </w:rPr>
              <w:t>生产厂家通过ISO9001质量体系认证的得</w:t>
            </w:r>
            <w:r>
              <w:rPr>
                <w:rFonts w:hint="eastAsia" w:ascii="宋体" w:hAnsi="宋体" w:cs="宋体"/>
                <w:bCs/>
                <w:sz w:val="24"/>
                <w:highlight w:val="none"/>
                <w:lang w:val="en-US" w:eastAsia="zh-CN"/>
              </w:rPr>
              <w:t>6</w:t>
            </w:r>
            <w:r>
              <w:rPr>
                <w:rFonts w:hint="eastAsia" w:ascii="宋体" w:hAnsi="宋体" w:cs="宋体"/>
                <w:bCs/>
                <w:sz w:val="24"/>
                <w:highlight w:val="none"/>
              </w:rPr>
              <w:t>分</w:t>
            </w:r>
            <w:r>
              <w:rPr>
                <w:rFonts w:hint="eastAsia" w:ascii="宋体" w:hAnsi="宋体" w:cs="宋体"/>
                <w:bCs/>
                <w:sz w:val="24"/>
                <w:highlight w:val="none"/>
                <w:lang w:eastAsia="zh-CN"/>
              </w:rPr>
              <w:t>。</w:t>
            </w:r>
          </w:p>
          <w:p w14:paraId="795E8A36">
            <w:pPr>
              <w:pStyle w:val="10"/>
              <w:ind w:firstLine="482" w:firstLineChars="200"/>
              <w:rPr>
                <w:rFonts w:hint="eastAsia" w:ascii="宋体" w:hAnsi="宋体" w:eastAsia="宋体" w:cs="宋体"/>
                <w:color w:val="auto"/>
                <w:sz w:val="24"/>
                <w:szCs w:val="24"/>
                <w:highlight w:val="none"/>
              </w:rPr>
            </w:pPr>
            <w:r>
              <w:rPr>
                <w:rFonts w:hint="eastAsia" w:ascii="宋体" w:hAnsi="宋体" w:cs="宋体"/>
                <w:b/>
                <w:bCs/>
                <w:lang w:eastAsia="zh-CN"/>
              </w:rPr>
              <w:t>注：验证以认证证书为准，</w:t>
            </w:r>
            <w:r>
              <w:rPr>
                <w:rFonts w:hint="eastAsia" w:ascii="宋体" w:hAnsi="宋体"/>
                <w:b/>
                <w:bCs/>
                <w:sz w:val="24"/>
                <w:highlight w:val="none"/>
              </w:rPr>
              <w:t>供应商须将</w:t>
            </w:r>
            <w:r>
              <w:rPr>
                <w:rFonts w:hint="eastAsia" w:ascii="宋体" w:hAnsi="宋体"/>
                <w:b/>
                <w:bCs/>
                <w:sz w:val="24"/>
                <w:highlight w:val="none"/>
                <w:lang w:eastAsia="zh-CN"/>
              </w:rPr>
              <w:t>认证证书</w:t>
            </w:r>
            <w:r>
              <w:rPr>
                <w:rFonts w:hint="eastAsia" w:ascii="宋体" w:hAnsi="宋体"/>
                <w:b/>
                <w:bCs/>
                <w:sz w:val="24"/>
                <w:highlight w:val="none"/>
              </w:rPr>
              <w:t>的扫描件或复印件</w:t>
            </w:r>
            <w:r>
              <w:rPr>
                <w:rFonts w:hint="eastAsia" w:ascii="宋体" w:hAnsi="宋体"/>
                <w:b/>
                <w:bCs/>
                <w:sz w:val="24"/>
                <w:highlight w:val="none"/>
                <w:lang w:val="en-US" w:eastAsia="zh-CN"/>
              </w:rPr>
              <w:t>编制</w:t>
            </w:r>
            <w:r>
              <w:rPr>
                <w:rFonts w:hint="eastAsia" w:ascii="宋体" w:hAnsi="宋体"/>
                <w:b/>
                <w:bCs/>
                <w:sz w:val="24"/>
                <w:highlight w:val="none"/>
              </w:rPr>
              <w:t>在</w:t>
            </w:r>
            <w:r>
              <w:rPr>
                <w:rFonts w:hint="eastAsia" w:ascii="宋体" w:hAnsi="宋体"/>
                <w:b/>
                <w:bCs/>
                <w:sz w:val="24"/>
                <w:highlight w:val="none"/>
                <w:lang w:val="en-US" w:eastAsia="zh-CN"/>
              </w:rPr>
              <w:t>电子</w:t>
            </w:r>
            <w:r>
              <w:rPr>
                <w:rFonts w:hint="eastAsia" w:ascii="宋体" w:hAnsi="宋体"/>
                <w:b/>
                <w:bCs/>
                <w:sz w:val="24"/>
                <w:highlight w:val="none"/>
              </w:rPr>
              <w:t>响应文件中，否则不予认可</w:t>
            </w:r>
            <w:r>
              <w:rPr>
                <w:rFonts w:hint="eastAsia" w:ascii="宋体" w:hAnsi="宋体"/>
                <w:b/>
                <w:bCs/>
                <w:sz w:val="24"/>
                <w:highlight w:val="none"/>
                <w:lang w:eastAsia="zh-CN"/>
              </w:rPr>
              <w:t>。</w:t>
            </w:r>
          </w:p>
        </w:tc>
      </w:tr>
      <w:tr w14:paraId="1268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58DF007B">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387" w:type="dxa"/>
            <w:tcBorders>
              <w:tl2br w:val="nil"/>
              <w:tr2bl w:val="nil"/>
            </w:tcBorders>
            <w:vAlign w:val="center"/>
          </w:tcPr>
          <w:p w14:paraId="5BDE1022">
            <w:pPr>
              <w:spacing w:line="440" w:lineRule="exact"/>
              <w:jc w:val="center"/>
              <w:rPr>
                <w:b w:val="0"/>
                <w:bCs w:val="0"/>
                <w:sz w:val="24"/>
              </w:rPr>
            </w:pPr>
            <w:r>
              <w:rPr>
                <w:rFonts w:hint="eastAsia"/>
                <w:b w:val="0"/>
                <w:bCs w:val="0"/>
                <w:sz w:val="24"/>
              </w:rPr>
              <w:t>同类业绩</w:t>
            </w:r>
          </w:p>
          <w:p w14:paraId="27AF225D">
            <w:pPr>
              <w:pStyle w:val="10"/>
              <w:rPr>
                <w:rFonts w:hint="eastAsia" w:ascii="宋体" w:hAnsi="宋体" w:eastAsia="宋体" w:cs="宋体"/>
                <w:color w:val="auto"/>
                <w:sz w:val="24"/>
                <w:szCs w:val="24"/>
                <w:highlight w:val="none"/>
              </w:rPr>
            </w:pPr>
          </w:p>
        </w:tc>
        <w:tc>
          <w:tcPr>
            <w:tcW w:w="878" w:type="dxa"/>
            <w:tcBorders>
              <w:tl2br w:val="nil"/>
              <w:tr2bl w:val="nil"/>
            </w:tcBorders>
            <w:vAlign w:val="center"/>
          </w:tcPr>
          <w:p w14:paraId="34AE8D22">
            <w:pPr>
              <w:spacing w:line="440" w:lineRule="exact"/>
              <w:rPr>
                <w:rFonts w:hint="eastAsia" w:ascii="宋体" w:hAnsi="宋体" w:cs="宋体"/>
                <w:b w:val="0"/>
                <w:bCs/>
                <w:color w:val="auto"/>
                <w:sz w:val="24"/>
                <w:szCs w:val="24"/>
                <w:highlight w:val="none"/>
                <w:lang w:val="en-US" w:eastAsia="zh-CN"/>
              </w:rPr>
            </w:pPr>
            <w:r>
              <w:rPr>
                <w:rFonts w:hint="eastAsia"/>
                <w:b/>
                <w:bCs/>
                <w:sz w:val="24"/>
                <w:lang w:val="en-US" w:eastAsia="zh-CN"/>
              </w:rPr>
              <w:t>12</w:t>
            </w:r>
            <w:r>
              <w:rPr>
                <w:rFonts w:hint="eastAsia"/>
                <w:b/>
                <w:bCs/>
                <w:sz w:val="24"/>
              </w:rPr>
              <w:t>分</w:t>
            </w:r>
          </w:p>
        </w:tc>
        <w:tc>
          <w:tcPr>
            <w:tcW w:w="6257" w:type="dxa"/>
            <w:tcBorders>
              <w:tl2br w:val="nil"/>
              <w:tr2bl w:val="nil"/>
            </w:tcBorders>
            <w:vAlign w:val="center"/>
          </w:tcPr>
          <w:p w14:paraId="7B1194F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w:t>
            </w:r>
            <w:r>
              <w:rPr>
                <w:rFonts w:hint="eastAsia" w:ascii="宋体" w:hAnsi="宋体" w:cs="宋体"/>
                <w:sz w:val="24"/>
                <w:szCs w:val="24"/>
                <w:highlight w:val="none"/>
                <w:lang w:val="en-US" w:eastAsia="zh-CN"/>
              </w:rPr>
              <w:t>自</w:t>
            </w:r>
            <w:r>
              <w:rPr>
                <w:rFonts w:hint="eastAsia" w:ascii="宋体" w:hAnsi="宋体" w:eastAsia="宋体" w:cs="宋体"/>
                <w:sz w:val="24"/>
                <w:szCs w:val="24"/>
                <w:highlight w:val="none"/>
                <w:lang w:val="en-US" w:eastAsia="zh-CN"/>
              </w:rPr>
              <w:t>2020年1月1日</w:t>
            </w:r>
            <w:r>
              <w:rPr>
                <w:rFonts w:hint="eastAsia" w:ascii="宋体" w:hAnsi="宋体" w:cs="宋体"/>
                <w:bCs/>
                <w:sz w:val="24"/>
                <w:highlight w:val="none"/>
                <w:lang w:eastAsia="zh-CN"/>
              </w:rPr>
              <w:t>以来，具有供热项目热网设备、设施等工程施工类似业绩，</w:t>
            </w:r>
            <w:r>
              <w:rPr>
                <w:rFonts w:hint="eastAsia" w:ascii="宋体" w:hAnsi="宋体" w:eastAsia="宋体" w:cs="宋体"/>
                <w:sz w:val="24"/>
                <w:szCs w:val="24"/>
                <w:highlight w:val="none"/>
                <w:lang w:val="en-US" w:eastAsia="zh-CN"/>
              </w:rPr>
              <w:t>每提供一</w:t>
            </w:r>
            <w:r>
              <w:rPr>
                <w:rFonts w:hint="eastAsia" w:ascii="宋体" w:hAnsi="宋体" w:cs="宋体"/>
                <w:sz w:val="24"/>
                <w:szCs w:val="24"/>
                <w:highlight w:val="none"/>
                <w:lang w:val="en-US" w:eastAsia="zh-CN"/>
              </w:rPr>
              <w:t>项</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本项最多得</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4261458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注：①主要产品业绩：是指供应商业绩。</w:t>
            </w:r>
          </w:p>
          <w:p w14:paraId="3E6CE68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lang w:val="en-US" w:eastAsia="zh-CN"/>
              </w:rPr>
              <w:t>②验证时间以合同为准，</w:t>
            </w:r>
            <w:r>
              <w:rPr>
                <w:rFonts w:hint="eastAsia" w:ascii="宋体" w:hAnsi="宋体" w:cs="宋体"/>
                <w:b/>
                <w:bCs/>
                <w:sz w:val="24"/>
                <w:szCs w:val="24"/>
                <w:highlight w:val="none"/>
                <w:lang w:val="en-US" w:eastAsia="zh-CN"/>
              </w:rPr>
              <w:t>合同中需体现合同双方及签章页、合同范围、服务内容、合同规模、管径及长度等主要信息，</w:t>
            </w:r>
            <w:r>
              <w:rPr>
                <w:rFonts w:hint="eastAsia" w:ascii="宋体" w:hAnsi="宋体" w:eastAsia="宋体" w:cs="宋体"/>
                <w:b/>
                <w:bCs/>
                <w:sz w:val="24"/>
                <w:szCs w:val="24"/>
                <w:highlight w:val="none"/>
                <w:lang w:val="en-US" w:eastAsia="zh-CN"/>
              </w:rPr>
              <w:t>供应商须将合同的扫描件或复印件编制在电子响应文件中，否则不予认可。</w:t>
            </w:r>
          </w:p>
        </w:tc>
      </w:tr>
      <w:tr w14:paraId="122F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4013AB80">
            <w:pPr>
              <w:snapToGrid w:val="0"/>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387" w:type="dxa"/>
            <w:tcBorders>
              <w:tl2br w:val="nil"/>
              <w:tr2bl w:val="nil"/>
            </w:tcBorders>
            <w:vAlign w:val="center"/>
          </w:tcPr>
          <w:p w14:paraId="4E5584B3">
            <w:pPr>
              <w:pStyle w:val="1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工期</w:t>
            </w:r>
          </w:p>
        </w:tc>
        <w:tc>
          <w:tcPr>
            <w:tcW w:w="878" w:type="dxa"/>
            <w:tcBorders>
              <w:tl2br w:val="nil"/>
              <w:tr2bl w:val="nil"/>
            </w:tcBorders>
            <w:vAlign w:val="center"/>
          </w:tcPr>
          <w:p w14:paraId="5E2849F5">
            <w:pPr>
              <w:spacing w:line="440" w:lineRule="exact"/>
              <w:jc w:val="center"/>
              <w:rPr>
                <w:rFonts w:hint="default"/>
                <w:b/>
                <w:bCs/>
                <w:sz w:val="24"/>
                <w:lang w:val="en-US" w:eastAsia="zh-CN"/>
              </w:rPr>
            </w:pPr>
            <w:r>
              <w:rPr>
                <w:rFonts w:hint="eastAsia"/>
                <w:b/>
                <w:bCs/>
                <w:sz w:val="24"/>
                <w:lang w:val="en-US" w:eastAsia="zh-CN"/>
              </w:rPr>
              <w:t>3分</w:t>
            </w:r>
          </w:p>
        </w:tc>
        <w:tc>
          <w:tcPr>
            <w:tcW w:w="6257" w:type="dxa"/>
            <w:tcBorders>
              <w:tl2br w:val="nil"/>
              <w:tr2bl w:val="nil"/>
            </w:tcBorders>
            <w:vAlign w:val="center"/>
          </w:tcPr>
          <w:p w14:paraId="7C5C297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工期满足竞争性磋商文件要求不得分，每提前</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天得</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分，本项最多得为3分。</w:t>
            </w:r>
          </w:p>
          <w:p w14:paraId="1072B17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注：供应商须将针对本项目的具体</w:t>
            </w:r>
            <w:r>
              <w:rPr>
                <w:rFonts w:hint="eastAsia" w:ascii="宋体" w:hAnsi="宋体" w:cs="宋体"/>
                <w:b/>
                <w:bCs/>
                <w:sz w:val="24"/>
                <w:szCs w:val="24"/>
                <w:highlight w:val="none"/>
                <w:lang w:val="en-US" w:eastAsia="zh-CN"/>
              </w:rPr>
              <w:t>施工安排</w:t>
            </w:r>
            <w:r>
              <w:rPr>
                <w:rFonts w:hint="eastAsia" w:ascii="宋体" w:hAnsi="宋体" w:eastAsia="宋体" w:cs="宋体"/>
                <w:b/>
                <w:bCs/>
                <w:sz w:val="24"/>
                <w:szCs w:val="24"/>
                <w:highlight w:val="none"/>
                <w:lang w:val="en-US" w:eastAsia="zh-CN"/>
              </w:rPr>
              <w:t>时间编制在电子响应文件中（加盖本单位公章），否则不得分。</w:t>
            </w:r>
          </w:p>
        </w:tc>
      </w:tr>
    </w:tbl>
    <w:p w14:paraId="328456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70C612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14:paraId="5245B6B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w:t>
      </w:r>
    </w:p>
    <w:p w14:paraId="7E3DCB0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5F0F092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14:paraId="4F3740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62CDD9BA">
      <w:pPr>
        <w:widowControl/>
        <w:jc w:val="left"/>
        <w:rPr>
          <w:rFonts w:ascii="宋体" w:hAnsi="宋体"/>
          <w:b/>
          <w:color w:val="auto"/>
          <w:sz w:val="24"/>
        </w:rPr>
      </w:pPr>
      <w:r>
        <w:rPr>
          <w:rFonts w:ascii="宋体" w:hAnsi="宋体"/>
          <w:b/>
          <w:color w:val="auto"/>
          <w:sz w:val="24"/>
        </w:rPr>
        <w:br w:type="page"/>
      </w:r>
    </w:p>
    <w:p w14:paraId="743258D0">
      <w:pPr>
        <w:pStyle w:val="3"/>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 xml:space="preserve">第四部分 </w:t>
      </w:r>
      <w:bookmarkStart w:id="235" w:name="_GoBack"/>
      <w:bookmarkEnd w:id="235"/>
      <w:r>
        <w:rPr>
          <w:rFonts w:hint="eastAsia" w:ascii="宋体" w:hAnsi="宋体" w:eastAsia="宋体" w:cs="宋体"/>
          <w:color w:val="auto"/>
          <w:sz w:val="24"/>
          <w:szCs w:val="24"/>
          <w:lang w:val="en-US" w:eastAsia="zh-CN"/>
        </w:rPr>
        <w:t xml:space="preserve"> 采购内容</w:t>
      </w:r>
      <w:bookmarkEnd w:id="13"/>
      <w:r>
        <w:rPr>
          <w:rFonts w:hint="eastAsia" w:ascii="宋体" w:hAnsi="宋体" w:eastAsia="宋体" w:cs="宋体"/>
          <w:color w:val="auto"/>
          <w:sz w:val="24"/>
          <w:szCs w:val="24"/>
          <w:lang w:val="en-US" w:eastAsia="zh-CN"/>
        </w:rPr>
        <w:t>及要求</w:t>
      </w:r>
      <w:bookmarkEnd w:id="14"/>
    </w:p>
    <w:p w14:paraId="317682EE">
      <w:pPr>
        <w:spacing w:line="540" w:lineRule="exact"/>
        <w:rPr>
          <w:rFonts w:ascii="宋体" w:hAnsi="宋体"/>
          <w:color w:val="auto"/>
          <w:sz w:val="24"/>
        </w:rPr>
      </w:pPr>
      <w:r>
        <w:rPr>
          <w:rFonts w:hint="eastAsia" w:ascii="宋体" w:hAnsi="宋体"/>
          <w:b/>
          <w:bCs/>
          <w:color w:val="auto"/>
          <w:sz w:val="24"/>
        </w:rPr>
        <w:t>一、项目内容及要求</w:t>
      </w:r>
    </w:p>
    <w:p w14:paraId="5EB06DE7">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14:paraId="45BB0032">
      <w:pPr>
        <w:spacing w:line="54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邹城市钢山街道办事处崇义家园楼梯间热力改造工程包括图纸范围内（以施工界面划分为准）的全部内容，主要包括挖槽、土石方回填、给排水、采暖，燃气安装等全部内容（详见工程量清单，以工程量清单为准）。</w:t>
      </w:r>
    </w:p>
    <w:p w14:paraId="6D7B1B79">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color w:val="auto"/>
          <w:sz w:val="24"/>
          <w:szCs w:val="24"/>
          <w:lang w:eastAsia="zh-CN"/>
        </w:rPr>
        <w:t>邹城市钢山街道办事处崇义家园小区内</w:t>
      </w:r>
      <w:r>
        <w:rPr>
          <w:rFonts w:hint="eastAsia" w:ascii="宋体" w:hAnsi="宋体" w:cs="黑体"/>
          <w:bCs/>
          <w:color w:val="auto"/>
          <w:kern w:val="0"/>
          <w:sz w:val="24"/>
          <w:highlight w:val="none"/>
        </w:rPr>
        <w:t>。</w:t>
      </w:r>
    </w:p>
    <w:p w14:paraId="096FB7DA">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本项目采购预算1011667.94元。</w:t>
      </w:r>
    </w:p>
    <w:p w14:paraId="363298A0">
      <w:pPr>
        <w:spacing w:line="540" w:lineRule="exact"/>
        <w:ind w:firstLine="480" w:firstLineChars="200"/>
        <w:rPr>
          <w:rFonts w:hint="eastAsia"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35日历天</w:t>
      </w:r>
      <w:r>
        <w:rPr>
          <w:rFonts w:hint="eastAsia" w:ascii="宋体" w:hAnsi="宋体" w:cs="宋体"/>
          <w:color w:val="auto"/>
          <w:sz w:val="24"/>
          <w:highlight w:val="none"/>
        </w:rPr>
        <w:t>。</w:t>
      </w:r>
      <w:bookmarkEnd w:id="16"/>
    </w:p>
    <w:p w14:paraId="2BC0471F">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cs="宋体"/>
          <w:color w:val="auto"/>
          <w:sz w:val="24"/>
          <w:highlight w:val="none"/>
          <w:lang w:eastAsia="zh-CN"/>
        </w:rPr>
        <w:t>质量标准</w:t>
      </w:r>
      <w:r>
        <w:rPr>
          <w:rFonts w:hint="eastAsia" w:ascii="宋体" w:hAnsi="宋体" w:eastAsia="宋体" w:cs="宋体"/>
          <w:color w:val="auto"/>
          <w:sz w:val="24"/>
          <w:highlight w:val="none"/>
          <w:lang w:eastAsia="zh-CN"/>
        </w:rPr>
        <w:t>合格</w:t>
      </w:r>
      <w:r>
        <w:rPr>
          <w:rFonts w:hint="eastAsia" w:ascii="宋体" w:hAnsi="宋体" w:cs="宋体"/>
          <w:color w:val="auto"/>
          <w:sz w:val="24"/>
          <w:highlight w:val="none"/>
          <w:lang w:eastAsia="zh-CN"/>
        </w:rPr>
        <w:t>并通过</w:t>
      </w:r>
      <w:r>
        <w:rPr>
          <w:rFonts w:hint="eastAsia" w:ascii="宋体" w:hAnsi="宋体"/>
          <w:color w:val="auto"/>
          <w:sz w:val="24"/>
          <w:highlight w:val="none"/>
          <w:lang w:val="en-US" w:eastAsia="zh-CN"/>
        </w:rPr>
        <w:t>华电邹城热力有限公司的验收</w:t>
      </w:r>
      <w:r>
        <w:rPr>
          <w:rFonts w:hint="eastAsia" w:ascii="宋体" w:hAnsi="宋体"/>
          <w:bCs/>
          <w:color w:val="auto"/>
          <w:sz w:val="24"/>
          <w:highlight w:val="none"/>
        </w:rPr>
        <w:t>。</w:t>
      </w:r>
    </w:p>
    <w:p w14:paraId="0285EB1C">
      <w:pPr>
        <w:spacing w:line="540" w:lineRule="exact"/>
        <w:ind w:firstLine="480" w:firstLineChars="200"/>
        <w:rPr>
          <w:rFonts w:hint="eastAsia" w:ascii="宋体" w:hAnsi="宋体" w:eastAsia="宋体" w:cs="宋体"/>
          <w:b w:val="0"/>
          <w:bCs/>
          <w:color w:val="auto"/>
          <w:sz w:val="24"/>
          <w:szCs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14:paraId="21C4E85A">
      <w:pPr>
        <w:spacing w:line="540" w:lineRule="exact"/>
        <w:ind w:firstLine="482" w:firstLineChars="200"/>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本</w:t>
      </w:r>
      <w:r>
        <w:rPr>
          <w:rFonts w:hint="eastAsia" w:ascii="宋体" w:hAnsi="宋体" w:eastAsia="宋体" w:cs="宋体"/>
          <w:b/>
          <w:bCs w:val="0"/>
          <w:color w:val="auto"/>
          <w:sz w:val="24"/>
          <w:szCs w:val="24"/>
          <w:highlight w:val="none"/>
          <w:lang w:val="en-US" w:eastAsia="zh-CN"/>
        </w:rPr>
        <w:t>项目实施完成后，应保证通过华电邹城热力有限公司的验收</w:t>
      </w:r>
      <w:r>
        <w:rPr>
          <w:rFonts w:hint="eastAsia" w:ascii="宋体" w:hAnsi="宋体" w:cs="宋体"/>
          <w:b/>
          <w:bCs w:val="0"/>
          <w:color w:val="auto"/>
          <w:sz w:val="24"/>
          <w:szCs w:val="24"/>
          <w:highlight w:val="none"/>
          <w:lang w:val="en-US" w:eastAsia="zh-CN"/>
        </w:rPr>
        <w:t>，具体要求如下：</w:t>
      </w:r>
    </w:p>
    <w:p w14:paraId="71E59062">
      <w:pPr>
        <w:pStyle w:val="34"/>
      </w:pPr>
    </w:p>
    <w:p w14:paraId="5E5BDABC">
      <w:pPr>
        <w:rPr>
          <w:color w:val="auto"/>
        </w:rPr>
      </w:pPr>
      <w:r>
        <w:rPr>
          <w:rFonts w:hint="eastAsia" w:ascii="宋体" w:hAnsi="宋体" w:eastAsia="宋体" w:cs="宋体"/>
          <w:b/>
          <w:color w:val="auto"/>
          <w:sz w:val="24"/>
          <w:szCs w:val="24"/>
        </w:rPr>
        <w:br w:type="page"/>
      </w:r>
    </w:p>
    <w:p w14:paraId="01571E0A">
      <w:pPr>
        <w:widowControl/>
        <w:jc w:val="center"/>
        <w:outlineLvl w:val="0"/>
        <w:rPr>
          <w:rFonts w:hint="eastAsia" w:ascii="宋体" w:hAnsi="宋体"/>
          <w:color w:val="auto"/>
          <w:sz w:val="32"/>
          <w:szCs w:val="32"/>
          <w:lang w:eastAsia="zh-CN"/>
        </w:rPr>
      </w:pPr>
      <w:r>
        <w:rPr>
          <w:rFonts w:hint="eastAsia" w:ascii="宋体" w:hAnsi="宋体"/>
          <w:color w:val="auto"/>
          <w:sz w:val="32"/>
          <w:szCs w:val="32"/>
          <w:lang w:eastAsia="zh-CN"/>
        </w:rPr>
        <w:t>崇义家园供热设施建设技术规范书</w:t>
      </w:r>
    </w:p>
    <w:p w14:paraId="330F17EA">
      <w:pPr>
        <w:widowControl/>
        <w:jc w:val="center"/>
        <w:outlineLvl w:val="0"/>
        <w:rPr>
          <w:rFonts w:hint="eastAsia" w:ascii="宋体" w:hAnsi="宋体"/>
          <w:color w:val="auto"/>
          <w:sz w:val="32"/>
          <w:szCs w:val="32"/>
        </w:rPr>
      </w:pPr>
    </w:p>
    <w:p w14:paraId="6195BB58">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适用范围：本标准适用于</w:t>
      </w:r>
      <w:r>
        <w:rPr>
          <w:rFonts w:hint="eastAsia" w:ascii="宋体" w:hAnsi="宋体"/>
          <w:color w:val="auto"/>
          <w:sz w:val="24"/>
          <w:szCs w:val="24"/>
          <w:lang w:eastAsia="zh-CN"/>
        </w:rPr>
        <w:t>华电邹城热力公司所辖</w:t>
      </w:r>
      <w:r>
        <w:rPr>
          <w:rFonts w:hint="eastAsia" w:ascii="宋体" w:hAnsi="宋体"/>
          <w:color w:val="auto"/>
          <w:sz w:val="24"/>
          <w:szCs w:val="24"/>
        </w:rPr>
        <w:t>“集中供热的竣工项目供、用热设施的验收”，内容包括房地产项目规划红线内室外供热管网、换热站、建筑物热力入口、建筑物内系统、户内系统、和建筑节能（采暖部分）、供热计量、远传抄表管理系统、系统水压试验和冲洗、系统试运行和调试。市住建局仅对该《导则》技术标准进行解释。新建小区供热设施建设除参照本导则的规定外，应符合国家现行有关标准的规定。</w:t>
      </w:r>
    </w:p>
    <w:p w14:paraId="3D6B26C7">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color w:val="auto"/>
          <w:sz w:val="24"/>
          <w:szCs w:val="24"/>
        </w:rPr>
      </w:pPr>
      <w:r>
        <w:rPr>
          <w:rFonts w:hint="eastAsia" w:ascii="宋体" w:hAnsi="宋体"/>
          <w:color w:val="auto"/>
          <w:sz w:val="24"/>
          <w:szCs w:val="24"/>
        </w:rPr>
        <w:t>参考执行标准：</w:t>
      </w:r>
    </w:p>
    <w:p w14:paraId="357CDBE3">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outlineLvl w:val="0"/>
        <w:rPr>
          <w:rFonts w:hint="eastAsia" w:ascii="宋体" w:hAnsi="宋体"/>
          <w:color w:val="auto"/>
          <w:sz w:val="24"/>
          <w:szCs w:val="24"/>
        </w:rPr>
      </w:pPr>
      <w:r>
        <w:rPr>
          <w:rFonts w:hint="eastAsia" w:ascii="宋体" w:hAnsi="宋体"/>
          <w:color w:val="auto"/>
          <w:sz w:val="24"/>
          <w:szCs w:val="24"/>
        </w:rPr>
        <w:t>GB50236-2011《现场设备、工业管道焊接工程施工及验收规范》</w:t>
      </w:r>
    </w:p>
    <w:p w14:paraId="67E699C2">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outlineLvl w:val="0"/>
        <w:rPr>
          <w:rFonts w:hint="eastAsia" w:ascii="宋体" w:hAnsi="宋体"/>
          <w:color w:val="auto"/>
          <w:sz w:val="24"/>
          <w:szCs w:val="24"/>
        </w:rPr>
      </w:pPr>
      <w:r>
        <w:rPr>
          <w:rFonts w:hint="eastAsia" w:ascii="宋体" w:hAnsi="宋体"/>
          <w:color w:val="auto"/>
          <w:sz w:val="24"/>
          <w:szCs w:val="24"/>
        </w:rPr>
        <w:t>CJJ28-2014《城镇供热管网工程施工及验收规范》</w:t>
      </w:r>
    </w:p>
    <w:p w14:paraId="7FF2983A">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outlineLvl w:val="0"/>
        <w:rPr>
          <w:rFonts w:hint="eastAsia" w:ascii="宋体" w:hAnsi="宋体"/>
          <w:color w:val="auto"/>
          <w:sz w:val="24"/>
          <w:szCs w:val="24"/>
        </w:rPr>
      </w:pPr>
      <w:r>
        <w:rPr>
          <w:rFonts w:hint="eastAsia" w:ascii="宋体" w:hAnsi="宋体"/>
          <w:color w:val="auto"/>
          <w:sz w:val="24"/>
          <w:szCs w:val="24"/>
        </w:rPr>
        <w:t>CJJ34-2010《城镇供热管网设计规范》</w:t>
      </w:r>
    </w:p>
    <w:p w14:paraId="0FE2E342">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outlineLvl w:val="0"/>
        <w:rPr>
          <w:rFonts w:hint="eastAsia" w:ascii="宋体" w:hAnsi="宋体"/>
          <w:color w:val="auto"/>
          <w:sz w:val="24"/>
          <w:szCs w:val="24"/>
        </w:rPr>
      </w:pPr>
      <w:r>
        <w:rPr>
          <w:rFonts w:hint="eastAsia" w:ascii="宋体" w:hAnsi="宋体"/>
          <w:color w:val="auto"/>
          <w:sz w:val="24"/>
          <w:szCs w:val="24"/>
        </w:rPr>
        <w:t>GB50015-2003《建筑给水排水设计规范》</w:t>
      </w:r>
    </w:p>
    <w:p w14:paraId="5AC02100">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outlineLvl w:val="0"/>
        <w:rPr>
          <w:rFonts w:hint="eastAsia" w:ascii="宋体" w:hAnsi="宋体"/>
          <w:color w:val="auto"/>
          <w:sz w:val="24"/>
          <w:szCs w:val="24"/>
        </w:rPr>
      </w:pPr>
      <w:r>
        <w:rPr>
          <w:rFonts w:hint="eastAsia" w:ascii="宋体" w:hAnsi="宋体"/>
          <w:color w:val="auto"/>
          <w:sz w:val="24"/>
          <w:szCs w:val="24"/>
        </w:rPr>
        <w:t>GB50235-2010《工业金属管道工程施工规范》</w:t>
      </w:r>
    </w:p>
    <w:p w14:paraId="02381A4A">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outlineLvl w:val="0"/>
        <w:rPr>
          <w:rFonts w:hint="eastAsia" w:ascii="宋体" w:hAnsi="宋体"/>
          <w:color w:val="auto"/>
          <w:sz w:val="24"/>
          <w:szCs w:val="24"/>
        </w:rPr>
      </w:pPr>
      <w:r>
        <w:rPr>
          <w:rFonts w:hint="eastAsia" w:ascii="宋体" w:hAnsi="宋体"/>
          <w:color w:val="auto"/>
          <w:sz w:val="24"/>
          <w:szCs w:val="24"/>
        </w:rPr>
        <w:t>CJJ28-2014《城镇供热管网工程施工及验收规范》</w:t>
      </w:r>
    </w:p>
    <w:p w14:paraId="54F0C6FC">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outlineLvl w:val="0"/>
        <w:rPr>
          <w:rFonts w:hint="eastAsia" w:ascii="宋体" w:hAnsi="宋体"/>
          <w:color w:val="auto"/>
          <w:sz w:val="24"/>
          <w:szCs w:val="24"/>
        </w:rPr>
      </w:pPr>
      <w:r>
        <w:rPr>
          <w:rFonts w:hint="eastAsia" w:ascii="宋体" w:hAnsi="宋体"/>
          <w:color w:val="auto"/>
          <w:sz w:val="24"/>
          <w:szCs w:val="24"/>
        </w:rPr>
        <w:t>GB/T8163-2018《输送流体用无缝钢管》</w:t>
      </w:r>
    </w:p>
    <w:p w14:paraId="12B29FCB">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outlineLvl w:val="0"/>
        <w:rPr>
          <w:rFonts w:hint="eastAsia" w:ascii="宋体" w:hAnsi="宋体"/>
          <w:color w:val="auto"/>
          <w:sz w:val="24"/>
          <w:szCs w:val="24"/>
        </w:rPr>
      </w:pPr>
      <w:r>
        <w:rPr>
          <w:rFonts w:hint="eastAsia" w:ascii="宋体" w:hAnsi="宋体"/>
          <w:color w:val="auto"/>
          <w:sz w:val="24"/>
          <w:szCs w:val="24"/>
        </w:rPr>
        <w:t>GB/T1463-2005《纤维增强塑料密度和相对密度试验方法》</w:t>
      </w:r>
    </w:p>
    <w:p w14:paraId="76CC12EB">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outlineLvl w:val="0"/>
        <w:rPr>
          <w:rFonts w:hint="eastAsia" w:ascii="宋体" w:hAnsi="宋体"/>
          <w:color w:val="auto"/>
          <w:sz w:val="24"/>
          <w:szCs w:val="24"/>
          <w:lang w:eastAsia="zh-CN"/>
        </w:rPr>
      </w:pPr>
      <w:r>
        <w:rPr>
          <w:rFonts w:hint="eastAsia" w:ascii="宋体" w:hAnsi="宋体"/>
          <w:color w:val="auto"/>
          <w:sz w:val="24"/>
          <w:szCs w:val="24"/>
        </w:rPr>
        <w:t>GB/T29047-2012《高密度聚乙稀外护管硬质聚氨脂泡沫塑料预制直埋保温管及管件》</w:t>
      </w:r>
    </w:p>
    <w:p w14:paraId="30A55398">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outlineLvl w:val="0"/>
        <w:rPr>
          <w:rFonts w:hint="eastAsia" w:ascii="宋体" w:hAnsi="宋体"/>
          <w:color w:val="auto"/>
          <w:sz w:val="24"/>
          <w:szCs w:val="24"/>
          <w:lang w:eastAsia="zh-CN"/>
        </w:rPr>
      </w:pPr>
      <w:r>
        <w:rPr>
          <w:rFonts w:hint="eastAsia" w:ascii="宋体" w:hAnsi="宋体"/>
          <w:color w:val="auto"/>
          <w:sz w:val="24"/>
          <w:szCs w:val="24"/>
          <w:lang w:eastAsia="zh-CN"/>
        </w:rPr>
        <w:t>济建房字【</w:t>
      </w:r>
      <w:r>
        <w:rPr>
          <w:rFonts w:hint="eastAsia" w:ascii="宋体" w:hAnsi="宋体"/>
          <w:color w:val="auto"/>
          <w:sz w:val="24"/>
          <w:szCs w:val="24"/>
          <w:lang w:val="en-US" w:eastAsia="zh-CN"/>
        </w:rPr>
        <w:t>2021</w:t>
      </w:r>
      <w:r>
        <w:rPr>
          <w:rFonts w:hint="eastAsia" w:ascii="宋体" w:hAnsi="宋体"/>
          <w:color w:val="auto"/>
          <w:sz w:val="24"/>
          <w:szCs w:val="24"/>
          <w:lang w:eastAsia="zh-CN"/>
        </w:rPr>
        <w:t>】</w:t>
      </w:r>
      <w:r>
        <w:rPr>
          <w:rFonts w:hint="eastAsia" w:ascii="宋体" w:hAnsi="宋体"/>
          <w:color w:val="auto"/>
          <w:sz w:val="24"/>
          <w:szCs w:val="24"/>
          <w:lang w:val="en-US" w:eastAsia="zh-CN"/>
        </w:rPr>
        <w:t>28号</w:t>
      </w:r>
      <w:r>
        <w:rPr>
          <w:rFonts w:hint="eastAsia" w:ascii="宋体" w:hAnsi="宋体"/>
          <w:color w:val="auto"/>
          <w:sz w:val="24"/>
          <w:szCs w:val="24"/>
          <w:lang w:eastAsia="zh-CN"/>
        </w:rPr>
        <w:t>《</w:t>
      </w:r>
      <w:r>
        <w:rPr>
          <w:rFonts w:hint="eastAsia" w:ascii="宋体" w:hAnsi="宋体"/>
          <w:color w:val="auto"/>
          <w:sz w:val="24"/>
          <w:szCs w:val="24"/>
        </w:rPr>
        <w:t>济宁市新建小区水气热电设施建设技术导则</w:t>
      </w:r>
      <w:r>
        <w:rPr>
          <w:rFonts w:hint="eastAsia" w:ascii="宋体" w:hAnsi="宋体"/>
          <w:color w:val="auto"/>
          <w:sz w:val="24"/>
          <w:szCs w:val="24"/>
          <w:lang w:eastAsia="zh-CN"/>
        </w:rPr>
        <w:t>》</w:t>
      </w:r>
      <w:bookmarkStart w:id="17" w:name="_Toc22050_WPSOffice_Level1"/>
      <w:bookmarkStart w:id="18" w:name="_Toc3199_WPSOffice_Level1"/>
      <w:bookmarkStart w:id="19" w:name="_Toc30247_WPSOffice_Level1"/>
    </w:p>
    <w:p w14:paraId="5173FB6B">
      <w:pPr>
        <w:widowControl/>
        <w:jc w:val="center"/>
        <w:outlineLvl w:val="0"/>
        <w:rPr>
          <w:rFonts w:hint="eastAsia" w:ascii="宋体" w:hAnsi="宋体"/>
          <w:color w:val="auto"/>
          <w:sz w:val="24"/>
          <w:szCs w:val="24"/>
        </w:rPr>
      </w:pPr>
      <w:r>
        <w:rPr>
          <w:rFonts w:hint="eastAsia" w:ascii="宋体" w:hAnsi="宋体"/>
          <w:color w:val="auto"/>
          <w:sz w:val="24"/>
          <w:szCs w:val="24"/>
        </w:rPr>
        <w:t>第一章</w:t>
      </w:r>
      <w:r>
        <w:rPr>
          <w:rFonts w:hint="eastAsia" w:ascii="宋体" w:hAnsi="宋体"/>
          <w:color w:val="auto"/>
          <w:sz w:val="24"/>
          <w:szCs w:val="24"/>
          <w:lang w:val="en-US" w:eastAsia="zh-CN"/>
        </w:rPr>
        <w:t xml:space="preserve">  </w:t>
      </w:r>
      <w:r>
        <w:rPr>
          <w:rFonts w:hint="eastAsia" w:ascii="宋体" w:hAnsi="宋体"/>
          <w:color w:val="auto"/>
          <w:sz w:val="24"/>
          <w:szCs w:val="24"/>
        </w:rPr>
        <w:t>主要材料技术要求</w:t>
      </w:r>
      <w:bookmarkEnd w:id="17"/>
      <w:bookmarkEnd w:id="18"/>
      <w:bookmarkEnd w:id="19"/>
    </w:p>
    <w:p w14:paraId="6A5B26C6">
      <w:pPr>
        <w:widowControl/>
        <w:jc w:val="center"/>
        <w:outlineLvl w:val="0"/>
        <w:rPr>
          <w:rFonts w:hint="eastAsia" w:ascii="宋体" w:hAnsi="宋体"/>
          <w:color w:val="auto"/>
          <w:sz w:val="24"/>
          <w:szCs w:val="24"/>
        </w:rPr>
      </w:pPr>
      <w:bookmarkStart w:id="20" w:name="_bookmark119"/>
      <w:bookmarkEnd w:id="20"/>
      <w:bookmarkStart w:id="21" w:name="_Toc30247_WPSOffice_Level2"/>
      <w:bookmarkStart w:id="22" w:name="_Toc22050_WPSOffice_Level2"/>
      <w:bookmarkStart w:id="23" w:name="_Toc3199_WPSOffice_Level2"/>
      <w:r>
        <w:rPr>
          <w:rFonts w:hint="eastAsia" w:ascii="宋体" w:hAnsi="宋体"/>
          <w:color w:val="auto"/>
          <w:sz w:val="24"/>
          <w:szCs w:val="24"/>
        </w:rPr>
        <w:t>1.保温管材技术要求</w:t>
      </w:r>
      <w:bookmarkEnd w:id="21"/>
      <w:bookmarkEnd w:id="22"/>
      <w:bookmarkEnd w:id="23"/>
    </w:p>
    <w:p w14:paraId="7E2A237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1.1室外直埋管网应采用聚氨酯预制保温无缝钢管，不可采用镀锌管；聚酯预制保温管的质量满足《高密度聚乙烯外护管聚氨酯泡沫塑料预制直埋保温管》CJ/T114-2000的要求。预制保温管进行施工现场后，应进行蓬盖，避免聚乙烯外壳遭受日晒雨淋，造成聚乙烯外壳破裂。</w:t>
      </w:r>
    </w:p>
    <w:p w14:paraId="6BE45C4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1.2供热管网的管材应满足设计要求并不低于下列规定:</w:t>
      </w:r>
    </w:p>
    <w:p w14:paraId="0EB888D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（1）管径</w:t>
      </w:r>
      <w:r>
        <w:rPr>
          <w:rFonts w:hint="eastAsia" w:ascii="宋体" w:hAnsi="宋体"/>
          <w:color w:val="auto"/>
          <w:sz w:val="24"/>
          <w:szCs w:val="24"/>
          <w:lang w:eastAsia="zh-CN"/>
        </w:rPr>
        <w:t>≤</w:t>
      </w:r>
      <w:r>
        <w:rPr>
          <w:rFonts w:hint="eastAsia" w:ascii="宋体" w:hAnsi="宋体"/>
          <w:color w:val="auto"/>
          <w:sz w:val="24"/>
          <w:szCs w:val="24"/>
        </w:rPr>
        <w:t>50mm时，一次管网使用20#钢无缝钢管，二次管网可使用焊接钢管。</w:t>
      </w:r>
    </w:p>
    <w:p w14:paraId="340C9A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（2）管径为65～200mm时，应使用20#无缝钢管（GB8163标准）。</w:t>
      </w:r>
    </w:p>
    <w:p w14:paraId="655492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（3）管径大于200mm时，应使用螺旋焊接钢管(GB9711.1标准)。</w:t>
      </w:r>
    </w:p>
    <w:p w14:paraId="1C7F557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1.2.1工作钢管采用螺旋焊接钢管，应为优质卷板。</w:t>
      </w:r>
    </w:p>
    <w:p w14:paraId="563F593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1.2.2螺旋焊缝钢管的长度每根管定尺长度为12m，允许偏差为-20～+50mm。</w:t>
      </w:r>
    </w:p>
    <w:p w14:paraId="60DF005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1.2.3钢管的两端面应与钢管轴线垂直，其切斜度不得大于5mm，内外毛刺高度均不应大于0.5mm。</w:t>
      </w:r>
    </w:p>
    <w:p w14:paraId="776502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1.2.4根据管材相应的制造方法，钢管内外表面应光滑，不允许有折叠、裂缝、分层、搭焊等缺陷存在。</w:t>
      </w:r>
    </w:p>
    <w:p w14:paraId="355C88B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lang w:val="en-US" w:eastAsia="zh-CN"/>
        </w:rPr>
      </w:pPr>
      <w:r>
        <w:rPr>
          <w:rFonts w:hint="eastAsia" w:ascii="宋体" w:hAnsi="宋体"/>
          <w:color w:val="auto"/>
          <w:sz w:val="24"/>
          <w:szCs w:val="24"/>
        </w:rPr>
        <w:t>1.2.5当≥DN500mm时，管材外径允许偏差不得超±1.00%D。管材壁厚按照国标无下差标准，螺旋钢管所用钢板应采用国内大型企业的钢板，≥DN800的钢管，钢板宽度应大于等于管道直径。</w:t>
      </w:r>
      <w:r>
        <w:rPr>
          <w:rFonts w:hint="eastAsia" w:ascii="宋体" w:hAnsi="宋体"/>
          <w:color w:val="auto"/>
          <w:sz w:val="24"/>
          <w:szCs w:val="24"/>
          <w:lang w:val="en-US" w:eastAsia="zh-CN"/>
        </w:rPr>
        <w:t xml:space="preserve">    </w:t>
      </w:r>
    </w:p>
    <w:p w14:paraId="7A25984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1.2.6管材的弯曲度不得大于全长的0.15%。</w:t>
      </w:r>
    </w:p>
    <w:p w14:paraId="6EAA17F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1.2.7所有钢管应消磁，以便于焊接。</w:t>
      </w:r>
    </w:p>
    <w:p w14:paraId="4281414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1.2.8室外供热管道连接均应采用焊接连接，主供热管网焊口焊完后须经对口质量检验、外观质量检验后进行100%无损探伤检验，射线探伤检验应符合现行国家标准《钢熔化焊对接接头射线照相和质量分级》GB3的规定，合格标准为二级。强度与严密性试验，外观质量检验和无损探伤检验应按照《城镇供热管网工程施工及验收规范》</w:t>
      </w:r>
      <w:r>
        <w:rPr>
          <w:rFonts w:hint="eastAsia" w:ascii="宋体" w:hAnsi="宋体"/>
          <w:color w:val="auto"/>
          <w:sz w:val="24"/>
          <w:szCs w:val="24"/>
          <w:lang w:val="en-US" w:eastAsia="zh-CN"/>
        </w:rPr>
        <w:t xml:space="preserve"> </w:t>
      </w:r>
      <w:r>
        <w:rPr>
          <w:rFonts w:hint="eastAsia" w:ascii="宋体" w:hAnsi="宋体"/>
          <w:color w:val="auto"/>
          <w:sz w:val="24"/>
          <w:szCs w:val="24"/>
        </w:rPr>
        <w:t>（CJJ28-2014）中相关规定执行。供热管网的全部焊缝，在管网强度试验和水压试验合格后方可认为合格，并经试运行实践后，才能进行验收。</w:t>
      </w:r>
    </w:p>
    <w:p w14:paraId="1F5ED0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24"/>
          <w:szCs w:val="24"/>
        </w:rPr>
      </w:pPr>
      <w:r>
        <w:rPr>
          <w:rFonts w:hint="eastAsia" w:ascii="宋体" w:hAnsi="宋体"/>
          <w:color w:val="auto"/>
          <w:sz w:val="24"/>
          <w:szCs w:val="24"/>
        </w:rPr>
        <w:t>1.3聚氨酯保温层</w:t>
      </w:r>
    </w:p>
    <w:p w14:paraId="2BEE12E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olor w:val="auto"/>
          <w:sz w:val="32"/>
          <w:szCs w:val="32"/>
        </w:rPr>
      </w:pPr>
      <w:r>
        <w:rPr>
          <w:rFonts w:hint="eastAsia" w:ascii="宋体" w:hAnsi="宋体"/>
          <w:color w:val="auto"/>
          <w:sz w:val="24"/>
          <w:szCs w:val="24"/>
        </w:rPr>
        <w:t>1.3.1聚氨酯保温层材料性能指标：</w:t>
      </w:r>
    </w:p>
    <w:tbl>
      <w:tblPr>
        <w:tblStyle w:val="39"/>
        <w:tblpPr w:leftFromText="180" w:rightFromText="180" w:vertAnchor="text" w:horzAnchor="page" w:tblpX="1502" w:tblpY="87"/>
        <w:tblOverlap w:val="never"/>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17"/>
        <w:gridCol w:w="1418"/>
        <w:gridCol w:w="2936"/>
        <w:gridCol w:w="1850"/>
      </w:tblGrid>
      <w:tr w14:paraId="03718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2117" w:type="dxa"/>
            <w:noWrap w:val="0"/>
            <w:vAlign w:val="bottom"/>
          </w:tcPr>
          <w:p w14:paraId="40B4050B">
            <w:pPr>
              <w:widowControl/>
              <w:jc w:val="center"/>
              <w:outlineLvl w:val="0"/>
              <w:rPr>
                <w:rFonts w:hint="eastAsia" w:ascii="宋体" w:hAnsi="宋体"/>
                <w:color w:val="auto"/>
                <w:sz w:val="24"/>
                <w:szCs w:val="24"/>
              </w:rPr>
            </w:pPr>
            <w:r>
              <w:rPr>
                <w:rFonts w:hint="eastAsia" w:ascii="宋体" w:hAnsi="宋体"/>
                <w:color w:val="auto"/>
                <w:sz w:val="24"/>
                <w:szCs w:val="24"/>
              </w:rPr>
              <w:t>项目</w:t>
            </w:r>
          </w:p>
        </w:tc>
        <w:tc>
          <w:tcPr>
            <w:tcW w:w="1418" w:type="dxa"/>
            <w:noWrap w:val="0"/>
            <w:vAlign w:val="bottom"/>
          </w:tcPr>
          <w:p w14:paraId="6E687F6F">
            <w:pPr>
              <w:widowControl/>
              <w:jc w:val="center"/>
              <w:outlineLvl w:val="0"/>
              <w:rPr>
                <w:rFonts w:hint="eastAsia" w:ascii="宋体" w:hAnsi="宋体"/>
                <w:color w:val="auto"/>
                <w:sz w:val="24"/>
                <w:szCs w:val="24"/>
              </w:rPr>
            </w:pPr>
            <w:r>
              <w:rPr>
                <w:rFonts w:hint="eastAsia" w:ascii="宋体" w:hAnsi="宋体"/>
                <w:color w:val="auto"/>
                <w:sz w:val="24"/>
                <w:szCs w:val="24"/>
              </w:rPr>
              <w:t>单位</w:t>
            </w:r>
          </w:p>
        </w:tc>
        <w:tc>
          <w:tcPr>
            <w:tcW w:w="2936" w:type="dxa"/>
            <w:noWrap w:val="0"/>
            <w:vAlign w:val="bottom"/>
          </w:tcPr>
          <w:p w14:paraId="7E99215D">
            <w:pPr>
              <w:widowControl/>
              <w:jc w:val="center"/>
              <w:outlineLvl w:val="0"/>
              <w:rPr>
                <w:rFonts w:hint="eastAsia" w:ascii="宋体" w:hAnsi="宋体"/>
                <w:color w:val="auto"/>
                <w:sz w:val="24"/>
                <w:szCs w:val="24"/>
              </w:rPr>
            </w:pPr>
            <w:r>
              <w:rPr>
                <w:rFonts w:hint="eastAsia" w:ascii="宋体" w:hAnsi="宋体"/>
                <w:color w:val="auto"/>
                <w:sz w:val="24"/>
                <w:szCs w:val="24"/>
              </w:rPr>
              <w:t>参照标准</w:t>
            </w:r>
          </w:p>
        </w:tc>
        <w:tc>
          <w:tcPr>
            <w:tcW w:w="1850" w:type="dxa"/>
            <w:noWrap w:val="0"/>
            <w:vAlign w:val="bottom"/>
          </w:tcPr>
          <w:p w14:paraId="05C17A5D">
            <w:pPr>
              <w:widowControl/>
              <w:jc w:val="center"/>
              <w:outlineLvl w:val="0"/>
              <w:rPr>
                <w:rFonts w:hint="eastAsia" w:ascii="宋体" w:hAnsi="宋体"/>
                <w:color w:val="auto"/>
                <w:sz w:val="24"/>
                <w:szCs w:val="24"/>
              </w:rPr>
            </w:pPr>
            <w:r>
              <w:rPr>
                <w:rFonts w:hint="eastAsia" w:ascii="宋体" w:hAnsi="宋体"/>
                <w:color w:val="auto"/>
                <w:sz w:val="24"/>
                <w:szCs w:val="24"/>
              </w:rPr>
              <w:t>性能要求</w:t>
            </w:r>
          </w:p>
        </w:tc>
      </w:tr>
      <w:tr w14:paraId="6E88C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2117" w:type="dxa"/>
            <w:noWrap w:val="0"/>
            <w:vAlign w:val="bottom"/>
          </w:tcPr>
          <w:p w14:paraId="0C8CC2BD">
            <w:pPr>
              <w:widowControl/>
              <w:jc w:val="center"/>
              <w:outlineLvl w:val="0"/>
              <w:rPr>
                <w:rFonts w:hint="eastAsia" w:ascii="宋体" w:hAnsi="宋体"/>
                <w:color w:val="auto"/>
                <w:sz w:val="24"/>
                <w:szCs w:val="24"/>
              </w:rPr>
            </w:pPr>
            <w:r>
              <w:rPr>
                <w:rFonts w:hint="eastAsia" w:ascii="宋体" w:hAnsi="宋体"/>
                <w:color w:val="auto"/>
                <w:sz w:val="24"/>
                <w:szCs w:val="24"/>
              </w:rPr>
              <w:t>芯部密度</w:t>
            </w:r>
          </w:p>
        </w:tc>
        <w:tc>
          <w:tcPr>
            <w:tcW w:w="1418" w:type="dxa"/>
            <w:noWrap w:val="0"/>
            <w:vAlign w:val="bottom"/>
          </w:tcPr>
          <w:p w14:paraId="47732332">
            <w:pPr>
              <w:widowControl/>
              <w:jc w:val="center"/>
              <w:outlineLvl w:val="0"/>
              <w:rPr>
                <w:rFonts w:hint="eastAsia" w:ascii="宋体" w:hAnsi="宋体"/>
                <w:color w:val="auto"/>
                <w:sz w:val="24"/>
                <w:szCs w:val="24"/>
              </w:rPr>
            </w:pPr>
            <w:r>
              <w:rPr>
                <w:rFonts w:hint="eastAsia" w:ascii="宋体" w:hAnsi="宋体"/>
                <w:color w:val="auto"/>
                <w:sz w:val="24"/>
                <w:szCs w:val="24"/>
              </w:rPr>
              <w:t>Kg/m³</w:t>
            </w:r>
          </w:p>
        </w:tc>
        <w:tc>
          <w:tcPr>
            <w:tcW w:w="2936" w:type="dxa"/>
            <w:noWrap w:val="0"/>
            <w:vAlign w:val="bottom"/>
          </w:tcPr>
          <w:p w14:paraId="3B613B4C">
            <w:pPr>
              <w:widowControl/>
              <w:jc w:val="center"/>
              <w:outlineLvl w:val="0"/>
              <w:rPr>
                <w:rFonts w:hint="eastAsia" w:ascii="宋体" w:hAnsi="宋体"/>
                <w:color w:val="auto"/>
                <w:sz w:val="24"/>
                <w:szCs w:val="24"/>
              </w:rPr>
            </w:pPr>
            <w:r>
              <w:rPr>
                <w:rFonts w:hint="eastAsia" w:ascii="宋体" w:hAnsi="宋体"/>
                <w:color w:val="auto"/>
                <w:sz w:val="24"/>
                <w:szCs w:val="24"/>
              </w:rPr>
              <w:t>GB/T29047-2012</w:t>
            </w:r>
          </w:p>
        </w:tc>
        <w:tc>
          <w:tcPr>
            <w:tcW w:w="1850" w:type="dxa"/>
            <w:noWrap w:val="0"/>
            <w:vAlign w:val="bottom"/>
          </w:tcPr>
          <w:p w14:paraId="566C985E">
            <w:pPr>
              <w:widowControl/>
              <w:jc w:val="center"/>
              <w:outlineLvl w:val="0"/>
              <w:rPr>
                <w:rFonts w:hint="eastAsia" w:ascii="宋体" w:hAnsi="宋体"/>
                <w:color w:val="auto"/>
                <w:sz w:val="24"/>
                <w:szCs w:val="24"/>
              </w:rPr>
            </w:pPr>
            <w:r>
              <w:rPr>
                <w:rFonts w:hint="eastAsia" w:ascii="宋体" w:hAnsi="宋体"/>
                <w:color w:val="auto"/>
                <w:sz w:val="24"/>
                <w:szCs w:val="24"/>
              </w:rPr>
              <w:t>≥60</w:t>
            </w:r>
          </w:p>
        </w:tc>
      </w:tr>
      <w:tr w14:paraId="08E07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2117" w:type="dxa"/>
            <w:noWrap w:val="0"/>
            <w:vAlign w:val="bottom"/>
          </w:tcPr>
          <w:p w14:paraId="02032993">
            <w:pPr>
              <w:widowControl/>
              <w:jc w:val="center"/>
              <w:outlineLvl w:val="0"/>
              <w:rPr>
                <w:rFonts w:hint="eastAsia" w:ascii="宋体" w:hAnsi="宋体"/>
                <w:color w:val="auto"/>
                <w:sz w:val="24"/>
                <w:szCs w:val="24"/>
              </w:rPr>
            </w:pPr>
            <w:r>
              <w:rPr>
                <w:rFonts w:hint="eastAsia" w:ascii="宋体" w:hAnsi="宋体"/>
                <w:color w:val="auto"/>
                <w:sz w:val="24"/>
                <w:szCs w:val="24"/>
              </w:rPr>
              <w:t>径向压缩强度</w:t>
            </w:r>
          </w:p>
        </w:tc>
        <w:tc>
          <w:tcPr>
            <w:tcW w:w="1418" w:type="dxa"/>
            <w:noWrap w:val="0"/>
            <w:vAlign w:val="bottom"/>
          </w:tcPr>
          <w:p w14:paraId="33BDD163">
            <w:pPr>
              <w:widowControl/>
              <w:jc w:val="center"/>
              <w:outlineLvl w:val="0"/>
              <w:rPr>
                <w:rFonts w:hint="eastAsia" w:ascii="宋体" w:hAnsi="宋体"/>
                <w:color w:val="auto"/>
                <w:sz w:val="24"/>
                <w:szCs w:val="24"/>
                <w:lang w:eastAsia="zh-CN"/>
              </w:rPr>
            </w:pPr>
            <w:r>
              <w:rPr>
                <w:rFonts w:hint="eastAsia" w:ascii="宋体" w:hAnsi="宋体"/>
                <w:color w:val="auto"/>
                <w:sz w:val="24"/>
                <w:szCs w:val="24"/>
              </w:rPr>
              <w:t>M</w:t>
            </w:r>
            <w:r>
              <w:rPr>
                <w:rFonts w:hint="eastAsia" w:ascii="宋体" w:hAnsi="宋体"/>
                <w:color w:val="auto"/>
                <w:sz w:val="24"/>
                <w:szCs w:val="24"/>
                <w:lang w:eastAsia="zh-CN"/>
              </w:rPr>
              <w:t>Pa</w:t>
            </w:r>
          </w:p>
        </w:tc>
        <w:tc>
          <w:tcPr>
            <w:tcW w:w="2936" w:type="dxa"/>
            <w:noWrap w:val="0"/>
            <w:vAlign w:val="bottom"/>
          </w:tcPr>
          <w:p w14:paraId="6D486AB1">
            <w:pPr>
              <w:widowControl/>
              <w:jc w:val="center"/>
              <w:outlineLvl w:val="0"/>
              <w:rPr>
                <w:rFonts w:hint="eastAsia" w:ascii="宋体" w:hAnsi="宋体"/>
                <w:color w:val="auto"/>
                <w:sz w:val="24"/>
                <w:szCs w:val="24"/>
              </w:rPr>
            </w:pPr>
            <w:r>
              <w:rPr>
                <w:rFonts w:hint="eastAsia" w:ascii="宋体" w:hAnsi="宋体"/>
                <w:color w:val="auto"/>
                <w:sz w:val="24"/>
                <w:szCs w:val="24"/>
              </w:rPr>
              <w:t>GB/T29047-2012</w:t>
            </w:r>
          </w:p>
        </w:tc>
        <w:tc>
          <w:tcPr>
            <w:tcW w:w="1850" w:type="dxa"/>
            <w:noWrap w:val="0"/>
            <w:vAlign w:val="bottom"/>
          </w:tcPr>
          <w:p w14:paraId="3D9F722A">
            <w:pPr>
              <w:widowControl/>
              <w:jc w:val="center"/>
              <w:outlineLvl w:val="0"/>
              <w:rPr>
                <w:rFonts w:hint="eastAsia" w:ascii="宋体" w:hAnsi="宋体"/>
                <w:color w:val="auto"/>
                <w:sz w:val="24"/>
                <w:szCs w:val="24"/>
              </w:rPr>
            </w:pPr>
            <w:r>
              <w:rPr>
                <w:rFonts w:hint="eastAsia" w:ascii="宋体" w:hAnsi="宋体"/>
                <w:color w:val="auto"/>
                <w:sz w:val="24"/>
                <w:szCs w:val="24"/>
              </w:rPr>
              <w:t>≥0.3</w:t>
            </w:r>
          </w:p>
        </w:tc>
      </w:tr>
      <w:tr w14:paraId="3C81D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2117" w:type="dxa"/>
            <w:noWrap w:val="0"/>
            <w:vAlign w:val="bottom"/>
          </w:tcPr>
          <w:p w14:paraId="02EB185B">
            <w:pPr>
              <w:widowControl/>
              <w:jc w:val="center"/>
              <w:outlineLvl w:val="0"/>
              <w:rPr>
                <w:rFonts w:hint="eastAsia" w:ascii="宋体" w:hAnsi="宋体"/>
                <w:color w:val="auto"/>
                <w:sz w:val="24"/>
                <w:szCs w:val="24"/>
              </w:rPr>
            </w:pPr>
            <w:r>
              <w:rPr>
                <w:rFonts w:hint="eastAsia" w:ascii="宋体" w:hAnsi="宋体"/>
                <w:color w:val="auto"/>
                <w:sz w:val="24"/>
                <w:szCs w:val="24"/>
              </w:rPr>
              <w:t>高温吸水率</w:t>
            </w:r>
          </w:p>
        </w:tc>
        <w:tc>
          <w:tcPr>
            <w:tcW w:w="1418" w:type="dxa"/>
            <w:noWrap w:val="0"/>
            <w:vAlign w:val="bottom"/>
          </w:tcPr>
          <w:p w14:paraId="083E4467">
            <w:pPr>
              <w:widowControl/>
              <w:jc w:val="center"/>
              <w:outlineLvl w:val="0"/>
              <w:rPr>
                <w:rFonts w:hint="eastAsia" w:ascii="宋体" w:hAnsi="宋体"/>
                <w:color w:val="auto"/>
                <w:sz w:val="24"/>
                <w:szCs w:val="24"/>
                <w:lang w:val="en-US" w:eastAsia="zh-CN"/>
              </w:rPr>
            </w:pPr>
            <w:r>
              <w:rPr>
                <w:rFonts w:hint="eastAsia" w:ascii="宋体" w:hAnsi="宋体"/>
                <w:color w:val="auto"/>
                <w:sz w:val="24"/>
                <w:szCs w:val="24"/>
                <w:lang w:val="en-US" w:eastAsia="zh-CN"/>
              </w:rPr>
              <w:t>%</w:t>
            </w:r>
          </w:p>
        </w:tc>
        <w:tc>
          <w:tcPr>
            <w:tcW w:w="2936" w:type="dxa"/>
            <w:noWrap w:val="0"/>
            <w:vAlign w:val="bottom"/>
          </w:tcPr>
          <w:p w14:paraId="34364CE3">
            <w:pPr>
              <w:widowControl/>
              <w:jc w:val="center"/>
              <w:outlineLvl w:val="0"/>
              <w:rPr>
                <w:rFonts w:hint="eastAsia" w:ascii="宋体" w:hAnsi="宋体"/>
                <w:color w:val="auto"/>
                <w:sz w:val="24"/>
                <w:szCs w:val="24"/>
              </w:rPr>
            </w:pPr>
            <w:r>
              <w:rPr>
                <w:rFonts w:hint="eastAsia" w:ascii="宋体" w:hAnsi="宋体"/>
                <w:color w:val="auto"/>
                <w:sz w:val="24"/>
                <w:szCs w:val="24"/>
              </w:rPr>
              <w:t>GB/T29047-2012</w:t>
            </w:r>
          </w:p>
        </w:tc>
        <w:tc>
          <w:tcPr>
            <w:tcW w:w="1850" w:type="dxa"/>
            <w:noWrap w:val="0"/>
            <w:vAlign w:val="bottom"/>
          </w:tcPr>
          <w:p w14:paraId="5BA497A5">
            <w:pPr>
              <w:widowControl/>
              <w:jc w:val="center"/>
              <w:outlineLvl w:val="0"/>
              <w:rPr>
                <w:rFonts w:hint="eastAsia" w:ascii="宋体" w:hAnsi="宋体"/>
                <w:color w:val="auto"/>
                <w:sz w:val="24"/>
                <w:szCs w:val="24"/>
              </w:rPr>
            </w:pPr>
            <w:r>
              <w:rPr>
                <w:rFonts w:hint="eastAsia" w:ascii="宋体" w:hAnsi="宋体"/>
                <w:color w:val="auto"/>
                <w:sz w:val="24"/>
                <w:szCs w:val="24"/>
              </w:rPr>
              <w:t>≤10</w:t>
            </w:r>
          </w:p>
        </w:tc>
      </w:tr>
      <w:tr w14:paraId="6C65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2117" w:type="dxa"/>
            <w:noWrap w:val="0"/>
            <w:vAlign w:val="bottom"/>
          </w:tcPr>
          <w:p w14:paraId="054F7556">
            <w:pPr>
              <w:widowControl/>
              <w:jc w:val="center"/>
              <w:outlineLvl w:val="0"/>
              <w:rPr>
                <w:rFonts w:hint="eastAsia" w:ascii="宋体" w:hAnsi="宋体"/>
                <w:color w:val="auto"/>
                <w:sz w:val="24"/>
                <w:szCs w:val="24"/>
              </w:rPr>
            </w:pPr>
            <w:r>
              <w:rPr>
                <w:rFonts w:hint="eastAsia" w:ascii="宋体" w:hAnsi="宋体"/>
                <w:color w:val="auto"/>
                <w:sz w:val="24"/>
                <w:szCs w:val="24"/>
              </w:rPr>
              <w:t>闭孔率</w:t>
            </w:r>
          </w:p>
        </w:tc>
        <w:tc>
          <w:tcPr>
            <w:tcW w:w="1418" w:type="dxa"/>
            <w:noWrap w:val="0"/>
            <w:vAlign w:val="bottom"/>
          </w:tcPr>
          <w:p w14:paraId="3EC7030E">
            <w:pPr>
              <w:widowControl/>
              <w:jc w:val="center"/>
              <w:outlineLvl w:val="0"/>
              <w:rPr>
                <w:rFonts w:hint="eastAsia" w:ascii="宋体" w:hAnsi="宋体"/>
                <w:color w:val="auto"/>
                <w:sz w:val="24"/>
                <w:szCs w:val="24"/>
                <w:lang w:val="en-US" w:eastAsia="zh-CN"/>
              </w:rPr>
            </w:pPr>
            <w:r>
              <w:rPr>
                <w:rFonts w:hint="eastAsia" w:ascii="宋体" w:hAnsi="宋体"/>
                <w:color w:val="auto"/>
                <w:sz w:val="24"/>
                <w:szCs w:val="24"/>
                <w:lang w:val="en-US" w:eastAsia="zh-CN"/>
              </w:rPr>
              <w:t>%</w:t>
            </w:r>
          </w:p>
        </w:tc>
        <w:tc>
          <w:tcPr>
            <w:tcW w:w="2936" w:type="dxa"/>
            <w:noWrap w:val="0"/>
            <w:vAlign w:val="bottom"/>
          </w:tcPr>
          <w:p w14:paraId="3D2EC0D8">
            <w:pPr>
              <w:widowControl/>
              <w:jc w:val="center"/>
              <w:outlineLvl w:val="0"/>
              <w:rPr>
                <w:rFonts w:hint="eastAsia" w:ascii="宋体" w:hAnsi="宋体"/>
                <w:color w:val="auto"/>
                <w:sz w:val="24"/>
                <w:szCs w:val="24"/>
                <w:lang w:val="en-US" w:eastAsia="zh-CN"/>
              </w:rPr>
            </w:pPr>
            <w:r>
              <w:rPr>
                <w:rFonts w:hint="eastAsia" w:ascii="宋体" w:hAnsi="宋体"/>
                <w:color w:val="auto"/>
                <w:sz w:val="24"/>
                <w:szCs w:val="24"/>
              </w:rPr>
              <w:t>GB/T29047-201</w:t>
            </w:r>
            <w:r>
              <w:rPr>
                <w:rFonts w:hint="eastAsia" w:ascii="宋体" w:hAnsi="宋体"/>
                <w:color w:val="auto"/>
                <w:sz w:val="24"/>
                <w:szCs w:val="24"/>
                <w:lang w:val="en-US" w:eastAsia="zh-CN"/>
              </w:rPr>
              <w:t>2</w:t>
            </w:r>
          </w:p>
        </w:tc>
        <w:tc>
          <w:tcPr>
            <w:tcW w:w="1850" w:type="dxa"/>
            <w:noWrap w:val="0"/>
            <w:vAlign w:val="bottom"/>
          </w:tcPr>
          <w:p w14:paraId="1AB37E4F">
            <w:pPr>
              <w:widowControl/>
              <w:jc w:val="center"/>
              <w:outlineLvl w:val="0"/>
              <w:rPr>
                <w:rFonts w:hint="eastAsia" w:ascii="宋体" w:hAnsi="宋体"/>
                <w:color w:val="auto"/>
                <w:sz w:val="24"/>
                <w:szCs w:val="24"/>
              </w:rPr>
            </w:pPr>
            <w:r>
              <w:rPr>
                <w:rFonts w:hint="eastAsia" w:ascii="宋体" w:hAnsi="宋体"/>
                <w:color w:val="auto"/>
                <w:sz w:val="24"/>
                <w:szCs w:val="24"/>
              </w:rPr>
              <w:t>≥88</w:t>
            </w:r>
          </w:p>
        </w:tc>
      </w:tr>
      <w:tr w14:paraId="644FF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2117" w:type="dxa"/>
            <w:noWrap w:val="0"/>
            <w:vAlign w:val="bottom"/>
          </w:tcPr>
          <w:p w14:paraId="1E6FE613">
            <w:pPr>
              <w:widowControl/>
              <w:jc w:val="center"/>
              <w:outlineLvl w:val="0"/>
              <w:rPr>
                <w:rFonts w:hint="eastAsia" w:ascii="宋体" w:hAnsi="宋体"/>
                <w:color w:val="auto"/>
                <w:sz w:val="24"/>
                <w:szCs w:val="24"/>
              </w:rPr>
            </w:pPr>
            <w:r>
              <w:rPr>
                <w:rFonts w:hint="eastAsia" w:ascii="宋体" w:hAnsi="宋体"/>
                <w:color w:val="auto"/>
                <w:sz w:val="24"/>
                <w:szCs w:val="24"/>
              </w:rPr>
              <w:t>导热系数</w:t>
            </w:r>
          </w:p>
        </w:tc>
        <w:tc>
          <w:tcPr>
            <w:tcW w:w="1418" w:type="dxa"/>
            <w:noWrap w:val="0"/>
            <w:vAlign w:val="bottom"/>
          </w:tcPr>
          <w:p w14:paraId="17F2B28B">
            <w:pPr>
              <w:widowControl/>
              <w:jc w:val="center"/>
              <w:outlineLvl w:val="0"/>
              <w:rPr>
                <w:rFonts w:hint="eastAsia" w:ascii="宋体" w:hAnsi="宋体"/>
                <w:color w:val="auto"/>
                <w:sz w:val="24"/>
                <w:szCs w:val="24"/>
              </w:rPr>
            </w:pPr>
            <w:r>
              <w:rPr>
                <w:rFonts w:hint="eastAsia" w:ascii="宋体" w:hAnsi="宋体"/>
                <w:color w:val="auto"/>
                <w:sz w:val="24"/>
                <w:szCs w:val="24"/>
              </w:rPr>
              <w:t>W/m·k</w:t>
            </w:r>
          </w:p>
        </w:tc>
        <w:tc>
          <w:tcPr>
            <w:tcW w:w="2936" w:type="dxa"/>
            <w:noWrap w:val="0"/>
            <w:vAlign w:val="bottom"/>
          </w:tcPr>
          <w:p w14:paraId="22CBD2BB">
            <w:pPr>
              <w:widowControl/>
              <w:jc w:val="center"/>
              <w:outlineLvl w:val="0"/>
              <w:rPr>
                <w:rFonts w:hint="eastAsia" w:ascii="宋体" w:hAnsi="宋体"/>
                <w:color w:val="auto"/>
                <w:sz w:val="24"/>
                <w:szCs w:val="24"/>
              </w:rPr>
            </w:pPr>
            <w:r>
              <w:rPr>
                <w:rFonts w:hint="eastAsia" w:ascii="宋体" w:hAnsi="宋体"/>
                <w:color w:val="auto"/>
                <w:sz w:val="24"/>
                <w:szCs w:val="24"/>
              </w:rPr>
              <w:t>GB/T29047-2012</w:t>
            </w:r>
          </w:p>
        </w:tc>
        <w:tc>
          <w:tcPr>
            <w:tcW w:w="1850" w:type="dxa"/>
            <w:noWrap w:val="0"/>
            <w:vAlign w:val="bottom"/>
          </w:tcPr>
          <w:p w14:paraId="3799611A">
            <w:pPr>
              <w:widowControl/>
              <w:jc w:val="center"/>
              <w:outlineLvl w:val="0"/>
              <w:rPr>
                <w:rFonts w:hint="eastAsia" w:ascii="宋体" w:hAnsi="宋体"/>
                <w:color w:val="auto"/>
                <w:sz w:val="24"/>
                <w:szCs w:val="24"/>
              </w:rPr>
            </w:pPr>
            <w:r>
              <w:rPr>
                <w:rFonts w:hint="eastAsia" w:ascii="宋体" w:hAnsi="宋体"/>
                <w:color w:val="auto"/>
                <w:sz w:val="24"/>
                <w:szCs w:val="24"/>
              </w:rPr>
              <w:t>≤0.033</w:t>
            </w:r>
          </w:p>
        </w:tc>
      </w:tr>
      <w:tr w14:paraId="79BB9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2117" w:type="dxa"/>
            <w:noWrap w:val="0"/>
            <w:vAlign w:val="bottom"/>
          </w:tcPr>
          <w:p w14:paraId="0CA70C98">
            <w:pPr>
              <w:widowControl/>
              <w:jc w:val="center"/>
              <w:outlineLvl w:val="0"/>
              <w:rPr>
                <w:rFonts w:hint="eastAsia" w:ascii="宋体" w:hAnsi="宋体"/>
                <w:color w:val="auto"/>
                <w:sz w:val="24"/>
                <w:szCs w:val="24"/>
              </w:rPr>
            </w:pPr>
            <w:r>
              <w:rPr>
                <w:rFonts w:hint="eastAsia" w:ascii="宋体" w:hAnsi="宋体"/>
                <w:color w:val="auto"/>
                <w:sz w:val="24"/>
                <w:szCs w:val="24"/>
              </w:rPr>
              <w:t>耐温性</w:t>
            </w:r>
          </w:p>
        </w:tc>
        <w:tc>
          <w:tcPr>
            <w:tcW w:w="1418" w:type="dxa"/>
            <w:noWrap w:val="0"/>
            <w:vAlign w:val="bottom"/>
          </w:tcPr>
          <w:p w14:paraId="000432CF">
            <w:pPr>
              <w:widowControl/>
              <w:jc w:val="center"/>
              <w:outlineLvl w:val="0"/>
              <w:rPr>
                <w:rFonts w:hint="eastAsia" w:ascii="宋体" w:hAnsi="宋体"/>
                <w:color w:val="auto"/>
                <w:sz w:val="24"/>
                <w:szCs w:val="24"/>
              </w:rPr>
            </w:pPr>
            <w:r>
              <w:rPr>
                <w:rFonts w:hint="eastAsia" w:ascii="宋体" w:hAnsi="宋体"/>
                <w:color w:val="auto"/>
                <w:sz w:val="24"/>
                <w:szCs w:val="24"/>
              </w:rPr>
              <w:t>℃</w:t>
            </w:r>
          </w:p>
        </w:tc>
        <w:tc>
          <w:tcPr>
            <w:tcW w:w="2936" w:type="dxa"/>
            <w:noWrap w:val="0"/>
            <w:vAlign w:val="bottom"/>
          </w:tcPr>
          <w:p w14:paraId="55AD5CAB">
            <w:pPr>
              <w:widowControl/>
              <w:jc w:val="center"/>
              <w:outlineLvl w:val="0"/>
              <w:rPr>
                <w:rFonts w:hint="eastAsia" w:ascii="宋体" w:hAnsi="宋体"/>
                <w:color w:val="auto"/>
                <w:sz w:val="24"/>
                <w:szCs w:val="24"/>
              </w:rPr>
            </w:pPr>
            <w:r>
              <w:rPr>
                <w:rFonts w:hint="eastAsia" w:ascii="宋体" w:hAnsi="宋体"/>
                <w:color w:val="auto"/>
                <w:sz w:val="24"/>
                <w:szCs w:val="24"/>
              </w:rPr>
              <w:t>GB/T29047-2012</w:t>
            </w:r>
          </w:p>
        </w:tc>
        <w:tc>
          <w:tcPr>
            <w:tcW w:w="1850" w:type="dxa"/>
            <w:noWrap w:val="0"/>
            <w:vAlign w:val="bottom"/>
          </w:tcPr>
          <w:p w14:paraId="12030C0C">
            <w:pPr>
              <w:widowControl/>
              <w:jc w:val="center"/>
              <w:outlineLvl w:val="0"/>
              <w:rPr>
                <w:rFonts w:hint="eastAsia" w:ascii="宋体" w:hAnsi="宋体"/>
                <w:color w:val="auto"/>
                <w:sz w:val="24"/>
                <w:szCs w:val="24"/>
              </w:rPr>
            </w:pPr>
            <w:r>
              <w:rPr>
                <w:rFonts w:hint="eastAsia" w:ascii="宋体" w:hAnsi="宋体"/>
                <w:color w:val="auto"/>
                <w:sz w:val="24"/>
                <w:szCs w:val="24"/>
              </w:rPr>
              <w:t>140（峰值温度）</w:t>
            </w:r>
          </w:p>
        </w:tc>
      </w:tr>
    </w:tbl>
    <w:p w14:paraId="38C6C5AB">
      <w:pPr>
        <w:widowControl/>
        <w:jc w:val="center"/>
        <w:outlineLvl w:val="0"/>
        <w:rPr>
          <w:rFonts w:hint="eastAsia" w:ascii="宋体" w:hAnsi="宋体"/>
          <w:color w:val="auto"/>
          <w:sz w:val="32"/>
          <w:szCs w:val="32"/>
        </w:rPr>
      </w:pPr>
    </w:p>
    <w:p w14:paraId="3978ABE4">
      <w:pPr>
        <w:widowControl/>
        <w:jc w:val="center"/>
        <w:outlineLvl w:val="0"/>
        <w:rPr>
          <w:rFonts w:hint="eastAsia" w:ascii="宋体" w:hAnsi="宋体"/>
          <w:color w:val="auto"/>
          <w:sz w:val="32"/>
          <w:szCs w:val="32"/>
        </w:rPr>
      </w:pPr>
    </w:p>
    <w:p w14:paraId="07B3E87B">
      <w:pPr>
        <w:widowControl/>
        <w:jc w:val="center"/>
        <w:outlineLvl w:val="0"/>
        <w:rPr>
          <w:rFonts w:hint="eastAsia" w:ascii="宋体" w:hAnsi="宋体"/>
          <w:color w:val="auto"/>
          <w:sz w:val="32"/>
          <w:szCs w:val="32"/>
        </w:rPr>
      </w:pPr>
    </w:p>
    <w:p w14:paraId="0BA59BFF">
      <w:pPr>
        <w:widowControl/>
        <w:jc w:val="center"/>
        <w:outlineLvl w:val="0"/>
        <w:rPr>
          <w:rFonts w:hint="eastAsia" w:ascii="宋体" w:hAnsi="宋体"/>
          <w:color w:val="auto"/>
          <w:sz w:val="32"/>
          <w:szCs w:val="32"/>
        </w:rPr>
      </w:pPr>
    </w:p>
    <w:p w14:paraId="737090D2">
      <w:pPr>
        <w:widowControl/>
        <w:jc w:val="center"/>
        <w:outlineLvl w:val="0"/>
        <w:rPr>
          <w:rFonts w:hint="eastAsia" w:ascii="宋体" w:hAnsi="宋体"/>
          <w:color w:val="auto"/>
          <w:sz w:val="32"/>
          <w:szCs w:val="32"/>
        </w:rPr>
      </w:pPr>
    </w:p>
    <w:p w14:paraId="0581FAF4">
      <w:pPr>
        <w:widowControl/>
        <w:jc w:val="center"/>
        <w:outlineLvl w:val="0"/>
        <w:rPr>
          <w:rFonts w:hint="eastAsia" w:ascii="宋体" w:hAnsi="宋体"/>
          <w:color w:val="auto"/>
          <w:sz w:val="32"/>
          <w:szCs w:val="32"/>
        </w:rPr>
      </w:pPr>
    </w:p>
    <w:p w14:paraId="1CE85C4A">
      <w:pPr>
        <w:widowControl/>
        <w:jc w:val="center"/>
        <w:outlineLvl w:val="0"/>
        <w:rPr>
          <w:rFonts w:hint="eastAsia" w:ascii="宋体" w:hAnsi="宋体"/>
          <w:color w:val="auto"/>
          <w:sz w:val="32"/>
          <w:szCs w:val="32"/>
        </w:rPr>
      </w:pPr>
    </w:p>
    <w:p w14:paraId="24F69BA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1.3.2聚氨酯保温层与钢管、高密度聚乙烯之间应粘结在一起形成一个牢固的整体，外套管内壁应进行电晕处理，并有应力释放工艺。常温下轴向剪切强度应大于0.12N/mm2，切向剪切强度应大于0.2N/mm2。</w:t>
      </w:r>
    </w:p>
    <w:p w14:paraId="7A1A6A3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1.3.3聚乙烯保护层</w:t>
      </w:r>
    </w:p>
    <w:tbl>
      <w:tblPr>
        <w:tblStyle w:val="39"/>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19"/>
        <w:gridCol w:w="1159"/>
        <w:gridCol w:w="2439"/>
        <w:gridCol w:w="1404"/>
      </w:tblGrid>
      <w:tr w14:paraId="5B63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3319" w:type="dxa"/>
            <w:noWrap w:val="0"/>
            <w:vAlign w:val="top"/>
          </w:tcPr>
          <w:p w14:paraId="0EEA3D7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159" w:type="dxa"/>
            <w:noWrap w:val="0"/>
            <w:vAlign w:val="top"/>
          </w:tcPr>
          <w:p w14:paraId="1BB1418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2439" w:type="dxa"/>
            <w:noWrap w:val="0"/>
            <w:vAlign w:val="top"/>
          </w:tcPr>
          <w:p w14:paraId="65C02BC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参照标准</w:t>
            </w:r>
          </w:p>
        </w:tc>
        <w:tc>
          <w:tcPr>
            <w:tcW w:w="1404" w:type="dxa"/>
            <w:noWrap w:val="0"/>
            <w:vAlign w:val="top"/>
          </w:tcPr>
          <w:p w14:paraId="3A584C4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r>
      <w:tr w14:paraId="3813B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3319" w:type="dxa"/>
            <w:noWrap w:val="0"/>
            <w:vAlign w:val="top"/>
          </w:tcPr>
          <w:p w14:paraId="2299383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密度</w:t>
            </w:r>
          </w:p>
        </w:tc>
        <w:tc>
          <w:tcPr>
            <w:tcW w:w="1159" w:type="dxa"/>
            <w:noWrap w:val="0"/>
            <w:vAlign w:val="top"/>
          </w:tcPr>
          <w:p w14:paraId="55B577B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Kg/m³</w:t>
            </w:r>
          </w:p>
        </w:tc>
        <w:tc>
          <w:tcPr>
            <w:tcW w:w="2439" w:type="dxa"/>
            <w:noWrap w:val="0"/>
            <w:vAlign w:val="top"/>
          </w:tcPr>
          <w:p w14:paraId="3F12EAD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GB/T29047-2012</w:t>
            </w:r>
          </w:p>
        </w:tc>
        <w:tc>
          <w:tcPr>
            <w:tcW w:w="1404" w:type="dxa"/>
            <w:noWrap w:val="0"/>
            <w:vAlign w:val="top"/>
          </w:tcPr>
          <w:p w14:paraId="1AFB752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≥940</w:t>
            </w:r>
          </w:p>
        </w:tc>
      </w:tr>
      <w:tr w14:paraId="46F4E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3319" w:type="dxa"/>
            <w:noWrap w:val="0"/>
            <w:vAlign w:val="top"/>
          </w:tcPr>
          <w:p w14:paraId="46EA72A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拉伸屈服强度</w:t>
            </w:r>
          </w:p>
        </w:tc>
        <w:tc>
          <w:tcPr>
            <w:tcW w:w="1159" w:type="dxa"/>
            <w:noWrap w:val="0"/>
            <w:vAlign w:val="top"/>
          </w:tcPr>
          <w:p w14:paraId="16BE80D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M</w:t>
            </w:r>
            <w:r>
              <w:rPr>
                <w:rFonts w:hint="eastAsia" w:ascii="宋体" w:hAnsi="宋体" w:eastAsia="宋体" w:cs="宋体"/>
                <w:color w:val="auto"/>
                <w:sz w:val="24"/>
                <w:szCs w:val="24"/>
                <w:lang w:eastAsia="zh-CN"/>
              </w:rPr>
              <w:t>Pa</w:t>
            </w:r>
          </w:p>
        </w:tc>
        <w:tc>
          <w:tcPr>
            <w:tcW w:w="2439" w:type="dxa"/>
            <w:noWrap w:val="0"/>
            <w:vAlign w:val="top"/>
          </w:tcPr>
          <w:p w14:paraId="4D78989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GB/T29047-2012</w:t>
            </w:r>
          </w:p>
        </w:tc>
        <w:tc>
          <w:tcPr>
            <w:tcW w:w="1404" w:type="dxa"/>
            <w:noWrap w:val="0"/>
            <w:vAlign w:val="top"/>
          </w:tcPr>
          <w:p w14:paraId="7330FBD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≥19</w:t>
            </w:r>
          </w:p>
        </w:tc>
      </w:tr>
      <w:tr w14:paraId="0EAF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3319" w:type="dxa"/>
            <w:noWrap w:val="0"/>
            <w:vAlign w:val="top"/>
          </w:tcPr>
          <w:p w14:paraId="039192E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断裂伸长率</w:t>
            </w:r>
          </w:p>
        </w:tc>
        <w:tc>
          <w:tcPr>
            <w:tcW w:w="1159" w:type="dxa"/>
            <w:noWrap w:val="0"/>
            <w:vAlign w:val="top"/>
          </w:tcPr>
          <w:p w14:paraId="2E3C606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39" w:type="dxa"/>
            <w:noWrap w:val="0"/>
            <w:vAlign w:val="top"/>
          </w:tcPr>
          <w:p w14:paraId="6EBC2EA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GB/T29047-2012</w:t>
            </w:r>
          </w:p>
        </w:tc>
        <w:tc>
          <w:tcPr>
            <w:tcW w:w="1404" w:type="dxa"/>
            <w:noWrap w:val="0"/>
            <w:vAlign w:val="top"/>
          </w:tcPr>
          <w:p w14:paraId="06D4D0E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≥350</w:t>
            </w:r>
          </w:p>
        </w:tc>
      </w:tr>
      <w:tr w14:paraId="63127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3319" w:type="dxa"/>
            <w:noWrap w:val="0"/>
            <w:vAlign w:val="top"/>
          </w:tcPr>
          <w:p w14:paraId="4BA1F8E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纵向回缩率</w:t>
            </w:r>
          </w:p>
        </w:tc>
        <w:tc>
          <w:tcPr>
            <w:tcW w:w="1159" w:type="dxa"/>
            <w:noWrap w:val="0"/>
            <w:vAlign w:val="top"/>
          </w:tcPr>
          <w:p w14:paraId="11F90BD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39" w:type="dxa"/>
            <w:noWrap w:val="0"/>
            <w:vAlign w:val="top"/>
          </w:tcPr>
          <w:p w14:paraId="7D5DECC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GB/T29047-2012</w:t>
            </w:r>
          </w:p>
        </w:tc>
        <w:tc>
          <w:tcPr>
            <w:tcW w:w="1404" w:type="dxa"/>
            <w:noWrap w:val="0"/>
            <w:vAlign w:val="top"/>
          </w:tcPr>
          <w:p w14:paraId="409F5C95">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14:paraId="7C450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3319" w:type="dxa"/>
            <w:noWrap w:val="0"/>
            <w:vAlign w:val="top"/>
          </w:tcPr>
          <w:p w14:paraId="185EBE9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长期机械性能</w:t>
            </w:r>
          </w:p>
        </w:tc>
        <w:tc>
          <w:tcPr>
            <w:tcW w:w="1159" w:type="dxa"/>
            <w:noWrap w:val="0"/>
            <w:vAlign w:val="top"/>
          </w:tcPr>
          <w:p w14:paraId="2118208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2439" w:type="dxa"/>
            <w:noWrap w:val="0"/>
            <w:vAlign w:val="top"/>
          </w:tcPr>
          <w:p w14:paraId="73ED48A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GB/T29047-2012</w:t>
            </w:r>
          </w:p>
        </w:tc>
        <w:tc>
          <w:tcPr>
            <w:tcW w:w="1404" w:type="dxa"/>
            <w:noWrap w:val="0"/>
            <w:vAlign w:val="top"/>
          </w:tcPr>
          <w:p w14:paraId="6B6B277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≥2000</w:t>
            </w:r>
          </w:p>
        </w:tc>
      </w:tr>
      <w:tr w14:paraId="1C64F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3319" w:type="dxa"/>
            <w:noWrap w:val="0"/>
            <w:vAlign w:val="top"/>
          </w:tcPr>
          <w:p w14:paraId="06503CF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被焊接的外套管熔体流动速率之差</w:t>
            </w:r>
          </w:p>
        </w:tc>
        <w:tc>
          <w:tcPr>
            <w:tcW w:w="1159" w:type="dxa"/>
            <w:noWrap w:val="0"/>
            <w:vAlign w:val="top"/>
          </w:tcPr>
          <w:p w14:paraId="057541F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g/10min</w:t>
            </w:r>
          </w:p>
        </w:tc>
        <w:tc>
          <w:tcPr>
            <w:tcW w:w="2439" w:type="dxa"/>
            <w:noWrap w:val="0"/>
            <w:vAlign w:val="top"/>
          </w:tcPr>
          <w:p w14:paraId="082207A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GB/T29047-2012</w:t>
            </w:r>
          </w:p>
        </w:tc>
        <w:tc>
          <w:tcPr>
            <w:tcW w:w="1404" w:type="dxa"/>
            <w:noWrap w:val="0"/>
            <w:vAlign w:val="top"/>
          </w:tcPr>
          <w:p w14:paraId="2353D2D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≤0.5</w:t>
            </w:r>
          </w:p>
        </w:tc>
      </w:tr>
    </w:tbl>
    <w:p w14:paraId="69022D8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1.3.4成品组合管</w:t>
      </w:r>
    </w:p>
    <w:tbl>
      <w:tblPr>
        <w:tblStyle w:val="39"/>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7"/>
        <w:gridCol w:w="1217"/>
        <w:gridCol w:w="2826"/>
        <w:gridCol w:w="1431"/>
      </w:tblGrid>
      <w:tr w14:paraId="69432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2837" w:type="dxa"/>
            <w:noWrap w:val="0"/>
            <w:vAlign w:val="top"/>
          </w:tcPr>
          <w:p w14:paraId="69E83D1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217" w:type="dxa"/>
            <w:noWrap w:val="0"/>
            <w:vAlign w:val="top"/>
          </w:tcPr>
          <w:p w14:paraId="4848CC83">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2826" w:type="dxa"/>
            <w:noWrap w:val="0"/>
            <w:vAlign w:val="top"/>
          </w:tcPr>
          <w:p w14:paraId="6D3D0EF7">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参照标准</w:t>
            </w:r>
          </w:p>
        </w:tc>
        <w:tc>
          <w:tcPr>
            <w:tcW w:w="1431" w:type="dxa"/>
            <w:noWrap w:val="0"/>
            <w:vAlign w:val="top"/>
          </w:tcPr>
          <w:p w14:paraId="0FE3EB17">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r>
      <w:tr w14:paraId="419B7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837" w:type="dxa"/>
            <w:noWrap w:val="0"/>
            <w:vAlign w:val="top"/>
          </w:tcPr>
          <w:p w14:paraId="13C0659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发泡前后外径增大率</w:t>
            </w:r>
          </w:p>
        </w:tc>
        <w:tc>
          <w:tcPr>
            <w:tcW w:w="1217" w:type="dxa"/>
            <w:noWrap w:val="0"/>
            <w:vAlign w:val="top"/>
          </w:tcPr>
          <w:p w14:paraId="168D3AC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826" w:type="dxa"/>
            <w:noWrap w:val="0"/>
            <w:vAlign w:val="top"/>
          </w:tcPr>
          <w:p w14:paraId="1B3D145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GB/T29047-2012</w:t>
            </w:r>
          </w:p>
        </w:tc>
        <w:tc>
          <w:tcPr>
            <w:tcW w:w="1431" w:type="dxa"/>
            <w:noWrap w:val="0"/>
            <w:vAlign w:val="top"/>
          </w:tcPr>
          <w:p w14:paraId="0207350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233A1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837" w:type="dxa"/>
            <w:noWrap w:val="0"/>
            <w:vAlign w:val="top"/>
          </w:tcPr>
          <w:p w14:paraId="4EF2036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轴向剪切强度</w:t>
            </w:r>
          </w:p>
        </w:tc>
        <w:tc>
          <w:tcPr>
            <w:tcW w:w="1217" w:type="dxa"/>
            <w:noWrap w:val="0"/>
            <w:vAlign w:val="top"/>
          </w:tcPr>
          <w:p w14:paraId="694F4FB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k</w:t>
            </w:r>
            <w:r>
              <w:rPr>
                <w:rFonts w:hint="eastAsia" w:ascii="宋体" w:hAnsi="宋体" w:eastAsia="宋体" w:cs="宋体"/>
                <w:color w:val="auto"/>
                <w:sz w:val="24"/>
                <w:szCs w:val="24"/>
                <w:lang w:eastAsia="zh-CN"/>
              </w:rPr>
              <w:t>Pa</w:t>
            </w:r>
          </w:p>
        </w:tc>
        <w:tc>
          <w:tcPr>
            <w:tcW w:w="2826" w:type="dxa"/>
            <w:noWrap w:val="0"/>
            <w:vAlign w:val="top"/>
          </w:tcPr>
          <w:p w14:paraId="5011EFD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GB/T29047-2012</w:t>
            </w:r>
          </w:p>
        </w:tc>
        <w:tc>
          <w:tcPr>
            <w:tcW w:w="1431" w:type="dxa"/>
            <w:noWrap w:val="0"/>
            <w:vAlign w:val="top"/>
          </w:tcPr>
          <w:p w14:paraId="4C2AA5E5">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≥120</w:t>
            </w:r>
          </w:p>
        </w:tc>
      </w:tr>
    </w:tbl>
    <w:p w14:paraId="3D7BDB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1.3.5出厂检验</w:t>
      </w:r>
    </w:p>
    <w:p w14:paraId="61C7049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预制聚氨酯保温管需满足相应规范和制造标准，工作钢管出厂应满足静水压试验、100%超声波检查或射线检验、保温管外护管的密度、拉伸屈服强度、断裂伸长率及保温管外径增大率按GB/T29047-2012的要求进行检验。保温管保温层密度、保温管的尺寸偏差、轴向偏心距、绝缘电阻值按GB/T29047-2012的要求进行检验。</w:t>
      </w:r>
    </w:p>
    <w:p w14:paraId="135BE62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1.3.6标志和运输</w:t>
      </w:r>
    </w:p>
    <w:p w14:paraId="58873BA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1.3.6.1保温管的标志、运输应符合GB/T29047-2012的要求。</w:t>
      </w:r>
    </w:p>
    <w:p w14:paraId="57C0A34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1.3.6.2所有的开口应装上符合可接受的工业标准的保护装置以防止在运输和仓储过程中的损坏、腐蚀以及外来物的进入。</w:t>
      </w:r>
    </w:p>
    <w:p w14:paraId="4D07645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1.3.6.3所有保温管外壳供水管道为黄色、回水管道为黑色。</w:t>
      </w:r>
    </w:p>
    <w:p w14:paraId="2030CB4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1.3.6.4保温管应采用柔性吊带或其他不伤及保温管的方法吊装严禁用钢丝绳直接吊装在装卸过程中严禁碰撞抛摔和在地面拖拉滚动。</w:t>
      </w:r>
    </w:p>
    <w:p w14:paraId="1939C9E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1.3.6.5长途运输过程中保温管应固定牢靠，不应损伤外护管及保温层。</w:t>
      </w:r>
    </w:p>
    <w:p w14:paraId="21D8779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1.3.7保温接头</w:t>
      </w:r>
    </w:p>
    <w:p w14:paraId="07F09BA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当工作钢管管径小于或等于DN200时，宜采用强缩带式接头；大于DN200宜采用电熔焊式接头。根据现场工况条件或设计要求可以选择双密封接头。当采用双密封接头时，其中的每种接头密封形式和双密封组合形式都应符合2.7.1的相关规定。</w:t>
      </w:r>
    </w:p>
    <w:p w14:paraId="439A680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1.3.7.1保温接头应密封，不得渗水。现场所有的保温接头外护层都应做气密性试验。保温接头的气密性试验应采用空气或其他类气体。试验应在接头冷却到40℃以下后进行，试验压力应为0.02M</w:t>
      </w:r>
      <w:r>
        <w:rPr>
          <w:rFonts w:hint="eastAsia" w:ascii="宋体" w:hAnsi="宋体" w:eastAsia="宋体" w:cs="宋体"/>
          <w:color w:val="auto"/>
          <w:sz w:val="24"/>
          <w:szCs w:val="24"/>
          <w:lang w:eastAsia="zh-CN"/>
        </w:rPr>
        <w:t>Pa</w:t>
      </w:r>
      <w:r>
        <w:rPr>
          <w:rFonts w:hint="eastAsia" w:ascii="宋体" w:hAnsi="宋体" w:eastAsia="宋体" w:cs="宋体"/>
          <w:color w:val="auto"/>
          <w:sz w:val="24"/>
          <w:szCs w:val="24"/>
        </w:rPr>
        <w:t>，保压2min后，密封处涂上肥皂水，不应有气泡产生。</w:t>
      </w:r>
    </w:p>
    <w:p w14:paraId="2960680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1.3.8其他说明</w:t>
      </w:r>
    </w:p>
    <w:p w14:paraId="0C8A8D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1.3.8.1钢管保温之前，应使其表面符合ISO8501-1中锈度等级A，不带锈斑。钢管内表面除锈采用抛丸处理，除锈等级应符合GB/T8923中Sa2（1/2）规定。</w:t>
      </w:r>
    </w:p>
    <w:p w14:paraId="1F84C1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1.3.8.2硬质聚氨酯保温泡沫应满足GB/T29047-2012标准，应使用不含氟利昂的发泡剂</w:t>
      </w:r>
      <w:r>
        <w:rPr>
          <w:rFonts w:hint="eastAsia" w:ascii="宋体" w:hAnsi="宋体" w:eastAsia="宋体" w:cs="宋体"/>
          <w:color w:val="auto"/>
          <w:sz w:val="24"/>
          <w:szCs w:val="24"/>
          <w:lang w:eastAsia="zh-CN"/>
        </w:rPr>
        <w:t>。</w:t>
      </w:r>
    </w:p>
    <w:p w14:paraId="25FC668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1.3.8.3预制聚氨酯保温管能在输送介质温度连续工作温度不高于120℃，偶然峰值温度不高于140℃情况下，使用寿命不能低于30年。</w:t>
      </w:r>
    </w:p>
    <w:p w14:paraId="49BE716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1.3.9管网设计应要有具备热力资质的设计院（所）设计；设计方案应经供热单位审核同意；填写《新建小区验收台账》；管网施工前应向运行部提供正式施工图纸和电子版一份。</w:t>
      </w:r>
    </w:p>
    <w:p w14:paraId="07C4E32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24" w:name="_bookmark120"/>
      <w:bookmarkEnd w:id="24"/>
      <w:bookmarkStart w:id="25" w:name="_Toc8982_WPSOffice_Level2"/>
      <w:bookmarkStart w:id="26" w:name="_Toc6124_WPSOffice_Level2"/>
      <w:bookmarkStart w:id="27" w:name="_Toc10412_WPSOffice_Level2"/>
      <w:r>
        <w:rPr>
          <w:rFonts w:hint="eastAsia" w:ascii="宋体" w:hAnsi="宋体" w:eastAsia="宋体" w:cs="宋体"/>
          <w:color w:val="auto"/>
          <w:sz w:val="24"/>
          <w:szCs w:val="24"/>
        </w:rPr>
        <w:t>2.阀门主要技术要求</w:t>
      </w:r>
      <w:bookmarkEnd w:id="25"/>
      <w:bookmarkEnd w:id="26"/>
      <w:bookmarkEnd w:id="27"/>
    </w:p>
    <w:p w14:paraId="4D917A7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2.1阀门执行标准为GB/T21385-2008，GB/T13927-2008。</w:t>
      </w:r>
    </w:p>
    <w:p w14:paraId="5A7CCDD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2.2管网设计时，图纸中注明热力主管道用阀门特别是关断阀门采用全通径实心球体全焊接球阀，关键位置或者起关键作用的关断阀门应采用进口阀门。</w:t>
      </w:r>
    </w:p>
    <w:p w14:paraId="5C20049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2.3管网平面图中对于关键阀门应特别注明，并于材料表中标注，关键阀门具体位置为交叉管道处的联通阀、主管线的主关断阀、主分支阀、站内一二次总进出口阀、应安装的供回水联通阀及用于切换热源或热网的阀门等。</w:t>
      </w:r>
    </w:p>
    <w:p w14:paraId="60A342A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2.4供热系统将在采暖期内连续运行，且维修困难，因此所供设备能安全无故障运行20年以上,其中阀体内的密封结构要求无需检修且寿命不少于25年。</w:t>
      </w:r>
    </w:p>
    <w:p w14:paraId="39E3AFF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2.5焊接球阀的设计、制造要求</w:t>
      </w:r>
    </w:p>
    <w:p w14:paraId="548D205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2.5.1设计压力：1.6--2.5M</w:t>
      </w:r>
      <w:r>
        <w:rPr>
          <w:rFonts w:hint="eastAsia" w:ascii="宋体" w:hAnsi="宋体" w:eastAsia="宋体" w:cs="宋体"/>
          <w:color w:val="auto"/>
          <w:sz w:val="24"/>
          <w:szCs w:val="24"/>
          <w:lang w:eastAsia="zh-CN"/>
        </w:rPr>
        <w:t>Pa</w:t>
      </w:r>
      <w:r>
        <w:rPr>
          <w:rFonts w:hint="eastAsia" w:ascii="宋体" w:hAnsi="宋体" w:eastAsia="宋体" w:cs="宋体"/>
          <w:color w:val="auto"/>
          <w:sz w:val="24"/>
          <w:szCs w:val="24"/>
        </w:rPr>
        <w:t>,设计温度：180℃</w:t>
      </w:r>
    </w:p>
    <w:p w14:paraId="3396E29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2.5.2管径小于等于DN100的阀门采用手柄操作式焊接球阀；管径大于DN100的阀门采用蜗轮传动的全焊接球阀。</w:t>
      </w:r>
    </w:p>
    <w:p w14:paraId="3B0405F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2.5.3阀体：阀体采用整体焊接方法制造。</w:t>
      </w:r>
    </w:p>
    <w:p w14:paraId="70AA4D3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2.5.4结构：球阀的结构为固定式。</w:t>
      </w:r>
    </w:p>
    <w:p w14:paraId="139FD99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2.5.5阀杆及密封：采用多层PTFE（聚四氟乙烯）和碳（石墨）组成的阀杆填料盒，并具备压紧功能，使得球阀在高温及温度经常变化的工况下能保持高度的密封和长久寿命。</w:t>
      </w:r>
    </w:p>
    <w:p w14:paraId="7B44D62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2.5.6球阀球体：球体为304不锈钢球，球体的通道应是圆柱形，球阀全开时应保证球体通道并全通径与阀体通道在同一轴线上，阀体为锻造阀体。</w:t>
      </w:r>
    </w:p>
    <w:p w14:paraId="305D76B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2.5.7操作机构：有全开和全关的限位及指示标识。对于操作机构的手轮，当面对手轮时，顺时针方向转动手轮阀门应为关。</w:t>
      </w:r>
    </w:p>
    <w:p w14:paraId="39B6393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2.5.8阀门外部结构不应妨碍阀体保温。</w:t>
      </w:r>
    </w:p>
    <w:p w14:paraId="166CC5A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2.6阀门的性能要求</w:t>
      </w:r>
    </w:p>
    <w:p w14:paraId="63671D7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2.6.1严密性：阀门能够实现双流向等压密封。</w:t>
      </w:r>
    </w:p>
    <w:p w14:paraId="796A2C0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2.6.2阀门流道的公称直径应等于阀门的公称直径。</w:t>
      </w:r>
    </w:p>
    <w:p w14:paraId="40B6733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2.6.3在正常运行情况下，阀门寿命应保证在20年以上。</w:t>
      </w:r>
    </w:p>
    <w:p w14:paraId="2FA17DE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2.6.4表面处理：所有非不锈钢材料的部件，除与介质接触的内表面和距焊接端80mm范围内的外表面外，都应在检测后涂漆。油漆的耐热能力须高于150℃，漆膜干后的厚度不应小于0.2mm，在涂漆前金属表面应进行除污防锈并符合ISO标准。</w:t>
      </w:r>
    </w:p>
    <w:p w14:paraId="7B98991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2.6.5工业阀门强度压力试验：试验介质为液体时，试验压力至少是阀门在20℃时允许最大工作压力的1.5倍。按照GB/T13927-2008标准执行</w:t>
      </w:r>
      <w:r>
        <w:rPr>
          <w:rFonts w:hint="eastAsia" w:ascii="宋体" w:hAnsi="宋体" w:eastAsia="宋体" w:cs="宋体"/>
          <w:color w:val="auto"/>
          <w:sz w:val="24"/>
          <w:szCs w:val="24"/>
          <w:lang w:eastAsia="zh-CN"/>
        </w:rPr>
        <w:t>。</w:t>
      </w:r>
    </w:p>
    <w:p w14:paraId="2B5323B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2.6.6每个成品阀门均应附有一个铭牌，标有：</w:t>
      </w:r>
    </w:p>
    <w:p w14:paraId="3BB019D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--阀门编号</w:t>
      </w:r>
    </w:p>
    <w:p w14:paraId="6BA11E8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--产品系列号</w:t>
      </w:r>
    </w:p>
    <w:p w14:paraId="0D62E8E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--制造年月</w:t>
      </w:r>
    </w:p>
    <w:p w14:paraId="2F0A5F8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--公称直径</w:t>
      </w:r>
    </w:p>
    <w:p w14:paraId="1F0DEFC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--公称压力</w:t>
      </w:r>
    </w:p>
    <w:p w14:paraId="7F3DA4D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--极限温度</w:t>
      </w:r>
    </w:p>
    <w:p w14:paraId="4D15DC6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--受压部件的材料代号</w:t>
      </w:r>
    </w:p>
    <w:p w14:paraId="29349E5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--生产厂家的名称或商标</w:t>
      </w:r>
    </w:p>
    <w:p w14:paraId="2DC6202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28" w:name="_bookmark121"/>
      <w:bookmarkEnd w:id="28"/>
      <w:bookmarkStart w:id="29" w:name="_Toc15649_WPSOffice_Level2"/>
      <w:bookmarkStart w:id="30" w:name="_Toc31305_WPSOffice_Level2"/>
      <w:bookmarkStart w:id="31" w:name="_Toc3086_WPSOffice_Level2"/>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预制管件</w:t>
      </w:r>
      <w:bookmarkEnd w:id="29"/>
      <w:bookmarkEnd w:id="30"/>
      <w:bookmarkEnd w:id="31"/>
    </w:p>
    <w:p w14:paraId="3FECBEF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.1预制管件符合GB/T29047-2012标准。</w:t>
      </w:r>
    </w:p>
    <w:p w14:paraId="6AA79EF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.2施工时，应按照设计图纸使用成品管件，严禁随意现场制作。</w:t>
      </w:r>
    </w:p>
    <w:p w14:paraId="1AAE6B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.3异径管、弯头或弯管采用热压（推制）成型，不许使用焊制，弯头、变径管的最薄弱壁厚不小于直管段。</w:t>
      </w:r>
    </w:p>
    <w:p w14:paraId="04614FE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.3.1管件（弯头、三通、异径管）与管道焊接连接，附件的表面质量、机械性能及材质与管道材质相同，且端部都车成坡口。</w:t>
      </w:r>
    </w:p>
    <w:p w14:paraId="401CD0E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.3.2国标弯头应采用厂家预制成品，非国标弯头应由供应单位根据要求定制，不允许现场制作。</w:t>
      </w:r>
    </w:p>
    <w:p w14:paraId="01E8BFB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.3.3≤DN500mm管道弯头采用热推弯头，＞DN500mm弯头采用冲压弯头。曲率半径需满足设计要求。</w:t>
      </w:r>
    </w:p>
    <w:p w14:paraId="5AC5AF4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4钢管件焊接采用氩弧焊打底工艺。管件钢焊缝宜采用100%X射线探伤，焊缝级别符合GB/T3323-2005《金属熔化焊焊接接头射线照相》中Ⅱ级片要求；当采用超声波探伤时，应采用射线探伤复检，复检数量应为超声波探伤数量的20%。钢管件焊接采用单面焊双面成型，内外焊缝应平整，不允许出现焊熘、焊渣等。</w:t>
      </w:r>
    </w:p>
    <w:p w14:paraId="541BD3B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当支管道的公称直径大于或等于1/2主管道公称直径时，不允许在管道上直接开口，应采用成品三通。当支管的公称直径小于1/2主管管径，也应采用成品三通，但现场条件不允许时可以采取直接在主管道上开口的方式，但应由设计单位对开口处进行强度核算，必要时对其补强处理。</w:t>
      </w:r>
    </w:p>
    <w:p w14:paraId="6B55B5C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.6出厂检验</w:t>
      </w:r>
    </w:p>
    <w:p w14:paraId="5DFC667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.6.1对焊接管件以表压3.75M</w:t>
      </w:r>
      <w:r>
        <w:rPr>
          <w:rFonts w:hint="eastAsia" w:ascii="宋体" w:hAnsi="宋体" w:eastAsia="宋体" w:cs="宋体"/>
          <w:color w:val="auto"/>
          <w:sz w:val="24"/>
          <w:szCs w:val="24"/>
          <w:lang w:eastAsia="zh-CN"/>
        </w:rPr>
        <w:t>Pa</w:t>
      </w:r>
      <w:r>
        <w:rPr>
          <w:rFonts w:hint="eastAsia" w:ascii="宋体" w:hAnsi="宋体" w:eastAsia="宋体" w:cs="宋体"/>
          <w:color w:val="auto"/>
          <w:sz w:val="24"/>
          <w:szCs w:val="24"/>
        </w:rPr>
        <w:t>的水压100%进行渗漏及强度检验。对焊接管件按焊缝长度100%的进行X射线探伤检验。</w:t>
      </w:r>
    </w:p>
    <w:p w14:paraId="69700B7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.6.2工厂测试检查项目包括:化学成分GB/T222-2006、GB/T223，拉伸试验GB/T228，压扁试验GB/T246-2017，水压试验GB/T241-2007，涡流探伤GB/T7735-2016。</w:t>
      </w:r>
    </w:p>
    <w:p w14:paraId="13A2F6F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.7当采购预制直埋保温管件时，应符合《高密度聚乙烯外护管聚氨酯硬质泡沫塑料预制直埋保温管及管件》GB/T29047-2012标准或不低于以上标准的国家现行有关标准或更好的国际标准。</w:t>
      </w:r>
    </w:p>
    <w:p w14:paraId="1BF122F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.7.1钢管裸露部分的长度应在200±10mm。</w:t>
      </w:r>
    </w:p>
    <w:p w14:paraId="6F1950C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.7.2保温层应无明显的大气泡、空洞、裂纹、脆皮、发粒。</w:t>
      </w:r>
    </w:p>
    <w:p w14:paraId="24CA115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.7.3成品保温管件存放24小时后才能取样。</w:t>
      </w:r>
    </w:p>
    <w:p w14:paraId="5CEF96D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.7.4对外套管、保温层应按照所列的有关标准对其主要技术指标进行测试。</w:t>
      </w:r>
    </w:p>
    <w:p w14:paraId="7DD9B64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32" w:name="_bookmark123"/>
      <w:bookmarkEnd w:id="32"/>
      <w:bookmarkStart w:id="33" w:name="_Toc29391_WPSOffice_Level2"/>
      <w:bookmarkStart w:id="34" w:name="_Toc28773_WPSOffice_Level2"/>
      <w:bookmarkStart w:id="35" w:name="_Toc10_WPSOffice_Level2"/>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.其他要求</w:t>
      </w:r>
      <w:bookmarkEnd w:id="33"/>
      <w:bookmarkEnd w:id="34"/>
      <w:bookmarkEnd w:id="35"/>
    </w:p>
    <w:p w14:paraId="29C193A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.1换热站、管网应安装水力平衡、变频器等调控装置。</w:t>
      </w:r>
    </w:p>
    <w:p w14:paraId="335DA04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.2管道及配件安装放线定位以设计图、规划审批为准，标明绝对GPS定位坐标或相对坐标尺寸；施工图纸上应标明检查井、补偿器、管道拐点GPS定位坐标。</w:t>
      </w:r>
    </w:p>
    <w:p w14:paraId="522C020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.3管网的阀门关断阀应采用全通径焊接球阀。</w:t>
      </w:r>
    </w:p>
    <w:p w14:paraId="31927E6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.4红线内一、二次管网设计图纸应符合供热单位的运行要求。</w:t>
      </w:r>
    </w:p>
    <w:p w14:paraId="7EFBFBE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.5外网的管道堵板设计严格按《火力发电厂汽水管道设计技术规定》DL/T5054-1996和《钢制</w:t>
      </w:r>
      <w:bookmarkStart w:id="36" w:name="_bookmark124"/>
      <w:bookmarkEnd w:id="36"/>
      <w:r>
        <w:rPr>
          <w:rFonts w:hint="eastAsia" w:ascii="宋体" w:hAnsi="宋体" w:eastAsia="宋体" w:cs="宋体"/>
          <w:color w:val="auto"/>
          <w:sz w:val="24"/>
          <w:szCs w:val="24"/>
        </w:rPr>
        <w:t>压力容器》GB150-1998等标准执行。</w:t>
      </w:r>
    </w:p>
    <w:p w14:paraId="53906B3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37" w:name="_Toc12513_WPSOffice_Level2"/>
      <w:bookmarkStart w:id="38" w:name="_Toc22263_WPSOffice_Level2"/>
      <w:bookmarkStart w:id="39" w:name="_Toc25385_WPSOffice_Level2"/>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.阀室及固定支座</w:t>
      </w:r>
      <w:bookmarkEnd w:id="37"/>
      <w:bookmarkEnd w:id="38"/>
      <w:bookmarkEnd w:id="39"/>
    </w:p>
    <w:p w14:paraId="58AE0BF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（1）首先核对施工几何尺寸与设计相符，墙体盖板的厚度符合设计要求；阀室井井口应高于地面40-50mm，采用缓坡过度；配筋数量及尺寸符合设计要求。</w:t>
      </w:r>
    </w:p>
    <w:p w14:paraId="32C1161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（2）砌筑；垫层、砌砖、抹灰及底板符合设计要求，特别注意如设计底板有配筋，而施工未按要求做，不予通过验收。</w:t>
      </w:r>
    </w:p>
    <w:p w14:paraId="63C68DF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（3）现浇混凝土厚度按设计要求，井底应设置积水坑。</w:t>
      </w:r>
    </w:p>
    <w:p w14:paraId="79299DA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（4）穿墙套管及挡板制作应采用钢板，并进行满焊、刷防锈漆，套管穿墙处填石棉绳、抹沥青油封闭，井内爬梯需采用铸铁材质。</w:t>
      </w:r>
    </w:p>
    <w:p w14:paraId="446C8C9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40" w:name="_bookmark125"/>
      <w:bookmarkEnd w:id="40"/>
      <w:bookmarkStart w:id="41" w:name="_Toc10217_WPSOffice_Level2"/>
      <w:bookmarkStart w:id="42" w:name="_Toc5956_WPSOffice_Level2"/>
      <w:bookmarkStart w:id="43" w:name="_Toc23455_WPSOffice_Level2"/>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.回填砂</w:t>
      </w:r>
      <w:bookmarkEnd w:id="41"/>
      <w:bookmarkEnd w:id="42"/>
      <w:bookmarkEnd w:id="43"/>
    </w:p>
    <w:p w14:paraId="26BDE40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（1）机动车道和非机动车道下，管道管底至管上100mm垫中砂；其余部分垫基砂；</w:t>
      </w:r>
    </w:p>
    <w:p w14:paraId="5FCB6E0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（2）人行道和小区内地下管道管底至管上100mm垫中砂；其余部分垫基砂；</w:t>
      </w:r>
    </w:p>
    <w:p w14:paraId="0C200E7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（3）路基部分采用5%水泥石硝进行回填，保证路面不塌陷。</w:t>
      </w:r>
    </w:p>
    <w:p w14:paraId="4AB9F02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44" w:name="_Toc22103_WPSOffice_Level2"/>
      <w:bookmarkStart w:id="45" w:name="_Toc20032_WPSOffice_Level2"/>
      <w:bookmarkStart w:id="46" w:name="_Toc23710_WPSOffice_Level2"/>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.管线标识</w:t>
      </w:r>
      <w:bookmarkEnd w:id="44"/>
      <w:bookmarkEnd w:id="45"/>
      <w:bookmarkEnd w:id="46"/>
    </w:p>
    <w:p w14:paraId="5119538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（1）警示布在距地面300mm处，管道上敷设一层；</w:t>
      </w:r>
    </w:p>
    <w:p w14:paraId="5A28400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（2）预制直埋保温管供水管道采用黄色聚乙烯外壳，回水管道采用黑色聚乙烯外壳。</w:t>
      </w:r>
    </w:p>
    <w:p w14:paraId="23756DF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bookmarkStart w:id="47" w:name="_Toc10412_WPSOffice_Level1"/>
      <w:bookmarkStart w:id="48" w:name="_Toc8982_WPSOffice_Level1"/>
      <w:bookmarkStart w:id="49" w:name="_Toc6124_WPSOffice_Level1"/>
      <w:r>
        <w:rPr>
          <w:rFonts w:hint="eastAsia" w:ascii="宋体" w:hAnsi="宋体" w:eastAsia="宋体" w:cs="宋体"/>
          <w:color w:val="auto"/>
          <w:sz w:val="24"/>
          <w:szCs w:val="24"/>
        </w:rPr>
        <w:t>第二章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换热站</w:t>
      </w:r>
      <w:bookmarkEnd w:id="47"/>
      <w:bookmarkEnd w:id="48"/>
      <w:bookmarkEnd w:id="49"/>
    </w:p>
    <w:p w14:paraId="0F30250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50" w:name="_bookmark126"/>
      <w:bookmarkEnd w:id="50"/>
      <w:bookmarkStart w:id="51" w:name="_Toc1491_WPSOffice_Level2"/>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换热站选址与建设</w:t>
      </w:r>
      <w:bookmarkEnd w:id="51"/>
    </w:p>
    <w:p w14:paraId="1C971E4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1.1开发企业办理规划定点手续，并向供热专营单位移交换热站。换热站选址尽量设在供热小区的热负荷中心位置，建设地上独立换热站，换热站供热半径不超过300米。</w:t>
      </w:r>
    </w:p>
    <w:p w14:paraId="60C2C3F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1.2换热站与居民建筑物外表面间距不低于20米，并采取有效降噪措施，室外检测噪音符合环评标准。</w:t>
      </w:r>
    </w:p>
    <w:p w14:paraId="682E06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1.3供热规模10万平方米以上小区须设一个地上便民服务室（室内面积30平方米），位置方便特殊人群进出，方便小区缴费及供热服务。</w:t>
      </w:r>
    </w:p>
    <w:p w14:paraId="55D7DAE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1.4开发企业提供换热站水电源负荷、有线网络资源，水电源接至换热站内并设独立结算水、电表，户名为供热单位。</w:t>
      </w:r>
      <w:r>
        <w:rPr>
          <w:rFonts w:hint="eastAsia" w:ascii="宋体" w:hAnsi="宋体" w:eastAsia="宋体" w:cs="宋体"/>
          <w:color w:val="auto"/>
          <w:sz w:val="24"/>
          <w:szCs w:val="24"/>
          <w:lang w:eastAsia="zh-CN"/>
        </w:rPr>
        <w:t>且具备水电热表上传及能耗分析功能。</w:t>
      </w:r>
    </w:p>
    <w:p w14:paraId="6A6F2ED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1.5换热站内房间格局完整且房屋结构应设设备间、电气控制室、卫生间、值班室</w:t>
      </w:r>
      <w:r>
        <w:rPr>
          <w:rFonts w:hint="eastAsia" w:ascii="宋体" w:hAnsi="宋体" w:eastAsia="宋体" w:cs="宋体"/>
          <w:color w:val="auto"/>
          <w:sz w:val="24"/>
          <w:szCs w:val="24"/>
          <w:lang w:eastAsia="zh-CN"/>
        </w:rPr>
        <w:t>，洗手盆及水龙头</w:t>
      </w:r>
      <w:r>
        <w:rPr>
          <w:rFonts w:hint="eastAsia" w:ascii="宋体" w:hAnsi="宋体" w:eastAsia="宋体" w:cs="宋体"/>
          <w:color w:val="auto"/>
          <w:sz w:val="24"/>
          <w:szCs w:val="24"/>
        </w:rPr>
        <w:t>。</w:t>
      </w:r>
    </w:p>
    <w:p w14:paraId="67A8B0C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1.6换热站户外区域</w:t>
      </w:r>
    </w:p>
    <w:p w14:paraId="766BC37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1.6.1地上换热站外墙统一颜色，使用防水涂料进行粉饰。窗户使用内开内导推拉窗，并加装不锈钢防盗网。</w:t>
      </w:r>
    </w:p>
    <w:p w14:paraId="5B8E011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1.6.2换热站正面外墙悬挂站牌（具体式样见样图），站牌标明位置、负责人等信息，悬挂高度参照成人目视平均高度（距地面高度约1.7米）。</w:t>
      </w:r>
    </w:p>
    <w:p w14:paraId="05BF48C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1.7根据《全国市政工程投资估算指标》（HGZ47-103-96）规定，不同供热规模的换热站所需建筑面积</w:t>
      </w:r>
      <w:r>
        <w:rPr>
          <w:rFonts w:hint="eastAsia" w:ascii="宋体" w:hAnsi="宋体" w:eastAsia="宋体" w:cs="宋体"/>
          <w:color w:val="auto"/>
          <w:sz w:val="24"/>
          <w:szCs w:val="24"/>
          <w:lang w:eastAsia="zh-CN"/>
        </w:rPr>
        <w:t>。</w:t>
      </w:r>
    </w:p>
    <w:p w14:paraId="45004C4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1.7.1换热站应保证有单独对外通道，道宽不小于2米的通道进出换热站，门外不得设置停车位及堆放杂物，便于设备及人员可随时进出换热站，而且换热站不能与其他设备间连通或共同使用，确保非供热人员不能随便进入换热站。换热站室内净高（梁下）不低于4.5米，站内房间格局合理，屋面防水良好不漏不渗。换热站的内外门窗齐备完好，门的开向应为从设备间向外开，朝向主通道。站内应设不同朝向的两个以上带不锈钢防盗网的外窗，外门设置防盗门，换热站内外墙壁平整洁净，粉刷完好。根据《城市热力网设计规范》的规定“当热水热力站站房长度大于12米时，应设两个外门。”其中一个门不得小于宽2m*高2.5m，且对应外部车道，利于设备进出。</w:t>
      </w:r>
    </w:p>
    <w:p w14:paraId="6C2CAD7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1.7.2站内有楼梯的需要设置扶手，超过三阶，应加护栏，门应选用防盗防火门，窗设防盗网。根据热力设计要求，换热站内应预埋安装主要设备（水泵、除污器等）维修用吊装设备所需的预埋件，同时要将吊架的荷载考虑到换热站顶板的承载之中，并预留好管道进出换热站的洞口。</w:t>
      </w:r>
    </w:p>
    <w:p w14:paraId="668B929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1.7.3换热站地面</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lang w:val="en-US" w:eastAsia="zh-CN"/>
        </w:rPr>
        <w:t>1.2米高墙面</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瓷砖</w:t>
      </w:r>
      <w:r>
        <w:rPr>
          <w:rFonts w:hint="eastAsia" w:ascii="宋体" w:hAnsi="宋体" w:eastAsia="宋体" w:cs="宋体"/>
          <w:color w:val="auto"/>
          <w:sz w:val="24"/>
          <w:szCs w:val="24"/>
        </w:rPr>
        <w:t>，四周应设有不锈钢水篦子的排水明沟，按篦子定沟宽（宽度不小于200mm），深度不低于200mm左右开始坡向排水地漏，坡度为2%，污水引流至站外就近雨水管道。地面平整，坡度合理（地面坡向排水沟），设备基础平整。</w:t>
      </w:r>
    </w:p>
    <w:p w14:paraId="7DF0618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1.7.4站内开关、插座等线路设施进行规范安装，电源线接口应防水，采用线槽或全封闭桥架架设与整体环境保持统一，设施基座高度统一、平整光洁。</w:t>
      </w:r>
    </w:p>
    <w:p w14:paraId="4063D74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1.7.5外墙及房顶设置隔热层并采取有效防水措施，内墙面使用防水涂料粉刷，避免墙体返潮脱皮。</w:t>
      </w:r>
    </w:p>
    <w:p w14:paraId="0E21532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1.7.6换热站内至少配备两具二氧化碳灭火器（5Kg/具）、两具干粉灭火器（8Kg/具）。站内要有通风排潮措施，防止设备过热运行或潮气重。配电柜、电缆沟、进出站管道等孔洞应封堵，不具备封堵条件的设护栏。站内应配置消防用品、监控设备、应急照明、烟感报警器等安全器材。</w:t>
      </w:r>
    </w:p>
    <w:p w14:paraId="362F638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1.7.7根据《中华人民共和国环境噪声污染防治法》中第二章第十三条、第十四条规定，建设项目可能产生环境噪声污染的，建设单位应提出环境影响报告书，并按照国家规定的程序报环境保护行政主管部门批准。且其环境噪声污染防治设施应经原审批环境影响报告书的环境保护行政主管部门验收；达不到国家规定要求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该建设项目不得投入生产或者使用</w:t>
      </w:r>
      <w:r>
        <w:rPr>
          <w:rFonts w:hint="eastAsia" w:ascii="宋体" w:hAnsi="宋体" w:eastAsia="宋体" w:cs="宋体"/>
          <w:color w:val="auto"/>
          <w:sz w:val="24"/>
          <w:szCs w:val="24"/>
          <w:lang w:eastAsia="zh-CN"/>
        </w:rPr>
        <w:t>。</w:t>
      </w:r>
    </w:p>
    <w:p w14:paraId="6BB7035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1.7.8换热站照明采用LED照明，照明效果应良好。灯头数量按规范要求安装。开关应布置在换热站入口附近。应急灯配备齐全，应急照明效果良好。照明采用BV型铜塑线，沿墙沿顶棚暗敷。</w:t>
      </w:r>
    </w:p>
    <w:p w14:paraId="7D0719F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52" w:name="_bookmark127"/>
      <w:bookmarkEnd w:id="52"/>
      <w:bookmarkStart w:id="53" w:name="_Toc15608_WPSOffice_Level2"/>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换热站设备安装要求</w:t>
      </w:r>
      <w:bookmarkEnd w:id="53"/>
    </w:p>
    <w:p w14:paraId="53DEBC5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（1）检修空间要求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机组及控制柜周围应有足够空间，以便于安装、运行和维修机组。换热器侧及配电柜侧应留有不小于1.5米的检修空间</w:t>
      </w:r>
      <w:r>
        <w:rPr>
          <w:rFonts w:hint="eastAsia" w:ascii="宋体" w:hAnsi="宋体" w:eastAsia="宋体" w:cs="宋体"/>
          <w:color w:val="auto"/>
          <w:sz w:val="24"/>
          <w:szCs w:val="24"/>
          <w:lang w:eastAsia="zh-CN"/>
        </w:rPr>
        <w:t>，控制柜应设独立隔离空间，地下站应提高控制柜安装标高至少20cm</w:t>
      </w:r>
      <w:r>
        <w:rPr>
          <w:rFonts w:hint="eastAsia" w:ascii="宋体" w:hAnsi="宋体" w:eastAsia="宋体" w:cs="宋体"/>
          <w:color w:val="auto"/>
          <w:sz w:val="24"/>
          <w:szCs w:val="24"/>
        </w:rPr>
        <w:t>。为便于检修，过滤器、阀门距墙之间的净距离不小于0.8米。</w:t>
      </w:r>
    </w:p>
    <w:p w14:paraId="2B4ED5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（2）换热站需经常检查和操作的设备不宜设在高处，如应设在高处，位置较高且超过2米时，需经常操作的设备处应设置移动扶梯、移动平台等设施。</w:t>
      </w:r>
    </w:p>
    <w:p w14:paraId="65279EF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根据《山东省供热条例》，供热单位已经建立了一体化远程智能调控技术平台的，新建换热站设备运行数据及系统控制应接入供热单位调控平台，开发企业按照供热单位要求在热力站内安装热力VPN网络。站内网线布放到自控柜内，并留有足够的长度以便接至自控柜里的相关设备上。自控柜内要求安装独立的220V五口电源插座，以供调试网络时使用。安装完毕后需现场完成与供热单位VPN网络的调测工作。换热站除有线VPN网络外，应设计4G无线路由器作为备用网络。无信号的换热站，还应加装信号放大器并设计同轴电缆进行延长无线信号，并说明线路敷设方案。</w:t>
      </w:r>
    </w:p>
    <w:p w14:paraId="70B317C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对站内所有设备、阀门、仪表等安装要布局合理，便于运行，同时进行挂牌标示：管道色环、介质流向、介质名称清晰明确，悬挂标志牌，明确名称、系统编码、责任人，进行日常维护、设备障及信息跟踪管理（标识、标牌见样图）</w:t>
      </w:r>
      <w:r>
        <w:rPr>
          <w:rFonts w:hint="eastAsia" w:ascii="宋体" w:hAnsi="宋体" w:eastAsia="宋体" w:cs="宋体"/>
          <w:color w:val="auto"/>
          <w:sz w:val="24"/>
          <w:szCs w:val="24"/>
          <w:lang w:eastAsia="zh-CN"/>
        </w:rPr>
        <w:t>。</w:t>
      </w:r>
    </w:p>
    <w:p w14:paraId="6088737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（5）换热站的管道堵板设计严格按《火力发电厂汽水管道设计技术规定》DL/T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5054-1996和《钢制压力容器》GB150-1998等标准执行。</w:t>
      </w:r>
    </w:p>
    <w:p w14:paraId="4758210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（6）站内所有管道上的排泄水和排气合理排布，采取双阀控制，就近引至站内排水明沟处。</w:t>
      </w:r>
    </w:p>
    <w:p w14:paraId="64D29E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（7）供热站内设备（板换、水泵、水箱、除污器等）基础应按设计图施工，主要运行设备（板式换热器、水泵等）应按设备要求安装地角螺栓；站内设备间距应符合规</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范，保证检修更换空间。</w:t>
      </w:r>
    </w:p>
    <w:p w14:paraId="1FA5656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（8）新建小区分期建设时，应按今后系统最大负荷配置机组。</w:t>
      </w:r>
    </w:p>
    <w:p w14:paraId="28E1433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换热站一级管网</w:t>
      </w:r>
    </w:p>
    <w:p w14:paraId="435E175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（10）管道滑托高度应保证保温厚度，刷两遍红丹防锈4.36、所有管道上的排泄水和排气口出口管应就近引至站内排水明沟处。</w:t>
      </w:r>
    </w:p>
    <w:p w14:paraId="680A122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换热站内设备编号、刷漆应符合《火力发电厂热力设备和管道保温油漆技术规定》的要求，并标明供热介质流动方向。站内温度表均采用可远传的温度计（蒸汽用要求量程刻度为0～300℃，一次水为0～150℃，二次水为0～100℃），压力表选用带针型阀表盘式压力表（0～1.0M</w:t>
      </w:r>
      <w:r>
        <w:rPr>
          <w:rFonts w:hint="eastAsia" w:ascii="宋体" w:hAnsi="宋体" w:eastAsia="宋体" w:cs="宋体"/>
          <w:color w:val="auto"/>
          <w:sz w:val="24"/>
          <w:szCs w:val="24"/>
          <w:lang w:eastAsia="zh-CN"/>
        </w:rPr>
        <w:t>Pa</w:t>
      </w:r>
      <w:r>
        <w:rPr>
          <w:rFonts w:hint="eastAsia" w:ascii="宋体" w:hAnsi="宋体" w:eastAsia="宋体" w:cs="宋体"/>
          <w:color w:val="auto"/>
          <w:sz w:val="24"/>
          <w:szCs w:val="24"/>
        </w:rPr>
        <w:t>）。站内仪表安装位置要能准确反映运行参数，所有表具安装位置应便于观测；当压力表、温度表测点高度高于2米时，要将表引至易于读数的1.5米处或做操作平台</w:t>
      </w:r>
      <w:r>
        <w:rPr>
          <w:rFonts w:hint="eastAsia" w:ascii="宋体" w:hAnsi="宋体" w:eastAsia="宋体" w:cs="宋体"/>
          <w:color w:val="auto"/>
          <w:sz w:val="24"/>
          <w:szCs w:val="24"/>
          <w:lang w:eastAsia="zh-CN"/>
        </w:rPr>
        <w:t>。</w:t>
      </w:r>
    </w:p>
    <w:p w14:paraId="4B816DF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（12）泵进出口阀门和止回阀及橡胶接头间应有短管，避免阀门开关受阻；出口可不设止回阀，如应采用避免使用蝶式止回阀，建议使用旋起式止回阀。</w:t>
      </w:r>
    </w:p>
    <w:p w14:paraId="070F5D7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（13）保温时要求站内设备铭牌外露，需保温部位和设备有换热器、除污器、阀门、管道等，保温方式采用：</w:t>
      </w:r>
      <w:r>
        <w:rPr>
          <w:rFonts w:hint="eastAsia" w:ascii="宋体" w:hAnsi="宋体" w:eastAsia="宋体" w:cs="宋体"/>
          <w:color w:val="auto"/>
          <w:sz w:val="24"/>
          <w:szCs w:val="24"/>
          <w:lang w:eastAsia="zh-CN"/>
        </w:rPr>
        <w:t>岩棉保温</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外</w:t>
      </w:r>
      <w:r>
        <w:rPr>
          <w:rFonts w:hint="eastAsia" w:ascii="宋体" w:hAnsi="宋体" w:eastAsia="宋体" w:cs="宋体"/>
          <w:color w:val="auto"/>
          <w:sz w:val="24"/>
          <w:szCs w:val="24"/>
        </w:rPr>
        <w:t>包</w:t>
      </w:r>
      <w:r>
        <w:rPr>
          <w:rFonts w:hint="eastAsia" w:ascii="宋体" w:hAnsi="宋体" w:eastAsia="宋体" w:cs="宋体"/>
          <w:color w:val="auto"/>
          <w:sz w:val="24"/>
          <w:szCs w:val="24"/>
          <w:lang w:eastAsia="zh-CN"/>
        </w:rPr>
        <w:t>彩色钢板。</w:t>
      </w:r>
    </w:p>
    <w:p w14:paraId="6652AF9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（14）安全阀要求：换热站每套系统应安装至少两个安全阀，安全阀应有整定、校验报告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安全阀导流管要引至排水沟。</w:t>
      </w:r>
    </w:p>
    <w:p w14:paraId="7A9486A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bookmarkStart w:id="54" w:name="_bookmark128"/>
      <w:bookmarkEnd w:id="54"/>
      <w:bookmarkStart w:id="55" w:name="_Toc1119_WPSOffice_Level1"/>
      <w:bookmarkStart w:id="56" w:name="_Toc10767_WPSOffice_Level1"/>
      <w:bookmarkStart w:id="57" w:name="_Toc28591_WPSOffice_Level1"/>
      <w:r>
        <w:rPr>
          <w:rFonts w:hint="eastAsia" w:ascii="宋体" w:hAnsi="宋体" w:eastAsia="宋体" w:cs="宋体"/>
          <w:color w:val="auto"/>
          <w:sz w:val="24"/>
          <w:szCs w:val="24"/>
        </w:rPr>
        <w:t>第三章建筑物热力设计、施工</w:t>
      </w:r>
      <w:bookmarkEnd w:id="55"/>
      <w:bookmarkEnd w:id="56"/>
      <w:bookmarkEnd w:id="57"/>
    </w:p>
    <w:p w14:paraId="58EE86A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58" w:name="_bookmark132"/>
      <w:bookmarkEnd w:id="58"/>
      <w:bookmarkStart w:id="59" w:name="_Toc16364_WPSOffice_Level2"/>
      <w:bookmarkStart w:id="60" w:name="_Toc16736_WPSOffice_Level2"/>
      <w:bookmarkStart w:id="61" w:name="_Toc1455_WPSOffice_Level2"/>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端口设计安装标准</w:t>
      </w:r>
      <w:bookmarkEnd w:id="59"/>
      <w:bookmarkEnd w:id="60"/>
      <w:bookmarkEnd w:id="61"/>
    </w:p>
    <w:p w14:paraId="4D0F8C6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建筑物热力入口的位置、管道井结构及热力入口装置的设备配置、安装位置等，应符合设计文件的要求。设计文件无明确要求时，热量表、自力式平衡阀、过滤器和阀门的安装位置,应符合相关产品使用说明书的要求并便于检修、维护和观察。</w:t>
      </w:r>
    </w:p>
    <w:p w14:paraId="0735E1C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楼宇控制阀门组件安装顺序为：</w:t>
      </w:r>
    </w:p>
    <w:p w14:paraId="778E4A4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供水：供热主供水管——全焊接球阀——除污器——泄水阀——焊接球阀——楼前供水管道</w:t>
      </w:r>
    </w:p>
    <w:p w14:paraId="7E637CC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回水：供热主回水管道——全焊接球阀——自力式平衡阀——泄水阀——焊接球阀——楼前回水管道</w:t>
      </w:r>
    </w:p>
    <w:p w14:paraId="170DF9E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单元阀门组件安装顺序为：</w:t>
      </w:r>
    </w:p>
    <w:p w14:paraId="737F15B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供水：楼前管道——单元控制球阀——除污器——泄水球阀——单元控制球阀——进单元</w:t>
      </w:r>
    </w:p>
    <w:p w14:paraId="6527A2A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回水：楼前管道——单元控制球阀——泄水球阀——进单元</w:t>
      </w:r>
    </w:p>
    <w:p w14:paraId="3B3AE94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1.1热力入口内供热管道的排列和位置应符合设计文件的要求，管道间距应便于设备检修和查验。</w:t>
      </w:r>
    </w:p>
    <w:p w14:paraId="0A3FA9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1.2地埋管道穿越外墙时，应设置具有一定强度的套管，套管与供热管道之间应做柔性防水，套管与墙体之间应做刚性防水。</w:t>
      </w:r>
    </w:p>
    <w:p w14:paraId="016C9C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1.3热力入口及管道井应设置防水隔潮保护层和排水地漏。</w:t>
      </w:r>
    </w:p>
    <w:p w14:paraId="260B2BD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1.4进入建筑物的直埋保温管,其管材及保温的作法应与室外直埋保温管相同。直埋保温管进建筑物或出地面时,应伸出内墙面或高出该地坪200mm以上。</w:t>
      </w:r>
    </w:p>
    <w:p w14:paraId="0538C86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1.5自力式平衡阀前后直管段长度应符合其产品使用说明书的要求。</w:t>
      </w:r>
    </w:p>
    <w:p w14:paraId="6E1237E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1.6安装过滤器后，过滤器所示水流方向应与管道内热媒流动方向一致，其安装位置应便于滤网拆装。</w:t>
      </w:r>
    </w:p>
    <w:p w14:paraId="2B290F5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1.7当压力表与温度计安装在同一管段上时,按热媒水流方向，压力表接口应安装在温度计接口的上游。压力表接口连接管的下端部不应超出管道的内壁,且内壁处应光滑无毛刺。</w:t>
      </w:r>
    </w:p>
    <w:p w14:paraId="09E1876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1.8供回水管之间的旁通管管材应与供回水干管相同,旁通管管径应符合设计文件的要求，旁通管上应安装与其管径相同的关断阀门。</w:t>
      </w:r>
    </w:p>
    <w:p w14:paraId="03A7514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62" w:name="_bookmark133"/>
      <w:bookmarkEnd w:id="62"/>
      <w:bookmarkStart w:id="63" w:name="_Toc22075_WPSOffice_Level2"/>
      <w:bookmarkStart w:id="64" w:name="_Toc30870_WPSOffice_Level2"/>
      <w:bookmarkStart w:id="65" w:name="_Toc1220_WPSOffice_Level2"/>
      <w:r>
        <w:rPr>
          <w:rFonts w:hint="eastAsia" w:ascii="宋体" w:hAnsi="宋体" w:eastAsia="宋体" w:cs="宋体"/>
          <w:color w:val="auto"/>
          <w:sz w:val="24"/>
          <w:szCs w:val="24"/>
        </w:rPr>
        <w:t>2.建筑物内系统</w:t>
      </w:r>
      <w:bookmarkEnd w:id="63"/>
      <w:bookmarkEnd w:id="64"/>
      <w:bookmarkEnd w:id="65"/>
    </w:p>
    <w:p w14:paraId="1DD89BD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2.1建筑物内水平干管、共用立管均应按设计文件的要求布置,施工时注意与其他管线密切配合,避免互相干扰。</w:t>
      </w:r>
    </w:p>
    <w:p w14:paraId="5E10B77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2.2户内系统入口装置使用的管材、阀门、过滤器、户用热量表、配件等的安装位置、连接方式等应符合设计文件的要求，并便于操作、观察和检修。</w:t>
      </w:r>
    </w:p>
    <w:p w14:paraId="7810D8E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2.3在同一个封闭的热计量系统内，应安装使用同一厂家、同一类型的户用热量表或热分配表。</w:t>
      </w:r>
    </w:p>
    <w:p w14:paraId="6983C25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2.4建筑物内的水平干管、分层支干管及入户前支管的管材，当管道公称直径≤50mm时，可采用内外热镀锌钢管，可使用螺纹连接,套丝扣时破坏的镀锌层表面及外露部位应做防腐处理；当管道公称直径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50mm时，应采用无缝钢管，采用焊接或法兰连接，同时对管材及焊口位置进行防腐处理。</w:t>
      </w:r>
    </w:p>
    <w:p w14:paraId="31A0322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管道穿越楼板或墙体时应设过墙套管。管道穿越楼板时，其套管顶部应高出地面20mm,底部应与楼板底面相平；管道穿越墙体时,其套管两端与墙体饰面相平。套管与管道之间缝隙应用阻燃密实材料填实紧密,管道的接口不得设在套管内。</w:t>
      </w:r>
    </w:p>
    <w:p w14:paraId="7A36085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2.6建筑物内的水平干管、共用立管、各层支干管及入户前支管的安装应有利于系统排气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共用立管最高点应设自动放气阀和关断装置,自动放气阀顶端高度应高于顶层散热器上端高度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手阀安装位置应便于操作。</w:t>
      </w:r>
    </w:p>
    <w:p w14:paraId="68F11D7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2.7共用立管应在每层安装一个立管管卡,管卡安装高度距本层地面为1.5～1.8米。在垂直方向，立管安装允许偏差不大于2mm/米,全长范围内安装允许偏差不大于10mm。</w:t>
      </w:r>
    </w:p>
    <w:p w14:paraId="78A941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2.8各层支干管及入户前支管应设管道支架。采用金属管道支架时,应在管道与支架间加衬非金属垫或管套。支架位置应按设计文件的要求设置,如设计无要求,支架间距应符合下表的规定。</w:t>
      </w:r>
    </w:p>
    <w:tbl>
      <w:tblPr>
        <w:tblStyle w:val="39"/>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1"/>
        <w:gridCol w:w="1037"/>
        <w:gridCol w:w="1038"/>
        <w:gridCol w:w="1037"/>
        <w:gridCol w:w="1037"/>
        <w:gridCol w:w="1039"/>
        <w:gridCol w:w="1042"/>
      </w:tblGrid>
      <w:tr w14:paraId="68266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081" w:type="dxa"/>
            <w:noWrap w:val="0"/>
            <w:vAlign w:val="top"/>
          </w:tcPr>
          <w:p w14:paraId="149DCD60">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公称直径DN</w:t>
            </w:r>
          </w:p>
        </w:tc>
        <w:tc>
          <w:tcPr>
            <w:tcW w:w="1037" w:type="dxa"/>
            <w:noWrap w:val="0"/>
            <w:vAlign w:val="top"/>
          </w:tcPr>
          <w:p w14:paraId="36720C33">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038" w:type="dxa"/>
            <w:noWrap w:val="0"/>
            <w:vAlign w:val="top"/>
          </w:tcPr>
          <w:p w14:paraId="4F98F1D7">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037" w:type="dxa"/>
            <w:noWrap w:val="0"/>
            <w:vAlign w:val="top"/>
          </w:tcPr>
          <w:p w14:paraId="26571874">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1037" w:type="dxa"/>
            <w:noWrap w:val="0"/>
            <w:vAlign w:val="top"/>
          </w:tcPr>
          <w:p w14:paraId="0AAFF1C2">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1039" w:type="dxa"/>
            <w:noWrap w:val="0"/>
            <w:vAlign w:val="top"/>
          </w:tcPr>
          <w:p w14:paraId="7CA90025">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1042" w:type="dxa"/>
            <w:noWrap w:val="0"/>
            <w:vAlign w:val="top"/>
          </w:tcPr>
          <w:p w14:paraId="04B8CD82">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7B4A2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2081" w:type="dxa"/>
            <w:noWrap w:val="0"/>
            <w:vAlign w:val="top"/>
          </w:tcPr>
          <w:p w14:paraId="188C2742">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支架间距（mm）</w:t>
            </w:r>
          </w:p>
        </w:tc>
        <w:tc>
          <w:tcPr>
            <w:tcW w:w="1037" w:type="dxa"/>
            <w:noWrap w:val="0"/>
            <w:vAlign w:val="top"/>
          </w:tcPr>
          <w:p w14:paraId="0B6C71A6">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1500</w:t>
            </w:r>
          </w:p>
        </w:tc>
        <w:tc>
          <w:tcPr>
            <w:tcW w:w="1038" w:type="dxa"/>
            <w:noWrap w:val="0"/>
            <w:vAlign w:val="top"/>
          </w:tcPr>
          <w:p w14:paraId="36FE12DC">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2000</w:t>
            </w:r>
          </w:p>
        </w:tc>
        <w:tc>
          <w:tcPr>
            <w:tcW w:w="1037" w:type="dxa"/>
            <w:noWrap w:val="0"/>
            <w:vAlign w:val="top"/>
          </w:tcPr>
          <w:p w14:paraId="7395DBCB">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2000</w:t>
            </w:r>
          </w:p>
        </w:tc>
        <w:tc>
          <w:tcPr>
            <w:tcW w:w="1037" w:type="dxa"/>
            <w:noWrap w:val="0"/>
            <w:vAlign w:val="top"/>
          </w:tcPr>
          <w:p w14:paraId="548641BF">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2500</w:t>
            </w:r>
          </w:p>
        </w:tc>
        <w:tc>
          <w:tcPr>
            <w:tcW w:w="1039" w:type="dxa"/>
            <w:noWrap w:val="0"/>
            <w:vAlign w:val="top"/>
          </w:tcPr>
          <w:p w14:paraId="11CAC473">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3000</w:t>
            </w:r>
          </w:p>
        </w:tc>
        <w:tc>
          <w:tcPr>
            <w:tcW w:w="1042" w:type="dxa"/>
            <w:noWrap w:val="0"/>
            <w:vAlign w:val="top"/>
          </w:tcPr>
          <w:p w14:paraId="2DC9A9E1">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3000</w:t>
            </w:r>
          </w:p>
        </w:tc>
      </w:tr>
    </w:tbl>
    <w:p w14:paraId="7501F1E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2.9在供热系统强度与严密性检验合格并完成防腐处理后，所有管道、管件、过滤器及阀门均应和进行保温。阀门、过滤器及法兰等部位的保温层应能单独拆卸,保温材料及保温层应符合设计文件的要求。保温材料安装容重允许偏差不得大于+10％。</w:t>
      </w:r>
    </w:p>
    <w:p w14:paraId="427A99C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2.10管道水压试验、冲洗合格后，建筑物内系统的阀门、管道及管件均应按设计文件的要求进行防腐和保温。</w:t>
      </w:r>
    </w:p>
    <w:p w14:paraId="3D2BA96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2.11安装完毕后，应及时清除管道或户内系统入口装置内的异物，清理现场。有敞开接口时，应</w:t>
      </w:r>
      <w:bookmarkStart w:id="66" w:name="_bookmark134"/>
      <w:bookmarkEnd w:id="66"/>
      <w:r>
        <w:rPr>
          <w:rFonts w:hint="eastAsia" w:ascii="宋体" w:hAnsi="宋体" w:eastAsia="宋体" w:cs="宋体"/>
          <w:color w:val="auto"/>
          <w:sz w:val="24"/>
          <w:szCs w:val="24"/>
        </w:rPr>
        <w:t>采取有效的封堵措施。</w:t>
      </w:r>
    </w:p>
    <w:p w14:paraId="5A8067C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67" w:name="_Toc18182_WPSOffice_Level2"/>
      <w:bookmarkStart w:id="68" w:name="_Toc17685_WPSOffice_Level2"/>
      <w:bookmarkStart w:id="69" w:name="_Toc23895_WPSOffice_Level2"/>
      <w:r>
        <w:rPr>
          <w:rFonts w:hint="eastAsia" w:ascii="宋体" w:hAnsi="宋体" w:eastAsia="宋体" w:cs="宋体"/>
          <w:color w:val="auto"/>
          <w:sz w:val="24"/>
          <w:szCs w:val="24"/>
        </w:rPr>
        <w:t>3.楼内入户装置安装标准</w:t>
      </w:r>
      <w:bookmarkEnd w:id="67"/>
      <w:bookmarkEnd w:id="68"/>
      <w:bookmarkEnd w:id="69"/>
    </w:p>
    <w:p w14:paraId="2FDD32F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入户装置安装顺序：</w:t>
      </w:r>
    </w:p>
    <w:p w14:paraId="2A1397E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供水：热源端——锁闭阀——铜球阀——除污器——热计量装置——进户</w:t>
      </w:r>
    </w:p>
    <w:p w14:paraId="4E67EB0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回水：热源端——锁闭阀——铜球阀——温度传感器——进户</w:t>
      </w:r>
    </w:p>
    <w:p w14:paraId="3B7B3DC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楼内共用立管采用下分式双管系统，共用立管接向户内系统的供回水分支管和户内管道采用内径不低于25（俗称一寸管）的热镀锌钢管，共用管道负荷超过250平米后应根据现场情况，加粗管径，共用立管和入户供回水分支管应采用高效保温材料保温，并做管道标识和入户分支标识。</w:t>
      </w:r>
    </w:p>
    <w:p w14:paraId="70AB32B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（2）热量表采用具备数据远传功能的超声波热量表，精度等级达到2级，使用寿命在10年以上，经省级及以上质量技术监督检验机构检验合格。</w:t>
      </w:r>
    </w:p>
    <w:p w14:paraId="641AF9F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（3）热量表按照产品说明书要求进行安装，表前直管管道大于10D，表后直管管道大于5D</w:t>
      </w:r>
      <w:r>
        <w:rPr>
          <w:rFonts w:hint="eastAsia" w:ascii="宋体" w:hAnsi="宋体" w:eastAsia="宋体" w:cs="宋体"/>
          <w:color w:val="auto"/>
          <w:sz w:val="24"/>
          <w:szCs w:val="24"/>
          <w:lang w:eastAsia="zh-CN"/>
        </w:rPr>
        <w:t>。</w:t>
      </w:r>
    </w:p>
    <w:p w14:paraId="7ED312F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（4）入户装置安装在户外可锁闭的管道井内或专门设置的表箱内，入户装置应合理安装布置，方便抄表、调节，并留有检修、维修空间。</w:t>
      </w:r>
    </w:p>
    <w:p w14:paraId="69D67D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70" w:name="_bookmark135"/>
      <w:bookmarkEnd w:id="70"/>
      <w:bookmarkStart w:id="71" w:name="_Toc18988_WPSOffice_Level2"/>
      <w:bookmarkStart w:id="72" w:name="_Toc8805_WPSOffice_Level2"/>
      <w:bookmarkStart w:id="73" w:name="_Toc17427_WPSOffice_Level2"/>
      <w:r>
        <w:rPr>
          <w:rFonts w:hint="eastAsia" w:ascii="宋体" w:hAnsi="宋体" w:eastAsia="宋体" w:cs="宋体"/>
          <w:color w:val="auto"/>
          <w:sz w:val="24"/>
          <w:szCs w:val="24"/>
        </w:rPr>
        <w:t>4.分户计量装置</w:t>
      </w:r>
      <w:bookmarkEnd w:id="71"/>
      <w:bookmarkEnd w:id="72"/>
      <w:bookmarkEnd w:id="73"/>
    </w:p>
    <w:p w14:paraId="71F38F4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1)要求将热力入口设在楼栋入口，热力入口及竖井处的阀门、设施摆放合理，便于维修，并留有维修空间。</w:t>
      </w:r>
    </w:p>
    <w:p w14:paraId="4204BAC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2)管道井地面、墙壁应防水隔潮，相对湿度小于85%，并设排水地漏。</w:t>
      </w:r>
    </w:p>
    <w:p w14:paraId="1DB3EE8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3)竖井内的立管全部采用无缝钢管焊接，管道保温采用橡塑保温材料，各项参数同于岩棉保温板。</w:t>
      </w:r>
    </w:p>
    <w:p w14:paraId="043151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4)热力小室空间应满足分户热表水平安装距离，管道及计量装置应有牢固支架支撑，预留检修距离。</w:t>
      </w:r>
    </w:p>
    <w:p w14:paraId="3E0E57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5)热力管道上须标明供水、回水，同时标明管道水流方向与房间号。</w:t>
      </w:r>
    </w:p>
    <w:p w14:paraId="521A011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6)楼栋热力管道井内各楼层上下楼板须预留孔洞，预装套管，并作好防水处理。穿过楼板的套管应高出板面50mm；孔洞直径应保证供热保温管通过。</w:t>
      </w:r>
    </w:p>
    <w:p w14:paraId="624F9BE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7)各楼栋应预留独立的数据通讯线缆通道，各楼栋与换热站之间应具有独立的数据通讯缆通道，应符合数据通讯线缆与强电缆线的布置应符合相关规范要求。</w:t>
      </w:r>
    </w:p>
    <w:p w14:paraId="36EBA00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8)水暖管道井至弱电井电源之间应预留孔洞，做套管，穿过墙体结构的套管长度每侧应大于墙厚20-25mm。</w:t>
      </w:r>
    </w:p>
    <w:p w14:paraId="5C88E2D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9)每楼栋热力入口处预留集中器安装的位置、各层管井内应预留220V电源，同时应保证移动通讯信号覆盖。</w:t>
      </w:r>
    </w:p>
    <w:p w14:paraId="5B57241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10)热计量远程抄表系统作为楼栋内供暖配套设备应纳入公共设施用电范畴。</w:t>
      </w:r>
    </w:p>
    <w:p w14:paraId="6457329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11)地下换热站须预留有线宽带通讯线缆，并实现移动通信信号良好覆盖，保证远传数据采</w:t>
      </w:r>
      <w:bookmarkStart w:id="74" w:name="_bookmark136"/>
      <w:bookmarkEnd w:id="74"/>
      <w:r>
        <w:rPr>
          <w:rFonts w:hint="eastAsia" w:ascii="宋体" w:hAnsi="宋体" w:eastAsia="宋体" w:cs="宋体"/>
          <w:color w:val="auto"/>
          <w:sz w:val="24"/>
          <w:szCs w:val="24"/>
        </w:rPr>
        <w:t>集系统的正常通讯运行。</w:t>
      </w:r>
    </w:p>
    <w:p w14:paraId="5CD4027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75" w:name="_Toc3914_WPSOffice_Level2"/>
      <w:bookmarkStart w:id="76" w:name="_Toc10418_WPSOffice_Level2"/>
      <w:bookmarkStart w:id="77" w:name="_Toc21828_WPSOffice_Level2"/>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户内系统</w:t>
      </w:r>
      <w:bookmarkEnd w:id="75"/>
      <w:bookmarkEnd w:id="76"/>
      <w:bookmarkEnd w:id="77"/>
    </w:p>
    <w:p w14:paraId="7880002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1)户内系统管道采用塑料管材时,其连接方法应符合设计文件和产品安装使用说明书的要求。</w:t>
      </w:r>
    </w:p>
    <w:p w14:paraId="2A833E5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2)塑料管材应用专用工具切割。切割后的管口应平整、无毛刺,其端面应与轴线垂直,不应有缩径。</w:t>
      </w:r>
    </w:p>
    <w:p w14:paraId="24587FD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3)需弯曲时，塑料管材的弯曲半径不应小于其产品安装使用说明书规定的数值，且应用专用工具弯曲。</w:t>
      </w:r>
    </w:p>
    <w:p w14:paraId="4B2945E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4)在户内系统安装完毕后，应按设计文件的要求进行压力试验和冲洗。</w:t>
      </w:r>
    </w:p>
    <w:p w14:paraId="2447B44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5)户内系统明敷管道</w:t>
      </w:r>
    </w:p>
    <w:p w14:paraId="381FEEB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管道敷设时应画线定位。安装时应先设置扣座或活动支架,保证其位置准确、安装平整、牢固。</w:t>
      </w:r>
    </w:p>
    <w:p w14:paraId="2022D2D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塑料扣座不应破损,材质不应采用再生材料,能够保证管道固定，其间距应符合下表的规定</w:t>
      </w:r>
      <w:r>
        <w:rPr>
          <w:rFonts w:hint="eastAsia" w:ascii="宋体" w:hAnsi="宋体" w:eastAsia="宋体" w:cs="宋体"/>
          <w:color w:val="auto"/>
          <w:sz w:val="24"/>
          <w:szCs w:val="24"/>
          <w:lang w:eastAsia="zh-CN"/>
        </w:rPr>
        <w:t>。</w:t>
      </w:r>
    </w:p>
    <w:tbl>
      <w:tblPr>
        <w:tblStyle w:val="39"/>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6"/>
        <w:gridCol w:w="2890"/>
        <w:gridCol w:w="2895"/>
      </w:tblGrid>
      <w:tr w14:paraId="237E8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526" w:type="dxa"/>
            <w:noWrap w:val="0"/>
            <w:vAlign w:val="center"/>
          </w:tcPr>
          <w:p w14:paraId="403CCE2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管道内径（mm）</w:t>
            </w:r>
          </w:p>
        </w:tc>
        <w:tc>
          <w:tcPr>
            <w:tcW w:w="2890" w:type="dxa"/>
            <w:noWrap w:val="0"/>
            <w:vAlign w:val="center"/>
          </w:tcPr>
          <w:p w14:paraId="4AA1D71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水平管（mm）</w:t>
            </w:r>
          </w:p>
        </w:tc>
        <w:tc>
          <w:tcPr>
            <w:tcW w:w="2895" w:type="dxa"/>
            <w:noWrap w:val="0"/>
            <w:vAlign w:val="center"/>
          </w:tcPr>
          <w:p w14:paraId="7515404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立管（mm）</w:t>
            </w:r>
          </w:p>
        </w:tc>
      </w:tr>
      <w:tr w14:paraId="29428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526" w:type="dxa"/>
            <w:noWrap w:val="0"/>
            <w:vAlign w:val="center"/>
          </w:tcPr>
          <w:p w14:paraId="2CE3E53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2890" w:type="dxa"/>
            <w:noWrap w:val="0"/>
            <w:vAlign w:val="center"/>
          </w:tcPr>
          <w:p w14:paraId="1AD699D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900</w:t>
            </w:r>
          </w:p>
        </w:tc>
        <w:tc>
          <w:tcPr>
            <w:tcW w:w="2895" w:type="dxa"/>
            <w:noWrap w:val="0"/>
            <w:vAlign w:val="center"/>
          </w:tcPr>
          <w:p w14:paraId="268AE06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1200</w:t>
            </w:r>
          </w:p>
        </w:tc>
      </w:tr>
      <w:tr w14:paraId="0F803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trPr>
        <w:tc>
          <w:tcPr>
            <w:tcW w:w="2526" w:type="dxa"/>
            <w:noWrap w:val="0"/>
            <w:vAlign w:val="center"/>
          </w:tcPr>
          <w:p w14:paraId="0E01425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890" w:type="dxa"/>
            <w:noWrap w:val="0"/>
            <w:vAlign w:val="center"/>
          </w:tcPr>
          <w:p w14:paraId="7AA5539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2895" w:type="dxa"/>
            <w:noWrap w:val="0"/>
            <w:vAlign w:val="center"/>
          </w:tcPr>
          <w:p w14:paraId="4AFFB35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1500</w:t>
            </w:r>
          </w:p>
        </w:tc>
      </w:tr>
    </w:tbl>
    <w:p w14:paraId="26365A2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穿越过门沟槽时,管道两端出地坪处应设有长度不小于100mm的塑料波纹管,管道沿踢脚板敷设且在墙角“包阳角”，户内系统管道穿越楼板或墙体时,应设套管。</w:t>
      </w:r>
    </w:p>
    <w:p w14:paraId="16F86CA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户内系统管道暗埋敷设</w:t>
      </w:r>
    </w:p>
    <w:p w14:paraId="6CEED64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a)对于PP-R、PB管,除热熔连接的分支管连接件外,垫层内不应设其他管件。</w:t>
      </w:r>
    </w:p>
    <w:p w14:paraId="703D614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b)暗埋敷设管道应根据设计要求敷设在预留的沟槽内,不得随意敷设。管道在进入敷设沟槽的地坪处,应根据设计文件要求设塑料波纹套管，若设计文件无明确要求，塑料波纹套管长度不应小于管道公称直径的10倍，且应高出地面100mm以上。</w:t>
      </w:r>
    </w:p>
    <w:p w14:paraId="47B6298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c)暗埋管道隐蔽前，应按设计文件的要求进行压力试验并形成质量记录。若设计文件无明确规定，试验压力应为工作压力的1.5倍，但不小于0.6M</w:t>
      </w:r>
      <w:r>
        <w:rPr>
          <w:rFonts w:hint="eastAsia" w:ascii="宋体" w:hAnsi="宋体" w:eastAsia="宋体" w:cs="宋体"/>
          <w:color w:val="auto"/>
          <w:sz w:val="24"/>
          <w:szCs w:val="24"/>
          <w:lang w:eastAsia="zh-CN"/>
        </w:rPr>
        <w:t>Pa</w:t>
      </w:r>
      <w:r>
        <w:rPr>
          <w:rFonts w:hint="eastAsia" w:ascii="宋体" w:hAnsi="宋体" w:eastAsia="宋体" w:cs="宋体"/>
          <w:color w:val="auto"/>
          <w:sz w:val="24"/>
          <w:szCs w:val="24"/>
        </w:rPr>
        <w:t>。</w:t>
      </w:r>
    </w:p>
    <w:p w14:paraId="3C8818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6）散热器和附件安装</w:t>
      </w:r>
    </w:p>
    <w:p w14:paraId="7CBDB8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（1）散热器应明装，连接散热器的支管的安装坡向、坡度应符合设计文件的要求，并有利于排水和泄水。</w:t>
      </w:r>
    </w:p>
    <w:p w14:paraId="4F42D05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（2）散热器与管道间，应用可拆装的连接件连接</w:t>
      </w:r>
      <w:r>
        <w:rPr>
          <w:rFonts w:hint="eastAsia" w:ascii="宋体" w:hAnsi="宋体" w:eastAsia="宋体" w:cs="宋体"/>
          <w:color w:val="auto"/>
          <w:sz w:val="24"/>
          <w:szCs w:val="24"/>
          <w:lang w:eastAsia="zh-CN"/>
        </w:rPr>
        <w:t>，附件至少含进出口快关阀、入口滤网，不得装设旁路阀，放水阀</w:t>
      </w:r>
      <w:r>
        <w:rPr>
          <w:rFonts w:hint="eastAsia" w:ascii="宋体" w:hAnsi="宋体" w:eastAsia="宋体" w:cs="宋体"/>
          <w:color w:val="auto"/>
          <w:sz w:val="24"/>
          <w:szCs w:val="24"/>
        </w:rPr>
        <w:t>。</w:t>
      </w:r>
    </w:p>
    <w:p w14:paraId="17A5A8F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（3）安装使用对流型散热器时,安装位置应符合设计文件的要求并确保散热器上下有足够的对流空间。</w:t>
      </w:r>
    </w:p>
    <w:p w14:paraId="6824DCB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（4）散热器恒温控制阀的安装位置、安装方式等，应符合设计文件或产品安装使用说明书的要求。</w:t>
      </w:r>
    </w:p>
    <w:p w14:paraId="4CB950C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（5）在户内系统安装完毕后，应按设计文件的要求进行水压试验。若设计文件无明确规定，应按《建筑给水排水及采暖工程施工质量验收规范》（GB50242-2002）相关条款的要求执行。</w:t>
      </w:r>
    </w:p>
    <w:p w14:paraId="21468B6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（6）水压试验合格后，应用压缩空气对系统内部进行吹扫，亦可用水进行冲洗，至系统内无明显可见杂质为合格。</w:t>
      </w:r>
    </w:p>
    <w:p w14:paraId="071BAC0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（7）水压试验合格后，应及时排净系统内的水，有敞开接口时，应采取有效的封堵措施</w:t>
      </w:r>
      <w:r>
        <w:rPr>
          <w:rFonts w:hint="eastAsia" w:ascii="宋体" w:hAnsi="宋体" w:eastAsia="宋体" w:cs="宋体"/>
          <w:color w:val="auto"/>
          <w:sz w:val="24"/>
          <w:szCs w:val="24"/>
          <w:lang w:eastAsia="zh-CN"/>
        </w:rPr>
        <w:t>。</w:t>
      </w:r>
    </w:p>
    <w:p w14:paraId="0296A98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78" w:name="_bookmark137"/>
      <w:bookmarkEnd w:id="78"/>
      <w:bookmarkStart w:id="79" w:name="_Toc5774_WPSOffice_Level2"/>
      <w:bookmarkStart w:id="80" w:name="_Toc29385_WPSOffice_Level2"/>
      <w:bookmarkStart w:id="81" w:name="_Toc12752_WPSOffice_Level2"/>
      <w:r>
        <w:rPr>
          <w:rFonts w:hint="eastAsia" w:ascii="宋体" w:hAnsi="宋体" w:eastAsia="宋体" w:cs="宋体"/>
          <w:color w:val="auto"/>
          <w:sz w:val="24"/>
          <w:szCs w:val="24"/>
        </w:rPr>
        <w:t>6.建筑节能（采暖部分）</w:t>
      </w:r>
      <w:bookmarkEnd w:id="79"/>
      <w:bookmarkEnd w:id="80"/>
      <w:bookmarkEnd w:id="81"/>
    </w:p>
    <w:p w14:paraId="02BD865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6.1采暖系统节能工程的验收，可按系统、楼层等进行，</w:t>
      </w:r>
    </w:p>
    <w:p w14:paraId="544FE01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6.2采暖系统节能工程采用的散热设备、阀门、仪表、管材、保温材料等产品进场时，应按设计要求对其类型、材质、规格及外观等进行验收，并应经监理工程师（建设单位代表）检查认可，且应成相应的验收记录。各种产品和设备的质量证明文件和相关技术资料应齐全，并应符合国家现行有关标准和规定。</w:t>
      </w:r>
    </w:p>
    <w:p w14:paraId="461F853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6.3采暖系统节能工程采用的散热器和保温材料等进场时，应对其下列技术性能参数进行复验，复验应为见证取样送检。</w:t>
      </w:r>
    </w:p>
    <w:p w14:paraId="3E858E2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82" w:name="_Toc32120_WPSOffice_Level3"/>
      <w:bookmarkStart w:id="83" w:name="_Toc3086_WPSOffice_Level3"/>
      <w:r>
        <w:rPr>
          <w:rFonts w:hint="eastAsia" w:ascii="宋体" w:hAnsi="宋体" w:eastAsia="宋体" w:cs="宋体"/>
          <w:color w:val="auto"/>
          <w:sz w:val="24"/>
          <w:szCs w:val="24"/>
        </w:rPr>
        <w:t>（1）散热器的单位散热量、传热系数、金属热强度；</w:t>
      </w:r>
      <w:bookmarkEnd w:id="82"/>
      <w:bookmarkEnd w:id="83"/>
    </w:p>
    <w:p w14:paraId="3E39F1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84" w:name="_Toc10_WPSOffice_Level3"/>
      <w:bookmarkStart w:id="85" w:name="_Toc26512_WPSOffice_Level3"/>
      <w:r>
        <w:rPr>
          <w:rFonts w:hint="eastAsia" w:ascii="宋体" w:hAnsi="宋体" w:eastAsia="宋体" w:cs="宋体"/>
          <w:color w:val="auto"/>
          <w:sz w:val="24"/>
          <w:szCs w:val="24"/>
        </w:rPr>
        <w:t>（2）保温材料的导热系数、密度、吸水率。</w:t>
      </w:r>
      <w:bookmarkEnd w:id="84"/>
      <w:bookmarkEnd w:id="85"/>
    </w:p>
    <w:p w14:paraId="37CEC7C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6.4采暖系统的安装应符合下列规定：</w:t>
      </w:r>
    </w:p>
    <w:p w14:paraId="7B2E2CD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（1）采暖系统的制式，应符合设计要求；</w:t>
      </w:r>
    </w:p>
    <w:p w14:paraId="40020DE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（2）散热设备、阀门、过滤器、温度计及仪表应按设计要求安装齐全，不得随意增减和更换；</w:t>
      </w:r>
    </w:p>
    <w:p w14:paraId="67C5BE1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（3）室内温度调控装置、热计量装置、水力平衡装置以及热力入口装置的安装位置和方向应符合设计要求，并便于观察、操作和调试；</w:t>
      </w:r>
    </w:p>
    <w:p w14:paraId="6499919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（4）温度调控装置和热计量装置安装后，采暖系统应能实现设计要求的分室（区）温度调控、分栋热计量和分户或室（区）热量（费）分摊的功能。</w:t>
      </w:r>
    </w:p>
    <w:p w14:paraId="1C00EF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6.5散热器及其安装应符合下列规定：</w:t>
      </w:r>
    </w:p>
    <w:p w14:paraId="38B312E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86" w:name="_Toc14956_WPSOffice_Level3"/>
      <w:bookmarkStart w:id="87" w:name="_Toc12513_WPSOffice_Level3"/>
      <w:r>
        <w:rPr>
          <w:rFonts w:hint="eastAsia" w:ascii="宋体" w:hAnsi="宋体" w:eastAsia="宋体" w:cs="宋体"/>
          <w:color w:val="auto"/>
          <w:sz w:val="24"/>
          <w:szCs w:val="24"/>
        </w:rPr>
        <w:t>（1）每组散热器的类型、规格、数量及安装方式应符合设计要求；</w:t>
      </w:r>
      <w:bookmarkEnd w:id="86"/>
      <w:bookmarkEnd w:id="87"/>
    </w:p>
    <w:p w14:paraId="596119A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88" w:name="_Toc10217_WPSOffice_Level3"/>
      <w:bookmarkStart w:id="89" w:name="_Toc12447_WPSOffice_Level3"/>
      <w:r>
        <w:rPr>
          <w:rFonts w:hint="eastAsia" w:ascii="宋体" w:hAnsi="宋体" w:eastAsia="宋体" w:cs="宋体"/>
          <w:color w:val="auto"/>
          <w:sz w:val="24"/>
          <w:szCs w:val="24"/>
        </w:rPr>
        <w:t>（2）散热器外表面应刷非金属性涂料。</w:t>
      </w:r>
      <w:bookmarkEnd w:id="88"/>
      <w:bookmarkEnd w:id="89"/>
    </w:p>
    <w:p w14:paraId="3A428E5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6.6散热器恒温阀及其安装应符合下列规定：</w:t>
      </w:r>
    </w:p>
    <w:p w14:paraId="7CF278C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（1）温阀的规格、数量应符合设计要求；</w:t>
      </w:r>
    </w:p>
    <w:p w14:paraId="20EBAFE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（2）明装散热器恒温阀不应安装在狭小和封闭空间，其恒温阀阀头应水平安装，且不应被散热器、窗帘或恒温阀阀头应水平安装，且不应被散热器、窗帘或其它障碍物遮挡；</w:t>
      </w:r>
    </w:p>
    <w:p w14:paraId="1733346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（3）暗装散热器的恒温阀应采用外置式温度传感器，并应安装在空气流通且能正确反映房间</w:t>
      </w:r>
      <w:r>
        <w:rPr>
          <w:rFonts w:hint="eastAsia" w:ascii="宋体" w:hAnsi="宋体" w:eastAsia="宋体" w:cs="宋体"/>
          <w:color w:val="auto"/>
          <w:sz w:val="24"/>
          <w:szCs w:val="24"/>
          <w:lang w:eastAsia="zh-CN"/>
        </w:rPr>
        <w:t>。</w:t>
      </w:r>
    </w:p>
    <w:p w14:paraId="7F6D9A1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6.7低温热水地面辐射供暖系统的安装应符合下列规定：</w:t>
      </w:r>
    </w:p>
    <w:p w14:paraId="28346B3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（1）防潮层和绝热层的做法及绝热层的厚度应符合设计要求；</w:t>
      </w:r>
    </w:p>
    <w:p w14:paraId="4BFD597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（2）内温控装置的传感器应安装在避开阳光直射和有发热设备且距地发热设备且距地1.4m处的内墙面上。</w:t>
      </w:r>
    </w:p>
    <w:p w14:paraId="2F8780E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6.8采暖系统热力入口装置的安装应符合下列规定：</w:t>
      </w:r>
    </w:p>
    <w:p w14:paraId="03F04E6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（1）热力入口装置中各种部件的规格、数量，应符合设计要求；</w:t>
      </w:r>
    </w:p>
    <w:p w14:paraId="02B4FC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（2）热计量装置、过滤器、压力表、温度计的安装位置、方向应正确，并便于观察、维护；</w:t>
      </w:r>
    </w:p>
    <w:p w14:paraId="2F69F35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（3）水力平衡装置及各类阀门的安装位置、方向应正确，并便于操作和调试。安装完毕后，应根据系统水力平衡要求进行调试并做出标志。</w:t>
      </w:r>
    </w:p>
    <w:p w14:paraId="297FB96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6.9采暖管道保温层和防潮层的施工应符合下列规定：</w:t>
      </w:r>
    </w:p>
    <w:p w14:paraId="22A375A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（1）温层应采用不燃或难燃材料，其材质、规格及厚度等应符合设计要求；</w:t>
      </w:r>
    </w:p>
    <w:p w14:paraId="5E4AF8C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（2）保温管壳的粘贴应牢固、铺设应平整。硬质或半硬质的保温管壳每节至少应用防腐金属丝或难腐织带或专用胶带进行捆扎或粘贴2道，其间距为300-350mm，且捆扎、粘贴应紧密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无滑动、松弛及断裂现象；</w:t>
      </w:r>
    </w:p>
    <w:p w14:paraId="2F6D791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（3）硬质或半硬质保温管壳的拼接缝隙不应大于5mm，并用粘结材料勾缝填满；纵缝应错开，外层的水平接缝应设在侧下方；</w:t>
      </w:r>
    </w:p>
    <w:p w14:paraId="7BBEA80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（4）松散或软质保温材料应按规定的密度压缩其体积，疏密应均匀。毡类材料在管道上包扎时，搭接处不应有空隙；</w:t>
      </w:r>
    </w:p>
    <w:p w14:paraId="7DBE590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（5）防潮层应紧密粘贴在保温层上，封闭良好，不得有虚粘、气泡、褶皱、裂缝等缺陷</w:t>
      </w:r>
      <w:r>
        <w:rPr>
          <w:rFonts w:hint="eastAsia" w:ascii="宋体" w:hAnsi="宋体" w:eastAsia="宋体" w:cs="宋体"/>
          <w:color w:val="auto"/>
          <w:sz w:val="24"/>
          <w:szCs w:val="24"/>
          <w:lang w:eastAsia="zh-CN"/>
        </w:rPr>
        <w:t>；</w:t>
      </w:r>
    </w:p>
    <w:p w14:paraId="57F7C17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（6）防潮层的立管应由管道的低端向高端敷设，环向搭接缝应朝向低端；纵向搭接缝应位于管道的侧面，并顺水；</w:t>
      </w:r>
    </w:p>
    <w:p w14:paraId="4730BC8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（7）卷材防潮层采用螺旋形缠绕的方式施工时，卷材的搭接宽度宜为30-50mm；</w:t>
      </w:r>
    </w:p>
    <w:p w14:paraId="34BE898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（8）阀门等配件的保温层结构应严密，且能单独拆卸并不得影响其操作功能；</w:t>
      </w:r>
    </w:p>
    <w:p w14:paraId="419E5D3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（9）采暖系统应随施工进度对与节能有关的隐蔽部位或内容进行验收，并应有详细的文字记录和必要的图像资料；</w:t>
      </w:r>
    </w:p>
    <w:p w14:paraId="78DF2E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（10）采暖系统过滤器等配件的保温层应密实、无空隙，且不得影响其操作功能；</w:t>
      </w:r>
    </w:p>
    <w:p w14:paraId="6470ED7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）楼内共用管道及入户管道均应采取有效保温措施，外层采用</w:t>
      </w:r>
      <w:r>
        <w:rPr>
          <w:rFonts w:hint="eastAsia" w:ascii="宋体" w:hAnsi="宋体" w:eastAsia="宋体" w:cs="宋体"/>
          <w:color w:val="auto"/>
          <w:sz w:val="24"/>
          <w:szCs w:val="24"/>
          <w:lang w:eastAsia="zh-CN"/>
        </w:rPr>
        <w:t>Pa</w:t>
      </w:r>
      <w:r>
        <w:rPr>
          <w:rFonts w:hint="eastAsia" w:ascii="宋体" w:hAnsi="宋体" w:eastAsia="宋体" w:cs="宋体"/>
          <w:color w:val="auto"/>
          <w:sz w:val="24"/>
          <w:szCs w:val="24"/>
        </w:rPr>
        <w:t>P铝塑板包裹，做到外观平整</w:t>
      </w:r>
      <w:bookmarkStart w:id="90" w:name="_bookmark138"/>
      <w:bookmarkEnd w:id="90"/>
      <w:r>
        <w:rPr>
          <w:rFonts w:hint="eastAsia" w:ascii="宋体" w:hAnsi="宋体" w:eastAsia="宋体" w:cs="宋体"/>
          <w:color w:val="auto"/>
          <w:sz w:val="24"/>
          <w:szCs w:val="24"/>
        </w:rPr>
        <w:t>美观。</w:t>
      </w:r>
    </w:p>
    <w:p w14:paraId="34C2269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bookmarkStart w:id="91" w:name="_Toc2670_WPSOffice_Level2"/>
      <w:bookmarkStart w:id="92" w:name="_Toc24503_WPSOffice_Level2"/>
      <w:bookmarkStart w:id="93" w:name="_Toc11574_WPSOffice_Level2"/>
      <w:r>
        <w:rPr>
          <w:rFonts w:hint="eastAsia" w:ascii="宋体" w:hAnsi="宋体" w:eastAsia="宋体" w:cs="宋体"/>
          <w:color w:val="auto"/>
          <w:sz w:val="24"/>
          <w:szCs w:val="24"/>
        </w:rPr>
        <w:t>7.分户计量装置</w:t>
      </w:r>
      <w:bookmarkEnd w:id="91"/>
      <w:bookmarkEnd w:id="92"/>
      <w:bookmarkEnd w:id="93"/>
    </w:p>
    <w:p w14:paraId="5F62AC8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供热计量用的热量表应符合中华人民共和国城镇建设行业标准《热量表》CJ128和中国人民共和国国家计量检定规程《热能表》JJG225，并取得《制造计量器具许可证》或《中华人民共和国计量器具型式批准证书》。</w:t>
      </w:r>
    </w:p>
    <w:p w14:paraId="37BE88C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（1）热量表使用寿命应在8年以上并具有抗外界磁场干扰功能</w:t>
      </w:r>
      <w:r>
        <w:rPr>
          <w:rFonts w:hint="eastAsia" w:ascii="宋体" w:hAnsi="宋体" w:eastAsia="宋体" w:cs="宋体"/>
          <w:color w:val="auto"/>
          <w:sz w:val="24"/>
          <w:szCs w:val="24"/>
          <w:lang w:eastAsia="zh-CN"/>
        </w:rPr>
        <w:t>。</w:t>
      </w:r>
    </w:p>
    <w:p w14:paraId="4BFE2DE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（2）热量表的环境等级不低于IP54。</w:t>
      </w:r>
    </w:p>
    <w:p w14:paraId="2A6F401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（3）热量表应设有数据通讯接口，如无线和M-BUS等。</w:t>
      </w:r>
    </w:p>
    <w:p w14:paraId="232D770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（4）户用热量表及安装在热力入口或二级网上的热量表应采用内装电池，一次安装后电池使用时间应大于8+2年。</w:t>
      </w:r>
    </w:p>
    <w:p w14:paraId="7BF963B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除具备《热量表》（CJ128-2000）所规定的显示内容和要求外，计算器显示屏还应显示以下内容：错误诊断结果显示、出现错误或故障的时间（显示内容可以用文字表示也可以用代码表示）；可追溯的数据存储应包括以下内容：至少前一个采暖期的累积热量值、热量表运行时间、运行年内每月的累积热量值、最大功率出现日期、最大流量出现日期。</w:t>
      </w:r>
    </w:p>
    <w:p w14:paraId="2F490A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（6）户用热量表计量精度应为二级精度以上（含二级）。</w:t>
      </w:r>
    </w:p>
    <w:p w14:paraId="210A413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（7）热量表计量单位应采用</w:t>
      </w:r>
      <w:r>
        <w:rPr>
          <w:rFonts w:hint="eastAsia" w:ascii="宋体" w:hAnsi="宋体" w:eastAsia="宋体" w:cs="宋体"/>
          <w:color w:val="auto"/>
          <w:sz w:val="24"/>
          <w:szCs w:val="24"/>
          <w:lang w:eastAsia="zh-CN"/>
        </w:rPr>
        <w:t>kW</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h。</w:t>
      </w:r>
    </w:p>
    <w:p w14:paraId="049B9DB1">
      <w:pPr>
        <w:widowControl/>
        <w:jc w:val="center"/>
        <w:outlineLvl w:val="0"/>
        <w:rPr>
          <w:rFonts w:ascii="宋体" w:hAnsi="宋体"/>
          <w:color w:val="auto"/>
          <w:sz w:val="32"/>
          <w:szCs w:val="32"/>
        </w:rPr>
      </w:pPr>
      <w:r>
        <w:rPr>
          <w:rFonts w:hint="eastAsia" w:ascii="宋体" w:hAnsi="宋体"/>
          <w:color w:val="auto"/>
          <w:sz w:val="32"/>
          <w:szCs w:val="32"/>
        </w:rPr>
        <w:br w:type="page"/>
      </w:r>
      <w:bookmarkStart w:id="94" w:name="_Toc16799"/>
      <w:bookmarkStart w:id="95" w:name="_Toc16480"/>
      <w:r>
        <w:rPr>
          <w:rStyle w:val="55"/>
          <w:rFonts w:hint="eastAsia" w:ascii="宋体" w:hAnsi="宋体" w:eastAsia="宋体" w:cs="宋体"/>
          <w:color w:val="auto"/>
        </w:rPr>
        <w:t>第五部分  合同授予</w:t>
      </w:r>
      <w:bookmarkEnd w:id="94"/>
      <w:bookmarkEnd w:id="95"/>
    </w:p>
    <w:p w14:paraId="3A27C396">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14:paraId="03D3FACF">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60A0C33C">
      <w:pPr>
        <w:pStyle w:val="3"/>
        <w:keepNext w:val="0"/>
        <w:keepLines w:val="0"/>
        <w:spacing w:before="0" w:after="0" w:line="540" w:lineRule="exact"/>
        <w:jc w:val="center"/>
        <w:outlineLvl w:val="9"/>
        <w:rPr>
          <w:rFonts w:ascii="宋体" w:hAnsi="宋体" w:eastAsia="宋体" w:cs="宋体"/>
          <w:color w:val="auto"/>
          <w:sz w:val="24"/>
          <w:szCs w:val="24"/>
        </w:rPr>
      </w:pPr>
      <w:bookmarkStart w:id="96" w:name="_Toc5213"/>
      <w:bookmarkStart w:id="97" w:name="_Toc17168"/>
      <w:bookmarkStart w:id="98" w:name="_Toc457668115"/>
    </w:p>
    <w:p w14:paraId="4CBB062B">
      <w:pPr>
        <w:pStyle w:val="3"/>
        <w:keepNext w:val="0"/>
        <w:keepLines w:val="0"/>
        <w:spacing w:before="0" w:after="0" w:line="540" w:lineRule="exact"/>
        <w:jc w:val="center"/>
        <w:outlineLvl w:val="9"/>
        <w:rPr>
          <w:rFonts w:ascii="宋体" w:hAnsi="宋体" w:eastAsia="宋体" w:cs="宋体"/>
          <w:color w:val="auto"/>
          <w:sz w:val="24"/>
          <w:szCs w:val="24"/>
        </w:rPr>
      </w:pPr>
    </w:p>
    <w:p w14:paraId="01CAA83F">
      <w:pPr>
        <w:rPr>
          <w:rFonts w:ascii="宋体" w:hAnsi="宋体" w:eastAsia="宋体" w:cs="宋体"/>
          <w:color w:val="auto"/>
          <w:sz w:val="24"/>
          <w:szCs w:val="24"/>
        </w:rPr>
      </w:pPr>
    </w:p>
    <w:p w14:paraId="195C8046">
      <w:pPr>
        <w:rPr>
          <w:rFonts w:ascii="宋体" w:hAnsi="宋体" w:eastAsia="宋体" w:cs="宋体"/>
          <w:color w:val="auto"/>
          <w:sz w:val="24"/>
          <w:szCs w:val="24"/>
        </w:rPr>
      </w:pPr>
    </w:p>
    <w:p w14:paraId="24EC505C">
      <w:pPr>
        <w:pStyle w:val="3"/>
        <w:keepNext w:val="0"/>
        <w:keepLines w:val="0"/>
        <w:spacing w:before="0" w:after="0" w:line="540" w:lineRule="exact"/>
        <w:jc w:val="center"/>
        <w:outlineLvl w:val="9"/>
        <w:rPr>
          <w:rFonts w:ascii="宋体" w:hAnsi="宋体" w:eastAsia="宋体" w:cs="宋体"/>
          <w:color w:val="auto"/>
          <w:sz w:val="24"/>
          <w:szCs w:val="24"/>
        </w:rPr>
      </w:pPr>
    </w:p>
    <w:p w14:paraId="288ABFA6">
      <w:pPr>
        <w:pStyle w:val="3"/>
        <w:keepNext w:val="0"/>
        <w:keepLines w:val="0"/>
        <w:spacing w:before="0" w:after="0" w:line="540" w:lineRule="exact"/>
        <w:jc w:val="center"/>
        <w:outlineLvl w:val="9"/>
        <w:rPr>
          <w:rFonts w:ascii="宋体" w:hAnsi="宋体" w:eastAsia="宋体" w:cs="宋体"/>
          <w:color w:val="auto"/>
          <w:sz w:val="24"/>
          <w:szCs w:val="24"/>
        </w:rPr>
      </w:pPr>
    </w:p>
    <w:p w14:paraId="1A0B1F6F">
      <w:pPr>
        <w:pStyle w:val="3"/>
        <w:keepNext w:val="0"/>
        <w:keepLines w:val="0"/>
        <w:spacing w:before="0" w:after="0" w:line="540" w:lineRule="exact"/>
        <w:jc w:val="center"/>
        <w:outlineLvl w:val="9"/>
        <w:rPr>
          <w:rFonts w:ascii="宋体" w:hAnsi="宋体" w:eastAsia="宋体" w:cs="宋体"/>
          <w:color w:val="auto"/>
          <w:sz w:val="24"/>
          <w:szCs w:val="24"/>
        </w:rPr>
      </w:pPr>
    </w:p>
    <w:p w14:paraId="56F1AA89">
      <w:pPr>
        <w:pStyle w:val="3"/>
        <w:keepNext w:val="0"/>
        <w:keepLines w:val="0"/>
        <w:spacing w:before="0" w:after="0" w:line="540" w:lineRule="exact"/>
        <w:jc w:val="center"/>
        <w:outlineLvl w:val="9"/>
        <w:rPr>
          <w:rFonts w:ascii="宋体" w:hAnsi="宋体" w:eastAsia="宋体" w:cs="宋体"/>
          <w:color w:val="auto"/>
          <w:sz w:val="24"/>
          <w:szCs w:val="24"/>
        </w:rPr>
      </w:pPr>
    </w:p>
    <w:p w14:paraId="0E694B25">
      <w:pPr>
        <w:pStyle w:val="3"/>
        <w:keepNext w:val="0"/>
        <w:keepLines w:val="0"/>
        <w:spacing w:before="0" w:after="0" w:line="540" w:lineRule="exact"/>
        <w:jc w:val="center"/>
        <w:outlineLvl w:val="9"/>
        <w:rPr>
          <w:rFonts w:ascii="宋体" w:hAnsi="宋体" w:eastAsia="宋体" w:cs="宋体"/>
          <w:color w:val="auto"/>
          <w:sz w:val="24"/>
          <w:szCs w:val="24"/>
        </w:rPr>
      </w:pPr>
    </w:p>
    <w:p w14:paraId="0B233534">
      <w:pPr>
        <w:pStyle w:val="3"/>
        <w:keepNext w:val="0"/>
        <w:keepLines w:val="0"/>
        <w:spacing w:before="0" w:after="0" w:line="540" w:lineRule="exact"/>
        <w:jc w:val="both"/>
        <w:outlineLvl w:val="9"/>
        <w:rPr>
          <w:rFonts w:hint="eastAsia" w:ascii="宋体" w:hAnsi="宋体" w:eastAsia="宋体" w:cs="宋体"/>
          <w:color w:val="auto"/>
          <w:sz w:val="24"/>
          <w:szCs w:val="24"/>
          <w:lang w:eastAsia="zh-CN"/>
        </w:rPr>
      </w:pPr>
    </w:p>
    <w:p w14:paraId="7475526B">
      <w:pPr>
        <w:pStyle w:val="3"/>
        <w:keepNext w:val="0"/>
        <w:keepLines w:val="0"/>
        <w:spacing w:before="0" w:after="0" w:line="540" w:lineRule="exact"/>
        <w:jc w:val="center"/>
        <w:outlineLvl w:val="9"/>
        <w:rPr>
          <w:rFonts w:ascii="宋体" w:hAnsi="宋体" w:eastAsia="宋体" w:cs="宋体"/>
          <w:color w:val="auto"/>
          <w:sz w:val="24"/>
          <w:szCs w:val="24"/>
        </w:rPr>
      </w:pPr>
    </w:p>
    <w:p w14:paraId="523B664D">
      <w:pPr>
        <w:pStyle w:val="3"/>
        <w:keepNext w:val="0"/>
        <w:keepLines w:val="0"/>
        <w:spacing w:before="0" w:after="0" w:line="540" w:lineRule="exact"/>
        <w:jc w:val="center"/>
        <w:outlineLvl w:val="9"/>
        <w:rPr>
          <w:rFonts w:ascii="宋体" w:hAnsi="宋体" w:eastAsia="宋体" w:cs="宋体"/>
          <w:color w:val="auto"/>
          <w:sz w:val="24"/>
          <w:szCs w:val="24"/>
        </w:rPr>
      </w:pPr>
    </w:p>
    <w:p w14:paraId="69B3EF45">
      <w:pPr>
        <w:pStyle w:val="3"/>
        <w:keepNext w:val="0"/>
        <w:keepLines w:val="0"/>
        <w:spacing w:before="0" w:after="0" w:line="540" w:lineRule="exact"/>
        <w:jc w:val="center"/>
        <w:outlineLvl w:val="9"/>
        <w:rPr>
          <w:rFonts w:ascii="宋体" w:hAnsi="宋体" w:eastAsia="宋体" w:cs="宋体"/>
          <w:color w:val="auto"/>
          <w:sz w:val="24"/>
          <w:szCs w:val="24"/>
        </w:rPr>
      </w:pPr>
    </w:p>
    <w:p w14:paraId="7CC38B76">
      <w:pPr>
        <w:pStyle w:val="3"/>
        <w:keepNext w:val="0"/>
        <w:keepLines w:val="0"/>
        <w:spacing w:before="0" w:after="0" w:line="540" w:lineRule="exact"/>
        <w:jc w:val="center"/>
        <w:outlineLvl w:val="9"/>
        <w:rPr>
          <w:rFonts w:ascii="宋体" w:hAnsi="宋体" w:eastAsia="宋体" w:cs="宋体"/>
          <w:color w:val="auto"/>
          <w:sz w:val="24"/>
          <w:szCs w:val="24"/>
        </w:rPr>
      </w:pPr>
    </w:p>
    <w:p w14:paraId="522CE82C">
      <w:pPr>
        <w:pStyle w:val="3"/>
        <w:keepNext w:val="0"/>
        <w:keepLines w:val="0"/>
        <w:spacing w:before="0" w:after="0" w:line="540" w:lineRule="exact"/>
        <w:jc w:val="center"/>
        <w:outlineLvl w:val="9"/>
        <w:rPr>
          <w:rFonts w:ascii="宋体" w:hAnsi="宋体" w:eastAsia="宋体" w:cs="宋体"/>
          <w:color w:val="auto"/>
          <w:sz w:val="24"/>
          <w:szCs w:val="24"/>
        </w:rPr>
      </w:pPr>
    </w:p>
    <w:p w14:paraId="0C8ED60E">
      <w:pPr>
        <w:pStyle w:val="3"/>
        <w:keepNext w:val="0"/>
        <w:keepLines w:val="0"/>
        <w:spacing w:before="0" w:after="0" w:line="540" w:lineRule="exact"/>
        <w:jc w:val="center"/>
        <w:outlineLvl w:val="9"/>
        <w:rPr>
          <w:rFonts w:ascii="宋体" w:hAnsi="宋体" w:eastAsia="宋体" w:cs="宋体"/>
          <w:color w:val="auto"/>
          <w:sz w:val="24"/>
          <w:szCs w:val="24"/>
        </w:rPr>
      </w:pPr>
    </w:p>
    <w:p w14:paraId="4A8312FF">
      <w:pPr>
        <w:pStyle w:val="3"/>
        <w:keepNext w:val="0"/>
        <w:keepLines w:val="0"/>
        <w:spacing w:before="0" w:after="0" w:line="540" w:lineRule="exact"/>
        <w:jc w:val="center"/>
        <w:outlineLvl w:val="9"/>
        <w:rPr>
          <w:rFonts w:ascii="宋体" w:hAnsi="宋体" w:eastAsia="宋体" w:cs="宋体"/>
          <w:color w:val="auto"/>
          <w:sz w:val="24"/>
          <w:szCs w:val="24"/>
        </w:rPr>
      </w:pPr>
    </w:p>
    <w:p w14:paraId="70C61F41">
      <w:pPr>
        <w:pStyle w:val="3"/>
        <w:keepNext w:val="0"/>
        <w:keepLines w:val="0"/>
        <w:spacing w:before="0" w:after="0" w:line="540" w:lineRule="exact"/>
        <w:jc w:val="center"/>
        <w:outlineLvl w:val="9"/>
        <w:rPr>
          <w:rFonts w:ascii="宋体" w:hAnsi="宋体" w:eastAsia="宋体" w:cs="宋体"/>
          <w:color w:val="auto"/>
          <w:sz w:val="24"/>
          <w:szCs w:val="24"/>
        </w:rPr>
      </w:pPr>
    </w:p>
    <w:p w14:paraId="3CA6031A">
      <w:pPr>
        <w:pStyle w:val="3"/>
        <w:keepNext w:val="0"/>
        <w:keepLines w:val="0"/>
        <w:spacing w:before="0" w:after="0" w:line="540" w:lineRule="exact"/>
        <w:jc w:val="center"/>
        <w:outlineLvl w:val="9"/>
        <w:rPr>
          <w:rFonts w:ascii="宋体" w:hAnsi="宋体" w:eastAsia="宋体" w:cs="宋体"/>
          <w:color w:val="auto"/>
          <w:sz w:val="24"/>
          <w:szCs w:val="24"/>
        </w:rPr>
      </w:pPr>
    </w:p>
    <w:p w14:paraId="1D4AFF5A">
      <w:pPr>
        <w:pStyle w:val="3"/>
        <w:keepNext w:val="0"/>
        <w:keepLines w:val="0"/>
        <w:spacing w:before="0" w:after="0" w:line="540" w:lineRule="exact"/>
        <w:jc w:val="center"/>
        <w:outlineLvl w:val="9"/>
        <w:rPr>
          <w:rFonts w:ascii="宋体" w:hAnsi="宋体" w:eastAsia="宋体" w:cs="宋体"/>
          <w:color w:val="auto"/>
          <w:sz w:val="24"/>
          <w:szCs w:val="24"/>
        </w:rPr>
      </w:pPr>
    </w:p>
    <w:p w14:paraId="539BFCE5">
      <w:pPr>
        <w:pStyle w:val="3"/>
        <w:keepNext w:val="0"/>
        <w:keepLines w:val="0"/>
        <w:spacing w:before="0" w:after="0" w:line="540" w:lineRule="exact"/>
        <w:jc w:val="center"/>
        <w:outlineLvl w:val="9"/>
        <w:rPr>
          <w:rFonts w:ascii="宋体" w:hAnsi="宋体" w:eastAsia="宋体" w:cs="宋体"/>
          <w:color w:val="auto"/>
          <w:sz w:val="24"/>
          <w:szCs w:val="24"/>
        </w:rPr>
      </w:pPr>
    </w:p>
    <w:p w14:paraId="30C2AA91">
      <w:pPr>
        <w:pStyle w:val="3"/>
        <w:keepNext w:val="0"/>
        <w:keepLines w:val="0"/>
        <w:spacing w:before="0" w:after="0" w:line="540" w:lineRule="exact"/>
        <w:jc w:val="center"/>
        <w:outlineLvl w:val="9"/>
        <w:rPr>
          <w:rFonts w:ascii="宋体" w:hAnsi="宋体" w:eastAsia="宋体" w:cs="宋体"/>
          <w:color w:val="auto"/>
          <w:sz w:val="24"/>
          <w:szCs w:val="24"/>
        </w:rPr>
      </w:pPr>
    </w:p>
    <w:bookmarkEnd w:id="96"/>
    <w:bookmarkEnd w:id="97"/>
    <w:bookmarkEnd w:id="98"/>
    <w:p w14:paraId="64402218">
      <w:pPr>
        <w:adjustRightInd w:val="0"/>
        <w:snapToGrid w:val="0"/>
        <w:spacing w:line="360" w:lineRule="auto"/>
        <w:jc w:val="center"/>
        <w:rPr>
          <w:rFonts w:ascii="宋体" w:hAnsi="宋体" w:eastAsia="宋体" w:cs="宋体"/>
          <w:b/>
          <w:bCs/>
          <w:color w:val="auto"/>
          <w:sz w:val="52"/>
          <w:szCs w:val="52"/>
        </w:rPr>
      </w:pPr>
      <w:r>
        <w:rPr>
          <w:rFonts w:hint="eastAsia" w:ascii="宋体" w:hAnsi="宋体" w:cs="宋体"/>
          <w:b/>
          <w:bCs/>
          <w:color w:val="auto"/>
          <w:sz w:val="52"/>
          <w:szCs w:val="52"/>
          <w:lang w:eastAsia="zh-CN"/>
        </w:rPr>
        <w:t>邹城市钢山街道办事处崇义家园楼梯间热力改造工程</w:t>
      </w:r>
      <w:r>
        <w:rPr>
          <w:rFonts w:hint="eastAsia" w:ascii="宋体" w:hAnsi="宋体" w:eastAsia="宋体" w:cs="宋体"/>
          <w:b/>
          <w:bCs/>
          <w:color w:val="auto"/>
          <w:sz w:val="52"/>
          <w:szCs w:val="52"/>
        </w:rPr>
        <w:t>施工承包合同</w:t>
      </w:r>
    </w:p>
    <w:p w14:paraId="5147EC7B">
      <w:pPr>
        <w:widowControl/>
        <w:jc w:val="left"/>
        <w:rPr>
          <w:rFonts w:ascii="宋体" w:hAnsi="宋体" w:eastAsia="宋体" w:cs="宋体"/>
          <w:b/>
          <w:color w:val="auto"/>
          <w:kern w:val="0"/>
          <w:sz w:val="32"/>
          <w:szCs w:val="32"/>
          <w:lang w:bidi="ar"/>
        </w:rPr>
      </w:pPr>
    </w:p>
    <w:p w14:paraId="77823C20">
      <w:pPr>
        <w:widowControl/>
        <w:jc w:val="left"/>
        <w:rPr>
          <w:rFonts w:ascii="宋体" w:hAnsi="宋体" w:eastAsia="宋体" w:cs="宋体"/>
          <w:b/>
          <w:color w:val="auto"/>
          <w:kern w:val="0"/>
          <w:sz w:val="32"/>
          <w:szCs w:val="32"/>
          <w:lang w:bidi="ar"/>
        </w:rPr>
      </w:pPr>
    </w:p>
    <w:p w14:paraId="59269070">
      <w:pPr>
        <w:widowControl/>
        <w:jc w:val="left"/>
        <w:rPr>
          <w:rFonts w:ascii="宋体" w:hAnsi="宋体" w:eastAsia="宋体" w:cs="宋体"/>
          <w:b/>
          <w:color w:val="auto"/>
          <w:kern w:val="0"/>
          <w:sz w:val="32"/>
          <w:szCs w:val="32"/>
          <w:lang w:bidi="ar"/>
        </w:rPr>
      </w:pPr>
    </w:p>
    <w:p w14:paraId="29DCBF32">
      <w:pPr>
        <w:widowControl/>
        <w:jc w:val="left"/>
        <w:rPr>
          <w:rFonts w:ascii="宋体" w:hAnsi="宋体" w:eastAsia="宋体" w:cs="宋体"/>
          <w:b/>
          <w:color w:val="auto"/>
          <w:kern w:val="0"/>
          <w:sz w:val="32"/>
          <w:szCs w:val="32"/>
          <w:lang w:bidi="ar"/>
        </w:rPr>
      </w:pPr>
    </w:p>
    <w:p w14:paraId="2D05B066">
      <w:pPr>
        <w:widowControl/>
        <w:jc w:val="left"/>
        <w:rPr>
          <w:rFonts w:ascii="宋体" w:hAnsi="宋体" w:eastAsia="宋体" w:cs="宋体"/>
          <w:b/>
          <w:color w:val="auto"/>
          <w:kern w:val="0"/>
          <w:sz w:val="32"/>
          <w:szCs w:val="32"/>
          <w:lang w:bidi="ar"/>
        </w:rPr>
      </w:pPr>
    </w:p>
    <w:p w14:paraId="52E1E57C">
      <w:pPr>
        <w:widowControl/>
        <w:jc w:val="left"/>
        <w:rPr>
          <w:rFonts w:ascii="宋体" w:hAnsi="宋体" w:eastAsia="宋体" w:cs="宋体"/>
          <w:b/>
          <w:color w:val="auto"/>
          <w:kern w:val="0"/>
          <w:sz w:val="32"/>
          <w:szCs w:val="32"/>
          <w:lang w:bidi="ar"/>
        </w:rPr>
      </w:pPr>
    </w:p>
    <w:p w14:paraId="215C50E8">
      <w:pPr>
        <w:widowControl/>
        <w:jc w:val="left"/>
        <w:rPr>
          <w:rFonts w:ascii="宋体" w:hAnsi="宋体" w:eastAsia="宋体" w:cs="宋体"/>
          <w:b/>
          <w:color w:val="auto"/>
          <w:kern w:val="0"/>
          <w:sz w:val="32"/>
          <w:szCs w:val="32"/>
          <w:lang w:bidi="ar"/>
        </w:rPr>
      </w:pPr>
    </w:p>
    <w:p w14:paraId="0E6B4EBE">
      <w:pPr>
        <w:widowControl/>
        <w:jc w:val="left"/>
        <w:rPr>
          <w:rFonts w:ascii="宋体" w:hAnsi="宋体" w:eastAsia="宋体" w:cs="宋体"/>
          <w:b/>
          <w:color w:val="auto"/>
          <w:kern w:val="0"/>
          <w:sz w:val="32"/>
          <w:szCs w:val="32"/>
          <w:lang w:bidi="ar"/>
        </w:rPr>
      </w:pPr>
    </w:p>
    <w:p w14:paraId="0C2A0931">
      <w:pPr>
        <w:pStyle w:val="10"/>
        <w:rPr>
          <w:rFonts w:ascii="宋体" w:hAnsi="宋体" w:eastAsia="宋体" w:cs="宋体"/>
          <w:b/>
          <w:color w:val="auto"/>
          <w:kern w:val="0"/>
          <w:sz w:val="32"/>
          <w:szCs w:val="32"/>
          <w:lang w:bidi="ar"/>
        </w:rPr>
      </w:pPr>
    </w:p>
    <w:p w14:paraId="002F65E2">
      <w:pPr>
        <w:rPr>
          <w:rFonts w:ascii="宋体" w:hAnsi="宋体" w:eastAsia="宋体" w:cs="宋体"/>
          <w:b/>
          <w:color w:val="auto"/>
          <w:kern w:val="0"/>
          <w:sz w:val="32"/>
          <w:szCs w:val="32"/>
          <w:lang w:bidi="ar"/>
        </w:rPr>
      </w:pPr>
    </w:p>
    <w:p w14:paraId="1BB98C6F">
      <w:pPr>
        <w:pStyle w:val="10"/>
        <w:rPr>
          <w:rFonts w:ascii="宋体" w:hAnsi="宋体" w:eastAsia="宋体" w:cs="宋体"/>
          <w:b/>
          <w:color w:val="auto"/>
          <w:kern w:val="0"/>
          <w:sz w:val="32"/>
          <w:szCs w:val="32"/>
          <w:lang w:bidi="ar"/>
        </w:rPr>
      </w:pPr>
    </w:p>
    <w:p w14:paraId="307B2600">
      <w:pPr>
        <w:rPr>
          <w:rFonts w:ascii="宋体" w:hAnsi="宋体" w:eastAsia="宋体" w:cs="宋体"/>
          <w:b/>
          <w:color w:val="auto"/>
          <w:kern w:val="0"/>
          <w:sz w:val="32"/>
          <w:szCs w:val="32"/>
          <w:lang w:bidi="ar"/>
        </w:rPr>
      </w:pPr>
    </w:p>
    <w:p w14:paraId="21C63E2E">
      <w:pPr>
        <w:pStyle w:val="10"/>
        <w:rPr>
          <w:rFonts w:ascii="宋体" w:hAnsi="宋体" w:eastAsia="宋体" w:cs="宋体"/>
          <w:b/>
          <w:color w:val="auto"/>
          <w:kern w:val="0"/>
          <w:sz w:val="32"/>
          <w:szCs w:val="32"/>
          <w:lang w:bidi="ar"/>
        </w:rPr>
      </w:pPr>
    </w:p>
    <w:p w14:paraId="2AF604F5">
      <w:pPr>
        <w:rPr>
          <w:color w:val="auto"/>
        </w:rPr>
      </w:pPr>
    </w:p>
    <w:p w14:paraId="2130D793">
      <w:pPr>
        <w:widowControl/>
        <w:jc w:val="left"/>
        <w:rPr>
          <w:rFonts w:ascii="宋体" w:hAnsi="宋体" w:eastAsia="宋体" w:cs="宋体"/>
          <w:b/>
          <w:color w:val="auto"/>
          <w:kern w:val="0"/>
          <w:sz w:val="32"/>
          <w:szCs w:val="32"/>
          <w:lang w:bidi="ar"/>
        </w:rPr>
      </w:pPr>
    </w:p>
    <w:p w14:paraId="0BDC51F2">
      <w:pPr>
        <w:widowControl/>
        <w:jc w:val="left"/>
        <w:rPr>
          <w:rFonts w:ascii="宋体" w:hAnsi="宋体" w:eastAsia="宋体" w:cs="宋体"/>
          <w:b/>
          <w:color w:val="auto"/>
          <w:kern w:val="0"/>
          <w:sz w:val="32"/>
          <w:szCs w:val="32"/>
          <w:lang w:bidi="ar"/>
        </w:rPr>
      </w:pPr>
    </w:p>
    <w:p w14:paraId="65449B8F">
      <w:pPr>
        <w:widowControl/>
        <w:ind w:firstLine="643" w:firstLineChars="200"/>
        <w:jc w:val="left"/>
        <w:rPr>
          <w:rFonts w:hint="eastAsia" w:ascii="宋体" w:hAnsi="宋体" w:eastAsia="宋体" w:cs="宋体"/>
          <w:b/>
          <w:color w:val="auto"/>
          <w:kern w:val="0"/>
          <w:sz w:val="32"/>
          <w:szCs w:val="32"/>
          <w:lang w:bidi="ar"/>
        </w:rPr>
      </w:pPr>
      <w:r>
        <w:rPr>
          <w:rFonts w:hint="eastAsia" w:ascii="宋体" w:hAnsi="宋体" w:eastAsia="宋体" w:cs="宋体"/>
          <w:b/>
          <w:color w:val="auto"/>
          <w:kern w:val="0"/>
          <w:sz w:val="32"/>
          <w:szCs w:val="32"/>
          <w:lang w:bidi="ar"/>
        </w:rPr>
        <w:t>发包方（甲方）：</w:t>
      </w:r>
      <w:r>
        <w:rPr>
          <w:rFonts w:hint="eastAsia" w:ascii="宋体" w:hAnsi="宋体" w:cs="宋体"/>
          <w:b/>
          <w:color w:val="auto"/>
          <w:kern w:val="0"/>
          <w:sz w:val="32"/>
          <w:szCs w:val="32"/>
          <w:u w:val="single"/>
          <w:lang w:eastAsia="zh-CN" w:bidi="ar"/>
        </w:rPr>
        <w:t>邹城市钢山街道崇义庄村村民委员会</w:t>
      </w:r>
      <w:r>
        <w:rPr>
          <w:rFonts w:hint="eastAsia" w:ascii="宋体" w:hAnsi="宋体" w:eastAsia="宋体" w:cs="宋体"/>
          <w:b/>
          <w:color w:val="auto"/>
          <w:kern w:val="0"/>
          <w:sz w:val="32"/>
          <w:szCs w:val="32"/>
          <w:lang w:bidi="ar"/>
        </w:rPr>
        <w:t xml:space="preserve"> </w:t>
      </w:r>
    </w:p>
    <w:p w14:paraId="76B265C1">
      <w:pPr>
        <w:widowControl/>
        <w:ind w:firstLine="643" w:firstLineChars="200"/>
        <w:jc w:val="left"/>
        <w:rPr>
          <w:rFonts w:hint="eastAsia" w:ascii="宋体" w:hAnsi="宋体" w:eastAsia="宋体" w:cs="宋体"/>
          <w:b/>
          <w:color w:val="auto"/>
          <w:kern w:val="0"/>
          <w:sz w:val="32"/>
          <w:szCs w:val="32"/>
          <w:lang w:bidi="ar"/>
        </w:rPr>
      </w:pPr>
    </w:p>
    <w:p w14:paraId="1E544FDA">
      <w:pPr>
        <w:widowControl/>
        <w:ind w:firstLine="643" w:firstLineChars="200"/>
        <w:jc w:val="left"/>
        <w:rPr>
          <w:rFonts w:hint="eastAsia" w:ascii="宋体" w:hAnsi="宋体" w:eastAsia="宋体" w:cs="宋体"/>
          <w:b/>
          <w:color w:val="auto"/>
          <w:kern w:val="0"/>
          <w:sz w:val="32"/>
          <w:szCs w:val="32"/>
          <w:u w:val="single"/>
          <w:lang w:bidi="ar"/>
        </w:rPr>
      </w:pPr>
      <w:r>
        <w:rPr>
          <w:rFonts w:hint="eastAsia" w:ascii="宋体" w:hAnsi="宋体" w:eastAsia="宋体" w:cs="宋体"/>
          <w:b/>
          <w:color w:val="auto"/>
          <w:kern w:val="0"/>
          <w:sz w:val="32"/>
          <w:szCs w:val="32"/>
          <w:lang w:bidi="ar"/>
        </w:rPr>
        <w:t>承包方（乙方）：</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u w:val="single"/>
          <w:lang w:eastAsia="zh-CN" w:bidi="ar"/>
        </w:rPr>
        <w:t xml:space="preserve">                    </w:t>
      </w:r>
      <w:r>
        <w:rPr>
          <w:rFonts w:hint="eastAsia" w:ascii="宋体" w:hAnsi="宋体" w:eastAsia="宋体" w:cs="宋体"/>
          <w:b/>
          <w:color w:val="auto"/>
          <w:kern w:val="0"/>
          <w:sz w:val="32"/>
          <w:szCs w:val="32"/>
          <w:u w:val="single"/>
          <w:lang w:val="en-US" w:eastAsia="zh-CN" w:bidi="ar"/>
        </w:rPr>
        <w:t xml:space="preserve">  </w:t>
      </w:r>
      <w:r>
        <w:rPr>
          <w:rFonts w:hint="eastAsia" w:ascii="宋体" w:hAnsi="宋体" w:eastAsia="宋体" w:cs="宋体"/>
          <w:b/>
          <w:color w:val="auto"/>
          <w:kern w:val="0"/>
          <w:sz w:val="32"/>
          <w:szCs w:val="32"/>
          <w:u w:val="single"/>
          <w:lang w:eastAsia="zh-CN" w:bidi="ar"/>
        </w:rPr>
        <w:t xml:space="preserve">       </w:t>
      </w:r>
      <w:r>
        <w:rPr>
          <w:rFonts w:hint="eastAsia" w:ascii="宋体" w:hAnsi="宋体" w:eastAsia="宋体" w:cs="宋体"/>
          <w:b/>
          <w:color w:val="auto"/>
          <w:kern w:val="0"/>
          <w:sz w:val="32"/>
          <w:szCs w:val="32"/>
          <w:u w:val="single"/>
          <w:lang w:bidi="ar"/>
        </w:rPr>
        <w:t xml:space="preserve"> </w:t>
      </w:r>
    </w:p>
    <w:p w14:paraId="207E58F2">
      <w:pPr>
        <w:widowControl/>
        <w:ind w:firstLine="643" w:firstLineChars="200"/>
        <w:jc w:val="left"/>
        <w:rPr>
          <w:rFonts w:hint="eastAsia" w:ascii="宋体" w:hAnsi="宋体" w:eastAsia="宋体" w:cs="宋体"/>
          <w:b/>
          <w:color w:val="auto"/>
          <w:kern w:val="0"/>
          <w:sz w:val="32"/>
          <w:szCs w:val="32"/>
          <w:lang w:bidi="ar"/>
        </w:rPr>
      </w:pPr>
    </w:p>
    <w:p w14:paraId="46A91973">
      <w:pPr>
        <w:widowControl/>
        <w:ind w:firstLine="643" w:firstLineChars="200"/>
        <w:jc w:val="left"/>
        <w:rPr>
          <w:rFonts w:hint="eastAsia" w:ascii="宋体" w:hAnsi="宋体" w:eastAsia="宋体" w:cs="宋体"/>
          <w:b/>
          <w:color w:val="auto"/>
          <w:kern w:val="0"/>
          <w:sz w:val="32"/>
          <w:szCs w:val="32"/>
          <w:lang w:bidi="ar"/>
        </w:rPr>
      </w:pPr>
      <w:r>
        <w:rPr>
          <w:rFonts w:hint="eastAsia" w:ascii="宋体" w:hAnsi="宋体" w:eastAsia="宋体" w:cs="宋体"/>
          <w:b/>
          <w:color w:val="auto"/>
          <w:kern w:val="0"/>
          <w:sz w:val="32"/>
          <w:szCs w:val="32"/>
          <w:lang w:bidi="ar"/>
        </w:rPr>
        <w:t>合同订立时间：</w:t>
      </w:r>
      <w:r>
        <w:rPr>
          <w:rFonts w:hint="eastAsia" w:ascii="宋体" w:hAnsi="宋体" w:eastAsia="宋体" w:cs="宋体"/>
          <w:b/>
          <w:color w:val="auto"/>
          <w:kern w:val="0"/>
          <w:sz w:val="32"/>
          <w:szCs w:val="32"/>
          <w:u w:val="single"/>
          <w:lang w:eastAsia="zh-CN" w:bidi="ar"/>
        </w:rPr>
        <w:t>2024</w:t>
      </w:r>
      <w:r>
        <w:rPr>
          <w:rFonts w:hint="eastAsia" w:ascii="宋体" w:hAnsi="宋体" w:eastAsia="宋体" w:cs="宋体"/>
          <w:b/>
          <w:color w:val="auto"/>
          <w:kern w:val="0"/>
          <w:sz w:val="32"/>
          <w:szCs w:val="32"/>
          <w:lang w:bidi="ar"/>
        </w:rPr>
        <w:t>年</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lang w:bidi="ar"/>
        </w:rPr>
        <w:t>月</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lang w:bidi="ar"/>
        </w:rPr>
        <w:t xml:space="preserve">日  </w:t>
      </w:r>
    </w:p>
    <w:p w14:paraId="3D769E58">
      <w:pPr>
        <w:widowControl/>
        <w:ind w:firstLine="643" w:firstLineChars="200"/>
        <w:jc w:val="left"/>
        <w:rPr>
          <w:rFonts w:hint="eastAsia" w:ascii="宋体" w:hAnsi="宋体" w:eastAsia="宋体" w:cs="宋体"/>
          <w:b/>
          <w:color w:val="auto"/>
          <w:kern w:val="0"/>
          <w:sz w:val="32"/>
          <w:szCs w:val="32"/>
          <w:lang w:bidi="ar"/>
        </w:rPr>
      </w:pPr>
    </w:p>
    <w:p w14:paraId="6AB875AB">
      <w:pPr>
        <w:widowControl/>
        <w:ind w:firstLine="643" w:firstLineChars="200"/>
        <w:jc w:val="left"/>
        <w:rPr>
          <w:rFonts w:ascii="宋体" w:hAnsi="宋体" w:eastAsia="宋体" w:cs="宋体"/>
          <w:color w:val="auto"/>
          <w:kern w:val="0"/>
          <w:sz w:val="24"/>
          <w:u w:val="single"/>
          <w:lang w:bidi="ar"/>
        </w:rPr>
      </w:pPr>
      <w:r>
        <w:rPr>
          <w:rFonts w:hint="eastAsia" w:ascii="宋体" w:hAnsi="宋体" w:eastAsia="宋体" w:cs="宋体"/>
          <w:b/>
          <w:color w:val="auto"/>
          <w:kern w:val="0"/>
          <w:sz w:val="32"/>
          <w:szCs w:val="32"/>
          <w:lang w:bidi="ar"/>
        </w:rPr>
        <w:t>合同订立地点：</w:t>
      </w:r>
      <w:r>
        <w:rPr>
          <w:rFonts w:hint="eastAsia" w:ascii="宋体" w:hAnsi="宋体" w:cs="宋体"/>
          <w:b/>
          <w:color w:val="auto"/>
          <w:kern w:val="0"/>
          <w:sz w:val="32"/>
          <w:szCs w:val="32"/>
          <w:u w:val="single"/>
          <w:lang w:eastAsia="zh-CN" w:bidi="ar"/>
        </w:rPr>
        <w:t>邹城市钢山街道崇义庄村村民委员会</w:t>
      </w:r>
      <w:r>
        <w:rPr>
          <w:rFonts w:hint="eastAsia" w:ascii="宋体" w:hAnsi="宋体" w:eastAsia="宋体" w:cs="宋体"/>
          <w:b/>
          <w:color w:val="auto"/>
          <w:kern w:val="0"/>
          <w:sz w:val="32"/>
          <w:szCs w:val="32"/>
          <w:u w:val="single"/>
          <w:lang w:bidi="ar"/>
        </w:rPr>
        <w:t xml:space="preserve"> </w:t>
      </w:r>
    </w:p>
    <w:p w14:paraId="6D08CF84">
      <w:pPr>
        <w:pStyle w:val="3"/>
        <w:rPr>
          <w:rFonts w:ascii="宋体" w:hAnsi="宋体" w:eastAsia="宋体" w:cs="宋体"/>
          <w:color w:val="auto"/>
          <w:sz w:val="24"/>
        </w:rPr>
        <w:sectPr>
          <w:headerReference r:id="rId9" w:type="default"/>
          <w:footerReference r:id="rId10" w:type="default"/>
          <w:footerReference r:id="rId11" w:type="even"/>
          <w:pgSz w:w="11906" w:h="16838"/>
          <w:pgMar w:top="1418" w:right="1418" w:bottom="1304" w:left="1418" w:header="851" w:footer="851" w:gutter="0"/>
          <w:pgNumType w:fmt="decimal"/>
          <w:cols w:space="720" w:num="1"/>
          <w:docGrid w:linePitch="312" w:charSpace="0"/>
        </w:sectPr>
      </w:pPr>
    </w:p>
    <w:p w14:paraId="2DBD4F11">
      <w:pPr>
        <w:pStyle w:val="3"/>
        <w:rPr>
          <w:rFonts w:ascii="宋体" w:hAnsi="宋体" w:eastAsia="宋体" w:cs="宋体"/>
          <w:color w:val="auto"/>
          <w:sz w:val="24"/>
        </w:rPr>
      </w:pPr>
    </w:p>
    <w:p w14:paraId="4E89D8D8">
      <w:pPr>
        <w:pStyle w:val="3"/>
        <w:ind w:firstLine="482" w:firstLineChars="200"/>
        <w:jc w:val="center"/>
        <w:rPr>
          <w:rFonts w:ascii="宋体" w:hAnsi="宋体" w:eastAsia="宋体" w:cs="宋体"/>
          <w:color w:val="auto"/>
          <w:sz w:val="24"/>
        </w:rPr>
        <w:sectPr>
          <w:footerReference r:id="rId12" w:type="default"/>
          <w:type w:val="continuous"/>
          <w:pgSz w:w="11906" w:h="16838"/>
          <w:pgMar w:top="1418" w:right="1418" w:bottom="1304" w:left="1418" w:header="851" w:footer="851" w:gutter="0"/>
          <w:pgNumType w:fmt="decimal"/>
          <w:cols w:space="720" w:num="1"/>
          <w:docGrid w:linePitch="312" w:charSpace="0"/>
        </w:sectPr>
      </w:pPr>
    </w:p>
    <w:p w14:paraId="061E8433">
      <w:pPr>
        <w:pStyle w:val="3"/>
        <w:widowControl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第一节 合同协议书</w:t>
      </w:r>
    </w:p>
    <w:p w14:paraId="1987640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rPr>
        <w:t xml:space="preserve"> </w:t>
      </w:r>
      <w:r>
        <w:rPr>
          <w:rFonts w:hint="eastAsia" w:ascii="宋体" w:hAnsi="宋体" w:cs="宋体"/>
          <w:b/>
          <w:color w:val="auto"/>
          <w:sz w:val="24"/>
          <w:szCs w:val="24"/>
          <w:u w:val="single"/>
          <w:lang w:eastAsia="zh-CN"/>
        </w:rPr>
        <w:t>邹城市钢山街道崇义庄村村民委员会</w:t>
      </w:r>
      <w:r>
        <w:rPr>
          <w:rFonts w:hint="eastAsia" w:ascii="宋体" w:hAnsi="宋体" w:eastAsia="宋体" w:cs="宋体"/>
          <w:b/>
          <w:color w:val="auto"/>
          <w:sz w:val="24"/>
          <w:szCs w:val="24"/>
          <w:u w:val="single"/>
        </w:rPr>
        <w:t xml:space="preserve"> （以下简称发包人）</w:t>
      </w:r>
      <w:r>
        <w:rPr>
          <w:rFonts w:hint="eastAsia" w:ascii="宋体" w:hAnsi="宋体" w:eastAsia="宋体" w:cs="宋体"/>
          <w:b/>
          <w:color w:val="auto"/>
          <w:sz w:val="24"/>
          <w:szCs w:val="24"/>
        </w:rPr>
        <w:t xml:space="preserve">       </w:t>
      </w:r>
    </w:p>
    <w:p w14:paraId="2DA2FFBF">
      <w:pPr>
        <w:widowControl w:val="0"/>
        <w:kinsoku/>
        <w:wordWrap/>
        <w:overflowPunct/>
        <w:topLinePunct w:val="0"/>
        <w:autoSpaceDE/>
        <w:autoSpaceDN/>
        <w:bidi w:val="0"/>
        <w:spacing w:line="360" w:lineRule="auto"/>
        <w:textAlignment w:val="auto"/>
        <w:rPr>
          <w:rFonts w:hint="eastAsia" w:ascii="宋体" w:hAnsi="宋体" w:eastAsia="宋体" w:cs="宋体"/>
          <w:b/>
          <w:color w:val="auto"/>
          <w:spacing w:val="10"/>
          <w:sz w:val="24"/>
          <w:szCs w:val="24"/>
        </w:rPr>
      </w:pPr>
      <w:r>
        <w:rPr>
          <w:rFonts w:hint="eastAsia" w:ascii="宋体" w:hAnsi="宋体" w:eastAsia="宋体" w:cs="宋体"/>
          <w:b/>
          <w:color w:val="auto"/>
          <w:spacing w:val="30"/>
          <w:sz w:val="24"/>
          <w:szCs w:val="24"/>
        </w:rPr>
        <w:t>法定代表人</w:t>
      </w:r>
      <w:r>
        <w:rPr>
          <w:rFonts w:hint="eastAsia" w:ascii="宋体" w:hAnsi="宋体" w:eastAsia="宋体" w:cs="宋体"/>
          <w:b/>
          <w:color w:val="auto"/>
          <w:spacing w:val="10"/>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w:t>
      </w:r>
    </w:p>
    <w:p w14:paraId="797A27B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u w:val="single"/>
        </w:rPr>
      </w:pPr>
      <w:r>
        <w:rPr>
          <w:rFonts w:hint="eastAsia" w:ascii="宋体" w:hAnsi="宋体" w:eastAsia="宋体" w:cs="宋体"/>
          <w:b/>
          <w:color w:val="auto"/>
          <w:spacing w:val="10"/>
          <w:sz w:val="24"/>
          <w:szCs w:val="24"/>
        </w:rPr>
        <w:t>法定注册地址：</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38DABA0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eastAsia="zh-CN"/>
        </w:rPr>
        <w:t xml:space="preserve">                                      </w:t>
      </w:r>
      <w:r>
        <w:rPr>
          <w:rFonts w:hint="eastAsia" w:ascii="宋体" w:hAnsi="宋体" w:eastAsia="宋体" w:cs="宋体"/>
          <w:b/>
          <w:color w:val="auto"/>
          <w:sz w:val="24"/>
          <w:szCs w:val="24"/>
          <w:u w:val="single"/>
        </w:rPr>
        <w:t>（以下简称承包人）</w:t>
      </w:r>
    </w:p>
    <w:p w14:paraId="093EEFA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pacing w:val="30"/>
          <w:sz w:val="24"/>
          <w:szCs w:val="24"/>
        </w:rPr>
        <w:t>法定代表人：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26BA0EFB">
      <w:pPr>
        <w:widowControl w:val="0"/>
        <w:kinsoku/>
        <w:wordWrap/>
        <w:overflowPunct/>
        <w:topLinePunct w:val="0"/>
        <w:autoSpaceDE/>
        <w:autoSpaceDN/>
        <w:bidi w:val="0"/>
        <w:spacing w:after="120" w:afterLines="5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pacing w:val="10"/>
          <w:sz w:val="24"/>
          <w:szCs w:val="24"/>
        </w:rPr>
        <w:t>法定注册地址：</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179670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发包人为建设</w:t>
      </w:r>
      <w:r>
        <w:rPr>
          <w:rFonts w:hint="eastAsia" w:ascii="宋体" w:hAnsi="宋体" w:cs="宋体"/>
          <w:color w:val="auto"/>
          <w:sz w:val="24"/>
          <w:szCs w:val="24"/>
          <w:u w:val="single"/>
          <w:lang w:eastAsia="zh-CN"/>
        </w:rPr>
        <w:t>邹城市钢山街道办事处崇义家园楼梯间热力改造工程</w:t>
      </w:r>
      <w:r>
        <w:rPr>
          <w:rFonts w:hint="eastAsia" w:ascii="宋体" w:hAnsi="宋体" w:eastAsia="宋体" w:cs="宋体"/>
          <w:color w:val="auto"/>
          <w:sz w:val="24"/>
          <w:szCs w:val="24"/>
          <w:u w:val="single"/>
        </w:rPr>
        <w:t>施工</w:t>
      </w:r>
      <w:r>
        <w:rPr>
          <w:rFonts w:hint="eastAsia" w:ascii="宋体" w:hAnsi="宋体" w:eastAsia="宋体" w:cs="宋体"/>
          <w:color w:val="auto"/>
          <w:sz w:val="24"/>
          <w:szCs w:val="24"/>
        </w:rPr>
        <w:t>(以下简称“本工程”)，已接受承包人提出的承担本工程的施工、竣工、交付并维修其任何缺陷的投标。根据国家及地方有关法律、行政法规的规定、遵循平等、自愿、公平和诚实信用的原则，双方共同达成并订立如下协议。</w:t>
      </w:r>
    </w:p>
    <w:p w14:paraId="73F48AD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一、工程概况</w:t>
      </w:r>
    </w:p>
    <w:p w14:paraId="324AA4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工程名称：</w:t>
      </w:r>
      <w:r>
        <w:rPr>
          <w:rFonts w:hint="eastAsia" w:ascii="宋体" w:hAnsi="宋体" w:cs="宋体"/>
          <w:color w:val="auto"/>
          <w:sz w:val="24"/>
          <w:szCs w:val="24"/>
          <w:u w:val="single"/>
          <w:lang w:eastAsia="zh-CN"/>
        </w:rPr>
        <w:t>邹城市钢山街道办事处崇义家园楼梯间热力改造工程</w:t>
      </w:r>
      <w:r>
        <w:rPr>
          <w:rFonts w:hint="eastAsia" w:ascii="宋体" w:hAnsi="宋体" w:eastAsia="宋体" w:cs="宋体"/>
          <w:color w:val="auto"/>
          <w:sz w:val="24"/>
          <w:szCs w:val="24"/>
          <w:u w:val="single"/>
        </w:rPr>
        <w:t>施工</w:t>
      </w:r>
    </w:p>
    <w:p w14:paraId="0682C2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工程地点：</w:t>
      </w:r>
      <w:r>
        <w:rPr>
          <w:rFonts w:hint="eastAsia" w:ascii="宋体" w:hAnsi="宋体" w:eastAsia="宋体" w:cs="宋体"/>
          <w:color w:val="auto"/>
          <w:sz w:val="24"/>
          <w:szCs w:val="24"/>
          <w:u w:val="single"/>
          <w:lang w:eastAsia="zh-CN"/>
        </w:rPr>
        <w:t>邹城市钢山花园小区</w:t>
      </w:r>
    </w:p>
    <w:p w14:paraId="7E7C4B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工程内容：</w:t>
      </w:r>
      <w:r>
        <w:rPr>
          <w:rFonts w:hint="eastAsia" w:ascii="宋体" w:hAnsi="宋体" w:eastAsia="宋体" w:cs="宋体"/>
          <w:color w:val="auto"/>
          <w:sz w:val="24"/>
          <w:szCs w:val="24"/>
          <w:lang w:eastAsia="zh-CN"/>
        </w:rPr>
        <w:t>邹城市钢山街道办事处崇义家园楼梯间热力改造工程包括图纸范围内（以施工界面划分为准）的全部内容，主要包括挖槽、土石方回填、给排水、采暖，燃气安装等全部内容（详见工程量清单，以工程量清单为准）。</w:t>
      </w:r>
    </w:p>
    <w:p w14:paraId="089D24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工程立项批准文号：</w:t>
      </w:r>
      <w:r>
        <w:rPr>
          <w:rFonts w:hint="eastAsia" w:ascii="宋体" w:hAnsi="宋体" w:eastAsia="宋体" w:cs="宋体"/>
          <w:color w:val="auto"/>
          <w:sz w:val="24"/>
          <w:szCs w:val="24"/>
          <w:u w:val="single"/>
        </w:rPr>
        <w:t xml:space="preserve">                                         </w:t>
      </w:r>
    </w:p>
    <w:p w14:paraId="6AE27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自筹                                              </w:t>
      </w:r>
    </w:p>
    <w:p w14:paraId="119960FF">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二、工程承包范围</w:t>
      </w:r>
    </w:p>
    <w:p w14:paraId="38473F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承包范围：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邹城市钢山街道办事处崇义家园楼梯间热力改造工程包括图纸范围内（以施工界面划分为准）的全部内容，主要包括挖槽、土石方回填、给排水、采暖，燃气安装等全部内容（详见工程量清单，以工程量清单为准）。</w:t>
      </w:r>
      <w:r>
        <w:rPr>
          <w:rFonts w:hint="eastAsia" w:ascii="宋体" w:hAnsi="宋体" w:eastAsia="宋体" w:cs="宋体"/>
          <w:color w:val="auto"/>
          <w:sz w:val="24"/>
          <w:szCs w:val="24"/>
          <w:u w:val="single"/>
        </w:rPr>
        <w:t>所有施工的项目工程质量必须一次性满足设计图纸中的规定及要求，并达到一次性验收合格；否则，承包人无偿返工至验收合格为止。</w:t>
      </w:r>
    </w:p>
    <w:p w14:paraId="253061D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三、合同工期</w:t>
      </w:r>
    </w:p>
    <w:p w14:paraId="4411E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2024</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日至</w:t>
      </w:r>
      <w:r>
        <w:rPr>
          <w:rFonts w:hint="eastAsia" w:ascii="宋体" w:hAnsi="宋体" w:eastAsia="宋体" w:cs="宋体"/>
          <w:color w:val="auto"/>
          <w:sz w:val="24"/>
          <w:szCs w:val="24"/>
          <w:u w:val="single"/>
          <w:lang w:val="en-US" w:eastAsia="zh-CN"/>
        </w:rPr>
        <w:t>2024</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p>
    <w:p w14:paraId="2140F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工程期限：共计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历天。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4E8F46D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四、质量标准</w:t>
      </w:r>
    </w:p>
    <w:p w14:paraId="368750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工程质量标准：合格</w:t>
      </w:r>
      <w:r>
        <w:rPr>
          <w:rFonts w:hint="eastAsia" w:ascii="宋体" w:hAnsi="宋体" w:eastAsia="宋体" w:cs="宋体"/>
          <w:color w:val="auto"/>
          <w:sz w:val="24"/>
          <w:szCs w:val="24"/>
        </w:rPr>
        <w:t xml:space="preserve">      </w:t>
      </w:r>
    </w:p>
    <w:p w14:paraId="21037E0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五、合同形式 </w:t>
      </w:r>
    </w:p>
    <w:p w14:paraId="760324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本合同采用固定含税全费用综合单价合同形式。</w:t>
      </w:r>
    </w:p>
    <w:p w14:paraId="73889F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此合同价款包括施工设备、劳务、材料（含辅材）、安装、运输、维护、保险（含劳动保险等）、管理费、</w:t>
      </w:r>
      <w:r>
        <w:rPr>
          <w:rFonts w:hint="eastAsia" w:ascii="宋体" w:hAnsi="宋体" w:cs="宋体"/>
          <w:color w:val="auto"/>
          <w:sz w:val="24"/>
          <w:szCs w:val="24"/>
          <w:lang w:eastAsia="zh-CN"/>
        </w:rPr>
        <w:t>利润及税金、</w:t>
      </w:r>
      <w:r>
        <w:rPr>
          <w:rFonts w:hint="eastAsia" w:ascii="宋体" w:hAnsi="宋体" w:eastAsia="宋体" w:cs="宋体"/>
          <w:color w:val="auto"/>
          <w:sz w:val="24"/>
          <w:szCs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w:t>
      </w:r>
      <w:r>
        <w:rPr>
          <w:rFonts w:hint="eastAsia" w:ascii="宋体" w:hAnsi="宋体" w:cs="宋体"/>
          <w:color w:val="auto"/>
          <w:sz w:val="24"/>
          <w:szCs w:val="24"/>
          <w:lang w:eastAsia="zh-CN"/>
        </w:rPr>
        <w:t>隐含的为完成该项目而必须发生的费用（包括发包人分包的给水系统、热力系统、强电、强电系统、燃气系统等各项施工中的配合及预留的接口闭合等相关费用）</w:t>
      </w:r>
      <w:r>
        <w:rPr>
          <w:rFonts w:hint="eastAsia" w:ascii="宋体" w:hAnsi="宋体" w:eastAsia="宋体" w:cs="宋体"/>
          <w:color w:val="auto"/>
          <w:sz w:val="24"/>
          <w:szCs w:val="24"/>
        </w:rPr>
        <w:t>、在合同实施期间不因市场变化因素而变动。除固定含税全费用综合单价外，承包人无权再向发包人主张任何价款及费用。</w:t>
      </w:r>
    </w:p>
    <w:p w14:paraId="10201CC3">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六、签约合同价</w:t>
      </w:r>
    </w:p>
    <w:p w14:paraId="0E0718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rPr>
        <w:t>含税合同金额（小写）</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r>
        <w:rPr>
          <w:rFonts w:hint="eastAsia" w:ascii="宋体" w:hAnsi="宋体" w:eastAsia="宋体" w:cs="宋体"/>
          <w:b w:val="0"/>
          <w:bCs w:val="0"/>
          <w:color w:val="auto"/>
          <w:sz w:val="24"/>
          <w:szCs w:val="24"/>
        </w:rPr>
        <w:t xml:space="preserve"> (大写）：</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265B9F6D">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七、承包人项目经理：</w:t>
      </w:r>
    </w:p>
    <w:p w14:paraId="1661F2F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职称：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14:paraId="7EC9AA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6174D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E059D39">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八、合同文件的组成</w:t>
      </w:r>
    </w:p>
    <w:p w14:paraId="3A54B9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下列文件共同构成合同文件：</w:t>
      </w:r>
    </w:p>
    <w:p w14:paraId="0525AB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1、本协议书；</w:t>
      </w:r>
    </w:p>
    <w:p w14:paraId="5A9F83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5F20F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3、投标函及投标函附录、投标报价文件；</w:t>
      </w:r>
    </w:p>
    <w:p w14:paraId="2130947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1F4790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6C0D5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7E66CB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560C2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8、其他合同文件。</w:t>
      </w:r>
    </w:p>
    <w:p w14:paraId="28BDD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上述文件互相补充和解释，如有不明确或不一致之处，以合同约定次序在先者为准。</w:t>
      </w:r>
    </w:p>
    <w:p w14:paraId="26685CC2">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九、本协议书中有关词语定义与合同条款中的定义相同。</w:t>
      </w:r>
    </w:p>
    <w:p w14:paraId="1985BB2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十、承包人承诺按照合同约定进行施工、竣工、交付并在缺陷责任期内对工程缺陷承担维修责任。</w:t>
      </w:r>
    </w:p>
    <w:p w14:paraId="4DFFA714">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十一、发包人承诺按照合同约定的条件、期限和方式向承包人支付合同价款。</w:t>
      </w:r>
    </w:p>
    <w:p w14:paraId="4EF8388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十二、本协议书连同其他合同文件正本一式 </w:t>
      </w:r>
      <w:r>
        <w:rPr>
          <w:rFonts w:hint="eastAsia" w:ascii="宋体" w:hAnsi="宋体" w:eastAsia="宋体" w:cs="宋体"/>
          <w:b/>
          <w:bCs/>
          <w:color w:val="auto"/>
          <w:sz w:val="24"/>
          <w:szCs w:val="24"/>
          <w:u w:val="single"/>
        </w:rPr>
        <w:t xml:space="preserve">两 </w:t>
      </w:r>
      <w:r>
        <w:rPr>
          <w:rFonts w:hint="eastAsia" w:ascii="宋体" w:hAnsi="宋体" w:eastAsia="宋体" w:cs="宋体"/>
          <w:b/>
          <w:bCs/>
          <w:color w:val="auto"/>
          <w:sz w:val="24"/>
          <w:szCs w:val="24"/>
        </w:rPr>
        <w:t>份，合同双方各执一份；副本一式</w:t>
      </w:r>
      <w:r>
        <w:rPr>
          <w:rFonts w:hint="eastAsia" w:ascii="宋体" w:hAnsi="宋体" w:eastAsia="宋体" w:cs="宋体"/>
          <w:b/>
          <w:bCs/>
          <w:color w:val="auto"/>
          <w:sz w:val="24"/>
          <w:szCs w:val="24"/>
          <w:u w:val="single"/>
        </w:rPr>
        <w:t xml:space="preserve"> 陆 </w:t>
      </w:r>
      <w:r>
        <w:rPr>
          <w:rFonts w:hint="eastAsia" w:ascii="宋体" w:hAnsi="宋体" w:eastAsia="宋体" w:cs="宋体"/>
          <w:b/>
          <w:bCs/>
          <w:color w:val="auto"/>
          <w:sz w:val="24"/>
          <w:szCs w:val="24"/>
        </w:rPr>
        <w:t>份，发包人</w:t>
      </w:r>
      <w:r>
        <w:rPr>
          <w:rFonts w:hint="eastAsia" w:ascii="宋体" w:hAnsi="宋体" w:eastAsia="宋体" w:cs="宋体"/>
          <w:b/>
          <w:bCs/>
          <w:color w:val="auto"/>
          <w:sz w:val="24"/>
          <w:szCs w:val="24"/>
          <w:u w:val="single"/>
        </w:rPr>
        <w:t xml:space="preserve"> 肆 </w:t>
      </w:r>
      <w:r>
        <w:rPr>
          <w:rFonts w:hint="eastAsia" w:ascii="宋体" w:hAnsi="宋体" w:eastAsia="宋体" w:cs="宋体"/>
          <w:b/>
          <w:bCs/>
          <w:color w:val="auto"/>
          <w:sz w:val="24"/>
          <w:szCs w:val="24"/>
        </w:rPr>
        <w:t>份，承包人</w:t>
      </w:r>
      <w:r>
        <w:rPr>
          <w:rFonts w:hint="eastAsia" w:ascii="宋体" w:hAnsi="宋体" w:eastAsia="宋体" w:cs="宋体"/>
          <w:b/>
          <w:bCs/>
          <w:color w:val="auto"/>
          <w:sz w:val="24"/>
          <w:szCs w:val="24"/>
          <w:u w:val="single"/>
        </w:rPr>
        <w:t xml:space="preserve"> 贰 </w:t>
      </w:r>
      <w:r>
        <w:rPr>
          <w:rFonts w:hint="eastAsia" w:ascii="宋体" w:hAnsi="宋体" w:eastAsia="宋体" w:cs="宋体"/>
          <w:b/>
          <w:bCs/>
          <w:color w:val="auto"/>
          <w:sz w:val="24"/>
          <w:szCs w:val="24"/>
        </w:rPr>
        <w:t>份其中一份在合同报送建设行政主管部门备案时留存。</w:t>
      </w:r>
    </w:p>
    <w:p w14:paraId="1FB8E60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十三、合同未尽事宜，双方另行签订补充协议，即成为原合同不可分割的组成部分，与原合同具有同等法律效力，与原合同冲突时，已补充协议为准。</w:t>
      </w:r>
    </w:p>
    <w:p w14:paraId="667958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5EC33E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400D34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3D6F1875">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59617A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CB070B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6541FDC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(签字)</w:t>
      </w:r>
    </w:p>
    <w:p w14:paraId="5419E6A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p>
    <w:p w14:paraId="1B5DD7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5DBDCF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0559E6D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签约地点：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99C42C2">
      <w:pPr>
        <w:pStyle w:val="3"/>
        <w:widowControl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br w:type="page"/>
      </w:r>
      <w:bookmarkStart w:id="99" w:name="_Toc2029"/>
      <w:r>
        <w:rPr>
          <w:rFonts w:hint="eastAsia" w:ascii="宋体" w:hAnsi="宋体" w:eastAsia="宋体" w:cs="宋体"/>
          <w:color w:val="auto"/>
          <w:sz w:val="24"/>
          <w:szCs w:val="24"/>
        </w:rPr>
        <w:t>第二节  通用合同条款</w:t>
      </w:r>
      <w:bookmarkEnd w:id="99"/>
    </w:p>
    <w:p w14:paraId="4734FB3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00" w:name="_Toc196637649"/>
      <w:bookmarkStart w:id="101" w:name="_Toc196637413"/>
      <w:bookmarkStart w:id="102" w:name="_Toc224699375"/>
      <w:bookmarkStart w:id="103" w:name="_Toc184635098"/>
      <w:bookmarkStart w:id="104" w:name="_Toc196637767"/>
      <w:r>
        <w:rPr>
          <w:rFonts w:hint="eastAsia" w:ascii="宋体" w:hAnsi="宋体" w:eastAsia="宋体" w:cs="宋体"/>
          <w:color w:val="auto"/>
          <w:sz w:val="24"/>
          <w:szCs w:val="24"/>
        </w:rPr>
        <w:t>1、一般约定</w:t>
      </w:r>
      <w:bookmarkEnd w:id="100"/>
      <w:bookmarkEnd w:id="101"/>
      <w:bookmarkEnd w:id="102"/>
      <w:bookmarkEnd w:id="103"/>
      <w:bookmarkEnd w:id="104"/>
    </w:p>
    <w:p w14:paraId="3C466FF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 词语定义</w:t>
      </w:r>
    </w:p>
    <w:p w14:paraId="37DB80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通用合同条款、专用合同条款中的下列词语应具有本款所赋予的含义。</w:t>
      </w:r>
    </w:p>
    <w:p w14:paraId="716DE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合同</w:t>
      </w:r>
    </w:p>
    <w:p w14:paraId="108454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合同文件（或称合同）：指合同协议书、中标通知书、投标函及投标函附录、专用合同条款、通用合同条款、技术标准和要求、图纸、投标报价文件，以及其他合同文件。</w:t>
      </w:r>
    </w:p>
    <w:p w14:paraId="1DD84B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合同协议书：指第1.5 款所指的合同协议书。</w:t>
      </w:r>
    </w:p>
    <w:p w14:paraId="215E3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中标通知书：指发包人通知承包人中标的函件。</w:t>
      </w:r>
    </w:p>
    <w:p w14:paraId="728D47A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1.1.1.4 投标函：指构成合同文件组成部分的由承包人填写并签署的投标函。</w:t>
      </w:r>
    </w:p>
    <w:p w14:paraId="1C1E82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1.1.1.5 投标函附录：指附在投标函后构成合同文件的投标函附录。</w:t>
      </w:r>
    </w:p>
    <w:p w14:paraId="254CAA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技术标准和要求：指构成合同文件组成部分的名为技术标准和要求的文件，包括合同双方当事人约定对其所作的修改或补充。</w:t>
      </w:r>
    </w:p>
    <w:p w14:paraId="124E1A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1.1.1.7 图纸：指包含在合同中的工程图纸，以及由发包人按合同约定提供的任何补充和修改的图纸，包括配套的说明。</w:t>
      </w:r>
    </w:p>
    <w:p w14:paraId="3EE0DF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1.1.1.8其他合同文件：指经合同双方当事人确认构成合同文件的其他文件。</w:t>
      </w:r>
    </w:p>
    <w:p w14:paraId="523BF4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合同当事人和人员</w:t>
      </w:r>
    </w:p>
    <w:p w14:paraId="6983EE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合同当事人：指发包人和（或）承包人。</w:t>
      </w:r>
    </w:p>
    <w:p w14:paraId="66FC12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 发包人：指专用合同条款中指明并与承包人在合同协议书中签字的当事人。</w:t>
      </w:r>
    </w:p>
    <w:p w14:paraId="1B42A07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1.1.2.3 承包人：指与发包人签订合同协议书的当事人。</w:t>
      </w:r>
    </w:p>
    <w:p w14:paraId="53506D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1.1.2.4 承包人项目经理：指承包人派驻施工场地的全权负责人。</w:t>
      </w:r>
    </w:p>
    <w:p w14:paraId="703E53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 分包人：指从承包人处分包合同中某一部分工程，并与其签订分包合同的分包人。</w:t>
      </w:r>
    </w:p>
    <w:p w14:paraId="6C2DE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 监理人：指在专用合同条款中指明的，受发包人委托对合同履行实施管理的法人或其他组织。</w:t>
      </w:r>
    </w:p>
    <w:p w14:paraId="0AEB08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1.1.2.7 总监理工程师（总监）：指由监理人委派常驻施工场地对合同履行实施管理的全权负责人。</w:t>
      </w:r>
    </w:p>
    <w:p w14:paraId="175973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6BDD3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 工程：指永久工程和（或）临时工程。</w:t>
      </w:r>
    </w:p>
    <w:p w14:paraId="3FA49B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 永久工程：指按合同约定建造并移交给发包人的工程，包括工程设备。</w:t>
      </w:r>
    </w:p>
    <w:p w14:paraId="68094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1.1.3.3 临时工程：指为完成合同约定的永久工程所修建的各类临时性工程，不包括施工设备。</w:t>
      </w:r>
    </w:p>
    <w:p w14:paraId="45EEA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1.1.3.4 单位工程：指专用合同条款中指明特定范围的永久工程。</w:t>
      </w:r>
    </w:p>
    <w:p w14:paraId="66717F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1.1.3.5 工程设备：指构成或计划构成永久工程一部分的机电设备、金属结构设备、仪器装置及其他类似的设备和装置。</w:t>
      </w:r>
    </w:p>
    <w:p w14:paraId="53C06E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1.1.3.6 施工设备：指为完成合同约定的各项工作所需的设备、器具和其他物品，不包括临时工程和材料。</w:t>
      </w:r>
    </w:p>
    <w:p w14:paraId="4217B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1.1.3.7 临时设施：指为完成合同约定的各项工作所服务的临时性生产和生活设施。</w:t>
      </w:r>
    </w:p>
    <w:p w14:paraId="18A173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1.1.3.8 承包人设备：指承包人自带的施工设备。</w:t>
      </w:r>
    </w:p>
    <w:p w14:paraId="5DB941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1.1.3.9 施工场地（或称工地、现场）：指用于合同工程施工的场所，以及在合同中指定作为施工场地组成部分的其他场所，包括永久占地和临时占地。</w:t>
      </w:r>
    </w:p>
    <w:p w14:paraId="2A84AA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1.1.3.10 永久占地：指专用合同条款中指明为实施合同工程需永久占用的土地。</w:t>
      </w:r>
    </w:p>
    <w:p w14:paraId="7B4B88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1.1.3.11 临时占地：指专用合同条款中指明为实施合同工程需临时占用的土地。</w:t>
      </w:r>
    </w:p>
    <w:p w14:paraId="69A29A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 日期</w:t>
      </w:r>
    </w:p>
    <w:p w14:paraId="2FF66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1.1.4.1 开工通知：指监理人按第11.1 款通知承包人开工的函件。</w:t>
      </w:r>
    </w:p>
    <w:p w14:paraId="507AB3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1.1.4.2 开工日期：指监理人按第11.1 款发出的开工通知中写明的开工日期。</w:t>
      </w:r>
    </w:p>
    <w:p w14:paraId="1B97B1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1.1.4.3 工期：指承包人在投标函中承诺的完成合同工程所需的期限，包括按第11.3 款、第11.4 款和第11.6 款约定所作的变更。</w:t>
      </w:r>
    </w:p>
    <w:p w14:paraId="6D5377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1.1.4.4 竣工日期：指第1.1.4.3 目约定工期届满时的日期。实际竣工日期以工程接收证书中写明的日期为准。</w:t>
      </w:r>
    </w:p>
    <w:p w14:paraId="7A720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1.1.4.5 缺陷责任期：指履行第19.2 款约定的缺陷责任的期限，具体期限由专用合同条款约定，包括根据第19.3 款约定所作的延长。</w:t>
      </w:r>
    </w:p>
    <w:p w14:paraId="22386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1.1.4.6 基准日期：指投标截止时间前28 天的日期。</w:t>
      </w:r>
    </w:p>
    <w:p w14:paraId="5A921A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天：除特别指明外，指日历天。合同中按天计算时间的，开始当天不计入，从次日开始计算。期限最后一天的截止时间为当天24:00。</w:t>
      </w:r>
    </w:p>
    <w:p w14:paraId="14FD8E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14:paraId="7CF3EFC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签约合同价：指签定合同时合同协议书中写明的，包括了暂估价的合同总金额。</w:t>
      </w:r>
    </w:p>
    <w:p w14:paraId="19A2C1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1.1.5.2 合同价格：指承包人按合同约定完成了包括缺陷责任期内的全部承包工作后，发包人应付给承包人的金额，包括在履行合同过程中按合同约定进行的变更和调整。</w:t>
      </w:r>
    </w:p>
    <w:p w14:paraId="3B7007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1.1.5.3 费用：指为履行合同所发生的或将要发生的所有合理开支，包括管理费和应分摊的其他费用，但不包括利润。</w:t>
      </w:r>
    </w:p>
    <w:p w14:paraId="0DDF2F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1.1.5.4 质量保证金（或称保留金）：指按第17. 4.1项约定用于保证在缺陷责任期内履行缺陷修复义务的金额。</w:t>
      </w:r>
    </w:p>
    <w:p w14:paraId="475AB2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14:paraId="6870E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1.1.6.1 书面形式：指合同文件、信函、电报、传真等可以有形地表现所载内容的形式。</w:t>
      </w:r>
    </w:p>
    <w:p w14:paraId="4F4F74E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 语言文字</w:t>
      </w:r>
    </w:p>
    <w:p w14:paraId="6C7212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除专用术语外，合同使用的语言文字为中文。必要时专用术语应附有中文注释。</w:t>
      </w:r>
    </w:p>
    <w:p w14:paraId="3883756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 法律</w:t>
      </w:r>
    </w:p>
    <w:p w14:paraId="00D049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适用于合同的法律包括中华人民共和国法律、行政法规、部门规章，以及工程所在地的地方法规、自治条例、单行条例和地方政府规章。</w:t>
      </w:r>
    </w:p>
    <w:p w14:paraId="12DBDD7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 合同文件的优先顺序</w:t>
      </w:r>
    </w:p>
    <w:p w14:paraId="2B5CC1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14:paraId="69F5A3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14:paraId="698D2C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45B40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w:t>
      </w:r>
    </w:p>
    <w:p w14:paraId="75FED0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7E23DD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248BB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43BA24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07328A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(8）投标报价文件；</w:t>
      </w:r>
    </w:p>
    <w:p w14:paraId="797399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23EEF9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 合同协议书</w:t>
      </w:r>
    </w:p>
    <w:p w14:paraId="70732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2ACE47F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 图纸和承包人文件</w:t>
      </w:r>
    </w:p>
    <w:p w14:paraId="456AB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43BABB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除专用合同条款另有约定外，图纸应在合理的期限内按照合同约定的数量提供给承包人。由于发包人未按时提供图纸造成工期延误的，按第11.3 款的约定办理。</w:t>
      </w:r>
    </w:p>
    <w:p w14:paraId="7A9DDA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 承包人提供的文件</w:t>
      </w:r>
    </w:p>
    <w:p w14:paraId="415A8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按专用合同条款约定由承包人提供的文件，包括部分工程的大样图、加工图等，承包人应按约定的数量和期限报送监理人。监理人应在专用合同条款约定的期限内批复。</w:t>
      </w:r>
    </w:p>
    <w:p w14:paraId="5E9F93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6.3 图纸的修改</w:t>
      </w:r>
    </w:p>
    <w:p w14:paraId="0B6EF5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图纸需要修改和补充的，应由监理人取得发包人同意后，在该工程或工程相应部位施工前的合理期限内签发图纸修改图给承包人，具体签发期限在专用合同条款中约定。承包人应按修改后的图纸施工。</w:t>
      </w:r>
    </w:p>
    <w:p w14:paraId="2D3405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1.6.4 图纸的错误</w:t>
      </w:r>
    </w:p>
    <w:p w14:paraId="2961DE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承包人发现发包人提供的图纸存在明显错误或疏忽，应及时通知监理人。</w:t>
      </w:r>
    </w:p>
    <w:p w14:paraId="7431DC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14:paraId="24E34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监理人和承包人均应在施工场地各保存一套完整的包含第1.6.1 项、第1.6.2 项、第1.6.3 项约定内容的图纸和承包人文件。</w:t>
      </w:r>
    </w:p>
    <w:p w14:paraId="2925FB0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 联络</w:t>
      </w:r>
    </w:p>
    <w:p w14:paraId="51FAD3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与合同有关的通知、批准、证明、证书、指示、要求、请求、同意、意见、确定和决定等，均应采用书面形式。</w:t>
      </w:r>
    </w:p>
    <w:p w14:paraId="5BAB2E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 第1.7.1 项中的通知、批准、证明、证书、指示、要求、请求、同意、意见、确定和决定等来往函件，均应在合同约定的期限内送达指定地点和接收人，并办理签收手续。</w:t>
      </w:r>
    </w:p>
    <w:p w14:paraId="300A740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 转让</w:t>
      </w:r>
    </w:p>
    <w:p w14:paraId="263CCA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除合同另有约定外，未经对方当事人同意，一方当事人不得将合同权利全部或部分转让给第三人，也不得全部或部分转移合同义务。</w:t>
      </w:r>
    </w:p>
    <w:p w14:paraId="4416361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 严禁贿赂</w:t>
      </w:r>
    </w:p>
    <w:p w14:paraId="0F99A5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合同双方当事人不得以贿赂或变相贿赂的方式，谋取不当利益或损害对方权益。因贿赂造成对方损失的，行为人应赔偿损失，并承担相应的法律责任。</w:t>
      </w:r>
    </w:p>
    <w:p w14:paraId="3AE0E07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1.10 化石、文物</w:t>
      </w:r>
    </w:p>
    <w:p w14:paraId="3AB415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4BF5D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1.10.2 承包人发现文物后不及时报告或隐瞒不报，致使文物丢失或损坏的，应赔偿损失，并承担相应的法律责任。</w:t>
      </w:r>
    </w:p>
    <w:p w14:paraId="5D3F320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1.11 专利技术</w:t>
      </w:r>
    </w:p>
    <w:p w14:paraId="4D5ACA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14:paraId="07C3C7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承包人在投标文件中采用专利技术的，专利技术的使用费包含在投标报价内。</w:t>
      </w:r>
    </w:p>
    <w:p w14:paraId="676D12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 承包人的技术秘密和声明需要保密的资料和信息，发包人和监理人不得为合同以外的目的泄露给他人。</w:t>
      </w:r>
    </w:p>
    <w:p w14:paraId="5492850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 图纸和文件的保密</w:t>
      </w:r>
    </w:p>
    <w:p w14:paraId="3EE2B71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 发包人提供的图纸和文件，未经发包人同意，承包人不得为合同以外的目的泄露给他人或公开发表与引用。</w:t>
      </w:r>
    </w:p>
    <w:p w14:paraId="1F371D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 承包人提供的文件，未经承包人同意，发包人和监理人不得为合同以外的目的泄露给他人或公开发表与引用。</w:t>
      </w:r>
    </w:p>
    <w:p w14:paraId="0373593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05" w:name="_Toc224699376"/>
      <w:bookmarkStart w:id="106" w:name="_Toc196637768"/>
      <w:bookmarkStart w:id="107" w:name="_Toc196637414"/>
      <w:bookmarkStart w:id="108" w:name="_Toc196637650"/>
      <w:bookmarkStart w:id="109" w:name="_Toc184635099"/>
      <w:r>
        <w:rPr>
          <w:rFonts w:hint="eastAsia" w:ascii="宋体" w:hAnsi="宋体" w:eastAsia="宋体" w:cs="宋体"/>
          <w:color w:val="auto"/>
          <w:sz w:val="24"/>
          <w:szCs w:val="24"/>
        </w:rPr>
        <w:t>2．发包人义务</w:t>
      </w:r>
      <w:bookmarkEnd w:id="105"/>
      <w:bookmarkEnd w:id="106"/>
      <w:bookmarkEnd w:id="107"/>
      <w:bookmarkEnd w:id="108"/>
      <w:bookmarkEnd w:id="109"/>
    </w:p>
    <w:p w14:paraId="6C26335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 遵守法律</w:t>
      </w:r>
    </w:p>
    <w:p w14:paraId="568ED2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发包人在履行合同过程中应遵守法律，并保证承包人免于承担因发包人违反法律而引起的任何责任。</w:t>
      </w:r>
    </w:p>
    <w:p w14:paraId="641B307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 发出开工通知</w:t>
      </w:r>
    </w:p>
    <w:p w14:paraId="38AE7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发包人应委托监理人按第11.1 款的约定向承包人发出开工通知。</w:t>
      </w:r>
    </w:p>
    <w:p w14:paraId="170378B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 提供施工场地</w:t>
      </w:r>
    </w:p>
    <w:p w14:paraId="39043E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发包人应按专用合同条款约定向承包人提供施工场地，以及施工场地内地下管线和地下设施等有关资料，并保证资料的真实、准确、完整。</w:t>
      </w:r>
    </w:p>
    <w:p w14:paraId="364AF7A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 协助承包人办理证件和批件</w:t>
      </w:r>
    </w:p>
    <w:p w14:paraId="1CD34E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发包人应协助承包人办理法律规定的有关施工证件和批件。</w:t>
      </w:r>
    </w:p>
    <w:p w14:paraId="24F71DD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2.5 组织设计交底</w:t>
      </w:r>
    </w:p>
    <w:p w14:paraId="44FF22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发包人应根据合同进度计划，组织设计单位向承包人进行设计交底。</w:t>
      </w:r>
    </w:p>
    <w:p w14:paraId="190A8EE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2.6 支付合同价款</w:t>
      </w:r>
    </w:p>
    <w:p w14:paraId="4EB44B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14:paraId="79691AD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2.7 组织竣工验收</w:t>
      </w:r>
    </w:p>
    <w:p w14:paraId="40C2D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14:paraId="283C8AA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2.8 其他义务</w:t>
      </w:r>
    </w:p>
    <w:p w14:paraId="545562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发包人应履行合同约定的其他义务。</w:t>
      </w:r>
    </w:p>
    <w:p w14:paraId="04A166A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10" w:name="_Toc196637769"/>
      <w:bookmarkStart w:id="111" w:name="_Toc196637415"/>
      <w:bookmarkStart w:id="112" w:name="_Toc224699377"/>
      <w:bookmarkStart w:id="113" w:name="_Toc196637651"/>
      <w:bookmarkStart w:id="114" w:name="_Toc184635100"/>
      <w:r>
        <w:rPr>
          <w:rFonts w:hint="eastAsia" w:ascii="宋体" w:hAnsi="宋体" w:eastAsia="宋体" w:cs="宋体"/>
          <w:color w:val="auto"/>
          <w:sz w:val="24"/>
          <w:szCs w:val="24"/>
        </w:rPr>
        <w:t>3、监理人</w:t>
      </w:r>
      <w:bookmarkEnd w:id="110"/>
      <w:bookmarkEnd w:id="111"/>
      <w:bookmarkEnd w:id="112"/>
      <w:bookmarkEnd w:id="113"/>
      <w:bookmarkEnd w:id="114"/>
    </w:p>
    <w:p w14:paraId="77C48A7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3.1 监理人的职责和权力</w:t>
      </w:r>
    </w:p>
    <w:p w14:paraId="079520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 监理人受发包人委托，享有合同约定的权力。监理人在行使某项权力前需要经发</w:t>
      </w:r>
    </w:p>
    <w:p w14:paraId="0BCE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包人事先批准而通用合同条款没有指明的，应在专用合同条款中指明。</w:t>
      </w:r>
    </w:p>
    <w:p w14:paraId="1C691C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 监理人发出的任何指示应视为已得到发包人的批准，但监理人无权免除或变更合同约定的发包人和承包人的权利、义务和责任。</w:t>
      </w:r>
    </w:p>
    <w:p w14:paraId="6D1E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3.1.3 合同约定应由承包人承担的义务和责任，不因监理人对承包人提交文件的审查或批准，对工程、材料和设备的检查和检验，以及为实施监理作出的指示等职务行为而减轻或解除。</w:t>
      </w:r>
    </w:p>
    <w:p w14:paraId="611B7BA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3.2 总监理工程师</w:t>
      </w:r>
    </w:p>
    <w:p w14:paraId="080402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发包人应在发出开工通知前将总监理工程师的任命通知承包人。总监理工程师更换时，应在调离14 天前通知承包人。总监理工程师短期离开施工场地的，应委派代表代行其职责，并通知承包人。</w:t>
      </w:r>
    </w:p>
    <w:p w14:paraId="56A5F1C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3.3 监理人员</w:t>
      </w:r>
    </w:p>
    <w:p w14:paraId="05263F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5EAF8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47301E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 承包人对总监理工程师授权的监理人员发出的指示有疑问的，可向总监理工程师提出书面异议，总监理工程师应在48小时内对该指示予以确认、更改或撤销。</w:t>
      </w:r>
    </w:p>
    <w:p w14:paraId="0BB10A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除专用合同条款另有约定外，总监理工程师不应将第3.5 款约定应由总监理工程师作出确定的权力授权或委托给其他监理人员。</w:t>
      </w:r>
    </w:p>
    <w:p w14:paraId="0086440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3.4 监理人的指示</w:t>
      </w:r>
    </w:p>
    <w:p w14:paraId="50FDD2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 监理人应按第3.1 款的约定向承包人发出指示，监理人的指示应盖有监理人授权的施工场地机构章，并由总监理工程师或总监理工程师按第3.3.1 项约定授权的监理人员签字。</w:t>
      </w:r>
    </w:p>
    <w:p w14:paraId="501ACC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承包人收到监理人按第3.4.1 项作出的指示后应遵照执行。指示构成变更的，应按第15条处理。</w:t>
      </w:r>
    </w:p>
    <w:p w14:paraId="1C9D9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B6934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3.4.4 除合同另有约定外，承包人只从总监理工程师或按第3.3.1 项被授权的监理人员处取得指示。</w:t>
      </w:r>
    </w:p>
    <w:p w14:paraId="248F39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3.4.5 由于监理人未能按合同约定发出指示、指示延误或指示错误而导致承包人费用增加和（或）工期延误的，由发包人承担赔偿责任。</w:t>
      </w:r>
    </w:p>
    <w:p w14:paraId="2738043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3.5 商定或确定</w:t>
      </w:r>
    </w:p>
    <w:p w14:paraId="4ACF4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3.5.1 合同约定总监理工程师应按照本款对任何事项进行商定或确定时，总监理工程师应与合同当事人协商，尽量达成一致。不能达成一致的，总监理工程师应认真研究后审慎确定。</w:t>
      </w:r>
    </w:p>
    <w:p w14:paraId="1B900F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7C8B9C8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15" w:name="_Toc196637416"/>
      <w:bookmarkStart w:id="116" w:name="_Toc184635101"/>
      <w:bookmarkStart w:id="117" w:name="_Toc224699378"/>
      <w:bookmarkStart w:id="118" w:name="_Toc196637770"/>
      <w:bookmarkStart w:id="119" w:name="_Toc196637652"/>
      <w:r>
        <w:rPr>
          <w:rFonts w:hint="eastAsia" w:ascii="宋体" w:hAnsi="宋体" w:eastAsia="宋体" w:cs="宋体"/>
          <w:color w:val="auto"/>
          <w:sz w:val="24"/>
          <w:szCs w:val="24"/>
        </w:rPr>
        <w:t>4、承包人</w:t>
      </w:r>
      <w:bookmarkEnd w:id="115"/>
      <w:bookmarkEnd w:id="116"/>
      <w:bookmarkEnd w:id="117"/>
      <w:bookmarkEnd w:id="118"/>
      <w:bookmarkEnd w:id="119"/>
    </w:p>
    <w:p w14:paraId="2A8D1A1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 承包人的一般义务</w:t>
      </w:r>
    </w:p>
    <w:p w14:paraId="569FF5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 遵守法律</w:t>
      </w:r>
    </w:p>
    <w:p w14:paraId="7BE3A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承包人在履行合同过程中应遵守法律，并保证发包人免于承担因承包人违反法律而引起的任何责任。</w:t>
      </w:r>
    </w:p>
    <w:p w14:paraId="3D9EE0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4.1.2 依法纳税</w:t>
      </w:r>
    </w:p>
    <w:p w14:paraId="2B6C03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承包人应按有关法律规定纳税，应缴纳的税金包括在合同价格内。</w:t>
      </w:r>
    </w:p>
    <w:p w14:paraId="51C24D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4.1.3 完成各项承包工作</w:t>
      </w:r>
    </w:p>
    <w:p w14:paraId="79D770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2364A1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4.1.4 对施工作业和施工方法的完备性负责</w:t>
      </w:r>
    </w:p>
    <w:p w14:paraId="6A12E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承包人应按合同约定的工作内容和施工进度要求，编制施工组织设计和施工措施计划，并对所有施工作业和施工方法的完备性和安全可靠性负责。</w:t>
      </w:r>
    </w:p>
    <w:p w14:paraId="59DB47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4.1.5 保证工程施工和人员的安全</w:t>
      </w:r>
    </w:p>
    <w:p w14:paraId="358F1B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承包人应按第9.2 款约定采取施工安全措施，确保工程及其人员、材料、设备和设施的安全，防止因工程施工造成的人身伤害和财产损失。</w:t>
      </w:r>
    </w:p>
    <w:p w14:paraId="6BE2E9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4.1.6 负责施工场地及其周边环境与生态的保护工作</w:t>
      </w:r>
    </w:p>
    <w:p w14:paraId="28B2B0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承包人应按照第9.4 款约定负责施工场地及其周边环境与生态的保护工作。</w:t>
      </w:r>
    </w:p>
    <w:p w14:paraId="2C7688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4.1.7 避免施工对公众与他人的利益造成损害</w:t>
      </w:r>
    </w:p>
    <w:p w14:paraId="77A454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9DC61B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4.1.8 为他人提供方便</w:t>
      </w:r>
    </w:p>
    <w:p w14:paraId="7A2CA3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承包人应按监理人的指示为他人在施工场地或附近实施与工程有关的其他各项工作提供可能的条件。除合同另有约定外，提供有关条件的内容和可能发生的费用，由监理人按第3.5 款商定或确定。</w:t>
      </w:r>
    </w:p>
    <w:p w14:paraId="33F26A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4.1.9 工程的维护和照管</w:t>
      </w:r>
    </w:p>
    <w:p w14:paraId="2AA676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工程接收证书颁发前，承包人应负责照管和维护工程。工程接收证书颁发时尚有部分未竣工工程的，承包人还应负责该未竣工工程的照管和维护工作，直至竣工后移交给发包人为止。</w:t>
      </w:r>
    </w:p>
    <w:p w14:paraId="726812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4.1.10 其他义务</w:t>
      </w:r>
    </w:p>
    <w:p w14:paraId="16FCAD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承包人应履行合同约定的其他义务。</w:t>
      </w:r>
    </w:p>
    <w:p w14:paraId="0129062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4.2 履约担保</w:t>
      </w:r>
    </w:p>
    <w:p w14:paraId="2F7664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承包人应保证其履约担保在发包人颁发工程接收证书前一直有效。发包人应在工程接收证书颁发后28 天内把履约担保退还给承包人。</w:t>
      </w:r>
    </w:p>
    <w:p w14:paraId="1D2A45E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4.3 分包</w:t>
      </w:r>
    </w:p>
    <w:p w14:paraId="263B2D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4.3.1 承包人不得将其承包的全部工程转包给第三人，或将其承包的全部工程肢解后以分包的名义转包给第三人。</w:t>
      </w:r>
    </w:p>
    <w:p w14:paraId="397F3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 承包人不得将工程主体、关键性工作分包给第三人。除专用合同条款另有约定外，未经发包人同意，承包人不得将工程的其他部分或工作分包给第三人。</w:t>
      </w:r>
    </w:p>
    <w:p w14:paraId="1C6B08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4.3.3 分包人的资格能力应与其分包工程的标准和规模相适应。</w:t>
      </w:r>
    </w:p>
    <w:p w14:paraId="6E09671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4.3.4 按投标函附录约定分包工程的，承包人应向发包人和监理人提交分包合同副本。</w:t>
      </w:r>
    </w:p>
    <w:p w14:paraId="0F9B86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4.3.5 承包人应与分包人就分包工程向发包人承担连带责任。</w:t>
      </w:r>
    </w:p>
    <w:p w14:paraId="09FD4A9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4.4 联合体</w:t>
      </w:r>
    </w:p>
    <w:p w14:paraId="2CEEFD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4.4.1 联合体各方应共同与发包人签订合同协议书。联合体各方应为履行合同承担连带责任。</w:t>
      </w:r>
    </w:p>
    <w:p w14:paraId="7DD0C0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4.4.2 联合体协议经发包人确认后作为合同附件。在履行合同过程中，未经发包人同意，不得修改联合体协议。</w:t>
      </w:r>
    </w:p>
    <w:p w14:paraId="7D4B62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4.4.3 联合体牵头人负责与发包人和监理人联系，并接受指示，负责组织联合体各成员全面履行合同。</w:t>
      </w:r>
    </w:p>
    <w:p w14:paraId="464EBCD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4.5 承包人项目经理</w:t>
      </w:r>
    </w:p>
    <w:p w14:paraId="7046A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F7546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4.5.2 承包人项目经理应按合同约定以及监理人按第3.4 款作出的指示，负责组织合同工程的实施。在情况紧急且无法与监理人取得联系时，可采取保证工程和人员生命财产安全的紧急措施，并在采取措施后24小时内向监理人提交书面报告。</w:t>
      </w:r>
    </w:p>
    <w:p w14:paraId="2D49F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4.5.3 承包人为履行合同发出的一切函件均应盖有承包人授权的施工场地管理机构章，并由承包人项目经理或其授权代表签字。</w:t>
      </w:r>
    </w:p>
    <w:p w14:paraId="0D9B9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4.5.4 承包人项目经理可以授权其下属人员履行其某项职责，但事先应将这些人员的姓名和授权范围通知监理人。</w:t>
      </w:r>
    </w:p>
    <w:p w14:paraId="78065C7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4.6 承包人人员的管理</w:t>
      </w:r>
    </w:p>
    <w:p w14:paraId="75D6A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11154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4.6.2 为完成合同约定的各项工作，承包人应向施工场地派遣或雇佣足够数量的下列人员：</w:t>
      </w:r>
    </w:p>
    <w:p w14:paraId="7B41F1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(1）具有相应资格的专业技工和合格的普工；</w:t>
      </w:r>
    </w:p>
    <w:p w14:paraId="0E7A69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(2）具有相应施工经验的技术人员；</w:t>
      </w:r>
    </w:p>
    <w:p w14:paraId="6A07D4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(3）具有相应岗位资格的各级管理人员。</w:t>
      </w:r>
    </w:p>
    <w:p w14:paraId="174E39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4.6.3 承包人安排在施工场地的主要管理人员和技术骨干应相对稳定。承包人更换主要管理人员和技术骨干时，应取得监理人的同意。</w:t>
      </w:r>
    </w:p>
    <w:p w14:paraId="6F8284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4.6.4 特殊岗位的工作人员均应持有相应的资格证明，监理人有权随时检查。监理人认为有必要时，可进行现场考核。</w:t>
      </w:r>
    </w:p>
    <w:p w14:paraId="6FC6F82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4.7 撤换承包人项目经理和其他人员</w:t>
      </w:r>
    </w:p>
    <w:p w14:paraId="35599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承包人应对其项目经理和其他人员进行有效管理。监理人要求撤换不能胜任本职工作、行为不端或玩忽职守的承包人项目经理和其他人员的，承包人应予以撤换。</w:t>
      </w:r>
    </w:p>
    <w:p w14:paraId="45AF0D9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4.8 保障承包人人员的合法权益</w:t>
      </w:r>
    </w:p>
    <w:p w14:paraId="70BA4D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4.8.1 承包人应与其雇佣的人员签订劳动合同，并按时发放工资。</w:t>
      </w:r>
    </w:p>
    <w:p w14:paraId="79435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65268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4.8.3 承包人应为其雇佣人员提供必要的食宿条件，以及符合环境保护和卫生要求的生活环境，在远离城镇的施工场地，还应配备必要的伤病防治和急救的医务人员与医疗设施。</w:t>
      </w:r>
    </w:p>
    <w:p w14:paraId="2ACBC6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C7608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4.8.5 承包人应按有关法律规定和合同约定，为其雇佣人员办理保险。</w:t>
      </w:r>
    </w:p>
    <w:p w14:paraId="74615C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4.8.6 承包人应负责处理其雇佣人员因工伤亡事故的善后事宜。</w:t>
      </w:r>
    </w:p>
    <w:p w14:paraId="691F1AD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4.9 工程价款应专款专用</w:t>
      </w:r>
    </w:p>
    <w:p w14:paraId="6C3DED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发包人按合同约定支付给承包人的各项价款应专用于合同工程。</w:t>
      </w:r>
    </w:p>
    <w:p w14:paraId="42C56E4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4.10 承包人现场查勘</w:t>
      </w:r>
    </w:p>
    <w:p w14:paraId="1BAF3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4.10.1 发包人应将其持有的现场地质勘探资料、水文气象资料提供给承包人，并对其准确性负责。但承包人应对其阅读上述有关资料后所作出的解释和推断负责。</w:t>
      </w:r>
    </w:p>
    <w:p w14:paraId="3EEE6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CD47D2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4.11 不利物质条件</w:t>
      </w:r>
    </w:p>
    <w:p w14:paraId="2219C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4.11.1 不利物质条件，除专用合同条款另有约定外，是指承包人在施工场地遇到的不可预见的自然物质条件、非自然的物质障碍和污染物，包括地下和水文条件，但不包括气候条件。</w:t>
      </w:r>
    </w:p>
    <w:p w14:paraId="0C78AC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F3FD58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20" w:name="_Toc224699379"/>
      <w:bookmarkStart w:id="121" w:name="_Toc196637653"/>
      <w:bookmarkStart w:id="122" w:name="_Toc184635102"/>
      <w:bookmarkStart w:id="123" w:name="_Toc196637417"/>
      <w:bookmarkStart w:id="124" w:name="_Toc196637771"/>
      <w:r>
        <w:rPr>
          <w:rFonts w:hint="eastAsia" w:ascii="宋体" w:hAnsi="宋体" w:eastAsia="宋体" w:cs="宋体"/>
          <w:color w:val="auto"/>
          <w:sz w:val="24"/>
          <w:szCs w:val="24"/>
        </w:rPr>
        <w:t>5．材料和工程设备</w:t>
      </w:r>
      <w:bookmarkEnd w:id="120"/>
      <w:bookmarkEnd w:id="121"/>
      <w:bookmarkEnd w:id="122"/>
      <w:bookmarkEnd w:id="123"/>
      <w:bookmarkEnd w:id="124"/>
    </w:p>
    <w:p w14:paraId="126A01E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5.1 承包人提供的材料和工程设备</w:t>
      </w:r>
    </w:p>
    <w:p w14:paraId="5BE362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 除专用合同条款另有约定外，承包人提供的材料和工程设备均由承包人负责采购、运输和保管。承包人应对其采购的材料和工程设备负责。</w:t>
      </w:r>
    </w:p>
    <w:p w14:paraId="1205EB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63159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72F468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5.2 发包人提供的材料和工程设备</w:t>
      </w:r>
    </w:p>
    <w:p w14:paraId="5F0DA6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5.2.1 发包人提供的材料和工程设备，应在专用合同条款中写明材料和工程设备的名称、规格、数量、价格、交货方式、交货地点和计划交货日期等。</w:t>
      </w:r>
    </w:p>
    <w:p w14:paraId="61CAB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5.2.2 承包人应根据合同进度计划的安排，向监理人报送要求发包人交货的日期计划。发包人应按照监理人与合同双方当事人商定的交货日期，向承包人提交材料和工程设备。5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4C1B0A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5.2.4 发包人要求向承包人提前交货的，承包人不得拒绝，但发包人应承担承包人由此增加的费用。</w:t>
      </w:r>
    </w:p>
    <w:p w14:paraId="08F6B1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5.2.5 承包人要求更改交货日期或地点的，应事先报请监理人批准。由于承包人要求更改交货时间或地点所增加的费用和（或）工期延误由承包人承担。</w:t>
      </w:r>
    </w:p>
    <w:p w14:paraId="0A2927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F1ACAE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5.3 材料和工程设备专用于合同工程</w:t>
      </w:r>
    </w:p>
    <w:p w14:paraId="02453D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5.3.1 运入施工场地的材料、工程设备，包括备品备件、安装专用工器具与随机资料，必须专用于合同工程，未经监理人同意，承包人不得运出施工场地或挪作他用。</w:t>
      </w:r>
    </w:p>
    <w:p w14:paraId="42E775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3034D3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5.4 禁止使用不合格的材料和工程设备</w:t>
      </w:r>
    </w:p>
    <w:p w14:paraId="72B75B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5.4.1 监理人有权拒绝承包人提供的不合格材料或工程设备，并要求承包人立即进行更换。监理人应在更换后再次进行检查和检验，由此增加的费用和（或）工期延误由承包人承担。</w:t>
      </w:r>
    </w:p>
    <w:p w14:paraId="4FC9C6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5.4.2 监理人发现承包人使用了不合格的材料和工程设备，应即时发出指示要求承包人立即改正，并禁止在工程中继续使用不合格的材料和工程设备。</w:t>
      </w:r>
    </w:p>
    <w:p w14:paraId="22EDE2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5.4.3 发包人提供的材料或工程设备不符合合同要求的，承包人有权拒绝，并可要求发包人更换，由此增加的费用和（或）工期延误由发包人承担。</w:t>
      </w:r>
    </w:p>
    <w:p w14:paraId="75FADD2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25" w:name="_Toc184635103"/>
      <w:bookmarkStart w:id="126" w:name="_Toc196637418"/>
      <w:bookmarkStart w:id="127" w:name="_Toc196637772"/>
      <w:bookmarkStart w:id="128" w:name="_Toc224699380"/>
      <w:bookmarkStart w:id="129" w:name="_Toc196637654"/>
      <w:r>
        <w:rPr>
          <w:rFonts w:hint="eastAsia" w:ascii="宋体" w:hAnsi="宋体" w:eastAsia="宋体" w:cs="宋体"/>
          <w:color w:val="auto"/>
          <w:sz w:val="24"/>
          <w:szCs w:val="24"/>
        </w:rPr>
        <w:t>6、施工设备和临时设施</w:t>
      </w:r>
      <w:bookmarkEnd w:id="125"/>
      <w:bookmarkEnd w:id="126"/>
      <w:bookmarkEnd w:id="127"/>
      <w:bookmarkEnd w:id="128"/>
      <w:bookmarkEnd w:id="129"/>
    </w:p>
    <w:p w14:paraId="6FAF0BB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6.1 承包人提供的施工设备和临时设施</w:t>
      </w:r>
    </w:p>
    <w:p w14:paraId="218053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14:paraId="4EB51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 除专用合同条款另有约定外，承包人应自行承担修建临时设施的费用，需要临时占地的，应由发包人办理申请手续并承担相应费用。</w:t>
      </w:r>
    </w:p>
    <w:p w14:paraId="77246C6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6.2 发包人提供的施工设备和临时设施</w:t>
      </w:r>
    </w:p>
    <w:p w14:paraId="18C4EE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14:paraId="0E27D1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6.3 要求承包人增加或更换施工设备</w:t>
      </w:r>
    </w:p>
    <w:p w14:paraId="5B806C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4924723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6.4 施工设备和临时设施专用于合同工程</w:t>
      </w:r>
    </w:p>
    <w:p w14:paraId="27B77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6.4.1 除合同另有约定外，运入施工场地的所有施工设备以及在施工场地建设的临时设施应专用于合同工程。未经监理人同意，不得将上述施工设备和临时设施中的任何部分运出施工场地或挪作他用。</w:t>
      </w:r>
    </w:p>
    <w:p w14:paraId="0B8947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6.4.2 经监理人同意，承包人可根据合同进度计划撤走闲置的施工设备。</w:t>
      </w:r>
    </w:p>
    <w:p w14:paraId="17365A5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30" w:name="_Toc196637655"/>
      <w:bookmarkStart w:id="131" w:name="_Toc224699381"/>
      <w:bookmarkStart w:id="132" w:name="_Toc196637773"/>
      <w:bookmarkStart w:id="133" w:name="_Toc196637419"/>
      <w:bookmarkStart w:id="134" w:name="_Toc184635104"/>
      <w:r>
        <w:rPr>
          <w:rFonts w:hint="eastAsia" w:ascii="宋体" w:hAnsi="宋体" w:eastAsia="宋体" w:cs="宋体"/>
          <w:color w:val="auto"/>
          <w:sz w:val="24"/>
          <w:szCs w:val="24"/>
        </w:rPr>
        <w:t>7．交通运输</w:t>
      </w:r>
      <w:bookmarkEnd w:id="130"/>
      <w:bookmarkEnd w:id="131"/>
      <w:bookmarkEnd w:id="132"/>
      <w:bookmarkEnd w:id="133"/>
      <w:bookmarkEnd w:id="134"/>
    </w:p>
    <w:p w14:paraId="3AEF70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7.1 道路通行权和场外设施</w:t>
      </w:r>
    </w:p>
    <w:p w14:paraId="31CBE4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9D0CBB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7.2 场内施工道路</w:t>
      </w:r>
    </w:p>
    <w:p w14:paraId="2F48C4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7.2.1 除专用合同条款另有约定外，承包人应负责修建、维修、养护和管理施工所需的临时道路和交通设施，包括维修、养护和管理发包人提供的道路和交通设施，并承担相应费用。</w:t>
      </w:r>
    </w:p>
    <w:p w14:paraId="5E0E18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7.2.2 除专用合同条款另有约定外，承包人修建的临时道路和交通设施应免费提供发包人和监理人使用。</w:t>
      </w:r>
    </w:p>
    <w:p w14:paraId="7C4D736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7.3 场外交通</w:t>
      </w:r>
    </w:p>
    <w:p w14:paraId="67093F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7.3.1 承包人车辆外出行驶所需的场外公共道路的通行费、养路费和税款等由承包人承担。</w:t>
      </w:r>
    </w:p>
    <w:p w14:paraId="060100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7.3.2 承包人应遵守有关交通法规，严格按照道路和桥梁的限制荷重安全行驶，并服从交通管理部门的检查和监督。</w:t>
      </w:r>
    </w:p>
    <w:p w14:paraId="7161EB4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7.4 超大件和超重件的运输</w:t>
      </w:r>
    </w:p>
    <w:p w14:paraId="4A648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E9EF14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7.5 道路和桥梁的损坏责任</w:t>
      </w:r>
    </w:p>
    <w:p w14:paraId="395C2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14:paraId="1F7C906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7.6 水路和航空运输</w:t>
      </w:r>
    </w:p>
    <w:p w14:paraId="2CB185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本条上述各款的内容适用于水路运输和航空运输，其中“道路”一词的涵义包括河道、航线、船闸、机场、码头、堤防以及水路或航空运输中其他相似结构物；“车辆”一词的涵义包括船舶和飞机等。</w:t>
      </w:r>
    </w:p>
    <w:p w14:paraId="72BAE77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35" w:name="_Toc196637774"/>
      <w:bookmarkStart w:id="136" w:name="_Toc196637420"/>
      <w:bookmarkStart w:id="137" w:name="_Toc196637656"/>
      <w:bookmarkStart w:id="138" w:name="_Toc184635105"/>
      <w:bookmarkStart w:id="139" w:name="_Toc224699382"/>
      <w:r>
        <w:rPr>
          <w:rFonts w:hint="eastAsia" w:ascii="宋体" w:hAnsi="宋体" w:eastAsia="宋体" w:cs="宋体"/>
          <w:color w:val="auto"/>
          <w:sz w:val="24"/>
          <w:szCs w:val="24"/>
        </w:rPr>
        <w:t>8．测量放线</w:t>
      </w:r>
      <w:bookmarkEnd w:id="135"/>
      <w:bookmarkEnd w:id="136"/>
      <w:bookmarkEnd w:id="137"/>
      <w:bookmarkEnd w:id="138"/>
      <w:bookmarkEnd w:id="139"/>
    </w:p>
    <w:p w14:paraId="77E0F84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8.1 施工控制网</w:t>
      </w:r>
    </w:p>
    <w:p w14:paraId="2BB3F6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9B66D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8.1.2 承包人应负责管理施工控制网点。施工控制网点丢失或损坏的，承包人应及时修复。承包人应承担施工控制网点的管理与修复费用，并在工程竣工后将施工控制网点移交发包人。</w:t>
      </w:r>
    </w:p>
    <w:p w14:paraId="290B140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8.2 施工测量</w:t>
      </w:r>
    </w:p>
    <w:p w14:paraId="237F5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8.2.1 承包人应负责施工过程中的全部施工测量放线工作，并配置合格的人员、仪器、设备和其他物品。</w:t>
      </w:r>
    </w:p>
    <w:p w14:paraId="2A99C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8.2.2 监理人可以指示承包人进行抽样复测，当复测中发现错误或出现超过合同约定的误差时，承包人应按监理人指示进行修正或补测，并承担相应的复测费用。</w:t>
      </w:r>
    </w:p>
    <w:p w14:paraId="162FB0A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8.3 基准资料错误的责任</w:t>
      </w:r>
    </w:p>
    <w:p w14:paraId="1CCC3E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235CD0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8.4 监理人使用施工控制网</w:t>
      </w:r>
    </w:p>
    <w:p w14:paraId="4153A0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监理人需要使用施工控制网的，承包人应提供必要的协助，发包人不再为此支付费用。</w:t>
      </w:r>
    </w:p>
    <w:p w14:paraId="123AB4F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40" w:name="_Toc224699383"/>
      <w:bookmarkStart w:id="141" w:name="_Toc196637775"/>
      <w:bookmarkStart w:id="142" w:name="_Toc184635106"/>
      <w:bookmarkStart w:id="143" w:name="_Toc196637421"/>
      <w:bookmarkStart w:id="144" w:name="_Toc196637657"/>
      <w:r>
        <w:rPr>
          <w:rFonts w:hint="eastAsia" w:ascii="宋体" w:hAnsi="宋体" w:eastAsia="宋体" w:cs="宋体"/>
          <w:color w:val="auto"/>
          <w:sz w:val="24"/>
          <w:szCs w:val="24"/>
        </w:rPr>
        <w:t>9．施工安全、治安保卫和环境保护</w:t>
      </w:r>
      <w:bookmarkEnd w:id="140"/>
      <w:bookmarkEnd w:id="141"/>
      <w:bookmarkEnd w:id="142"/>
      <w:bookmarkEnd w:id="143"/>
      <w:bookmarkEnd w:id="144"/>
    </w:p>
    <w:p w14:paraId="76111BE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9.1 发包人的施工安全责任</w:t>
      </w:r>
    </w:p>
    <w:p w14:paraId="740F06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9.1.1 发包人应按合同约定履行安全职责，授权监理人按合同约定的安全工作内容监督、检查承包人安全工作的实施，组织承包人和有关单位进行安全检查。</w:t>
      </w:r>
    </w:p>
    <w:p w14:paraId="0941D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9.1.2 发包人应对其现场机构雇佣的全部人员的工伤事故承担责任，但由于承包人原因造成发包人人员工伤的，应由承包人承担责任。</w:t>
      </w:r>
    </w:p>
    <w:p w14:paraId="75970D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9.1.3 发包人应负责赔偿以下各种情况造成的第三者人身伤亡和财产损失：</w:t>
      </w:r>
    </w:p>
    <w:p w14:paraId="2C84FF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(l）工程或工程的任何部分对土地的占用所造成的第三者财产损失；</w:t>
      </w:r>
    </w:p>
    <w:p w14:paraId="6FDC78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14:paraId="34F7995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9.2 承包人的施工安全责任</w:t>
      </w:r>
    </w:p>
    <w:p w14:paraId="04F67F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9.2.1 承包人应按合同约定履行安全职责，执行监理人有关安全工作的指示，并在专用合同条款约定的期限内，按合同约定的安全工作内容，编制施工安全措施计划报送监理人审批。</w:t>
      </w:r>
    </w:p>
    <w:p w14:paraId="655D5D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9.2.2 承包人应加强施工作业安全管理，特别应加强易燃、易爆材料、火工器材、有毒与腐蚀性材料和其他危险品的管理，以及对爆破作业和地下工程施工等危险作业的管理。</w:t>
      </w:r>
    </w:p>
    <w:p w14:paraId="24FD3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9.2.3 承包人应严格按照国家安全标准制定施工安全操作规程，配备必要的安全生产和劳动保护设施，加强对承包人人员的安全教育，并发放安全工作手册和劳动保护用具。</w:t>
      </w:r>
    </w:p>
    <w:p w14:paraId="7DBB7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9.2.4 承包人应按监理人的指示制定应对灾害的紧急预案，报送监理人审批。承包人还应按预案做好安全检查，配置必要的救助物资和器材，切实保护好有关人员的人身和财产安全。</w:t>
      </w:r>
    </w:p>
    <w:p w14:paraId="500F7D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12B6CB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9.2.6 承包人应对其履行合同所雇佣的全部人员，包括分包人人员的工伤事故承担责任，但由于发包人原因造成承包人人员工伤事故的，应由发包人承担责任。</w:t>
      </w:r>
    </w:p>
    <w:p w14:paraId="368C87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9.2.7 由于承包人原因在施工场地内及其毗邻地带造成的第三者人员伤亡和财产损失，由承包人负责赔偿。</w:t>
      </w:r>
    </w:p>
    <w:p w14:paraId="3DA172B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9.3 治安保卫</w:t>
      </w:r>
    </w:p>
    <w:p w14:paraId="035EE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9.3.1 除合同另有约定外，发包人应与当地公安部门协商，在现场建立治安管理机构或联防组织，统一管理施工场地的治安保卫事项，履行合同工程的治安保卫职责。</w:t>
      </w:r>
    </w:p>
    <w:p w14:paraId="4EEC3A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9.3.2 发包人和承包人除应协助现场治安管理机构或联防组织维护施工场地的社会治安外，还应做好包括生活区在内的各自管辖区的治安保卫工作。</w:t>
      </w:r>
    </w:p>
    <w:p w14:paraId="1A1E92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89C0AF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9.4 环境保护</w:t>
      </w:r>
    </w:p>
    <w:p w14:paraId="3C5EF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9.4.1 承包人在施工过程中，应遵守有关环境保护的法律，履行合同约定的环境保护义务，并对违反法律和合同约定义务所造成的环境破坏、人身伤害和财产损失负责。</w:t>
      </w:r>
    </w:p>
    <w:p w14:paraId="5E30C0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9.4.2 承包人应按合同约定的环保工作内容，编制施工环保措施计划，报送监理人审批。</w:t>
      </w:r>
    </w:p>
    <w:p w14:paraId="709FF8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1E68B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9.4.4 承包人应按合同约定采取有效措施，对施工开挖的边坡及时进行支护，维护排水设施，并进行水土保护，避免因施工造成的地质灾害。</w:t>
      </w:r>
    </w:p>
    <w:p w14:paraId="3A208E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9.4.5 承包人应按国家饮用水管理标准定期对饮用水源进行监测，防止施工活动污染饮用水源。</w:t>
      </w:r>
    </w:p>
    <w:p w14:paraId="568CB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9.4.6 承包人应按合同约定，加强对噪声、粉尘、废气、废水和废油的控制，努力降低噪声，控制粉尘和废气浓度，做好废水和废油的治理和排放。</w:t>
      </w:r>
    </w:p>
    <w:p w14:paraId="53696A4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9.5 事故处理</w:t>
      </w:r>
    </w:p>
    <w:p w14:paraId="1D68E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1131C72">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45" w:name="_Toc196637422"/>
      <w:bookmarkStart w:id="146" w:name="_Toc196637658"/>
      <w:bookmarkStart w:id="147" w:name="_Toc184635107"/>
      <w:bookmarkStart w:id="148" w:name="_Toc196637776"/>
      <w:bookmarkStart w:id="149" w:name="_Toc224699384"/>
      <w:r>
        <w:rPr>
          <w:rFonts w:hint="eastAsia" w:ascii="宋体" w:hAnsi="宋体" w:eastAsia="宋体" w:cs="宋体"/>
          <w:color w:val="auto"/>
          <w:sz w:val="24"/>
          <w:szCs w:val="24"/>
        </w:rPr>
        <w:t>10．进度计划</w:t>
      </w:r>
      <w:bookmarkEnd w:id="145"/>
      <w:bookmarkEnd w:id="146"/>
      <w:bookmarkEnd w:id="147"/>
      <w:bookmarkEnd w:id="148"/>
      <w:bookmarkEnd w:id="149"/>
    </w:p>
    <w:p w14:paraId="7CA23C2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10.1 合同进度计划</w:t>
      </w:r>
    </w:p>
    <w:p w14:paraId="0DC84C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2BA83C1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10.2 合同进度计划的修订</w:t>
      </w:r>
    </w:p>
    <w:p w14:paraId="044AF4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7440247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50" w:name="_Toc196637423"/>
      <w:bookmarkStart w:id="151" w:name="_Toc196637777"/>
      <w:bookmarkStart w:id="152" w:name="_Toc196637659"/>
      <w:bookmarkStart w:id="153" w:name="_Toc224699385"/>
      <w:bookmarkStart w:id="154" w:name="_Toc184635108"/>
      <w:r>
        <w:rPr>
          <w:rFonts w:hint="eastAsia" w:ascii="宋体" w:hAnsi="宋体" w:eastAsia="宋体" w:cs="宋体"/>
          <w:color w:val="auto"/>
          <w:sz w:val="24"/>
          <w:szCs w:val="24"/>
        </w:rPr>
        <w:t>11、开工和竣工</w:t>
      </w:r>
      <w:bookmarkEnd w:id="150"/>
      <w:bookmarkEnd w:id="151"/>
      <w:bookmarkEnd w:id="152"/>
      <w:bookmarkEnd w:id="153"/>
      <w:bookmarkEnd w:id="154"/>
    </w:p>
    <w:p w14:paraId="3505EE1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11.1 开工</w:t>
      </w:r>
    </w:p>
    <w:p w14:paraId="19DB77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监理人应在开工日期7 天前向承包人发出开工通知。监理人在发出开工通知前应获得发包人同意。工期自监理人发出的开工通知中载明的开工日期起计算。承包人应在开工日期后尽快施工。</w:t>
      </w:r>
    </w:p>
    <w:p w14:paraId="3CECB3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EE0DD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 竣工</w:t>
      </w:r>
    </w:p>
    <w:p w14:paraId="60679B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承包人应在第1.1.4.3 目约定的期限内完成合同工程。实际竣工日期在接收证书中写明。</w:t>
      </w:r>
    </w:p>
    <w:p w14:paraId="51A6DA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11.3 发包人的工期延误</w:t>
      </w:r>
    </w:p>
    <w:p w14:paraId="679E8C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在履行合同过程中，由于发包人的下列原因造成工期延误的，承包人有权要求发包人延长工期和（或）增加费用，并支付合理利润。需要修订合同进度计划的，按照第10.2 款的约定办理。</w:t>
      </w:r>
    </w:p>
    <w:p w14:paraId="6663DF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(l）增加合同工作内容；</w:t>
      </w:r>
    </w:p>
    <w:p w14:paraId="434A8F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(2）改变合同中任何一项工作的质量要求或其他特性；</w:t>
      </w:r>
    </w:p>
    <w:p w14:paraId="3ABE04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(3）发包人迟延提供材料、工程设备或变更交货地点的；</w:t>
      </w:r>
    </w:p>
    <w:p w14:paraId="1EC098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(4）因发包人原因导致的暂停施工；</w:t>
      </w:r>
    </w:p>
    <w:p w14:paraId="6B44FE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(5）提供图纸延误；</w:t>
      </w:r>
    </w:p>
    <w:p w14:paraId="6AC072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(6）未按合同约定及时支付预付款、进度款；</w:t>
      </w:r>
    </w:p>
    <w:p w14:paraId="5B7FF2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(7）发包人造成工期延误的其他原因。</w:t>
      </w:r>
    </w:p>
    <w:p w14:paraId="245CBDF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11.4 异常恶劣的气候条件</w:t>
      </w:r>
    </w:p>
    <w:p w14:paraId="254352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由于出现专用合同条款规定的异常恶劣气候的条件导致工期延误的，承包人有权要求发包人延长工期。</w:t>
      </w:r>
    </w:p>
    <w:p w14:paraId="64393B9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11.5 承包人的工期延误</w:t>
      </w:r>
    </w:p>
    <w:p w14:paraId="6D35EE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0E003CC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11.6 工期提前</w:t>
      </w:r>
    </w:p>
    <w:p w14:paraId="496A97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08F82E9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55" w:name="_Toc224699386"/>
      <w:bookmarkStart w:id="156" w:name="_Toc184635109"/>
      <w:bookmarkStart w:id="157" w:name="_Toc196637778"/>
      <w:bookmarkStart w:id="158" w:name="_Toc196637660"/>
      <w:bookmarkStart w:id="159" w:name="_Toc196637424"/>
      <w:r>
        <w:rPr>
          <w:rFonts w:hint="eastAsia" w:ascii="宋体" w:hAnsi="宋体" w:eastAsia="宋体" w:cs="宋体"/>
          <w:color w:val="auto"/>
          <w:sz w:val="24"/>
          <w:szCs w:val="24"/>
        </w:rPr>
        <w:t>12．暂停施工</w:t>
      </w:r>
      <w:bookmarkEnd w:id="155"/>
      <w:bookmarkEnd w:id="156"/>
      <w:bookmarkEnd w:id="157"/>
      <w:bookmarkEnd w:id="158"/>
      <w:bookmarkEnd w:id="159"/>
    </w:p>
    <w:p w14:paraId="071D4BE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12.1 承包人暂停施工的责任</w:t>
      </w:r>
    </w:p>
    <w:p w14:paraId="0D8FDD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因下列暂停施工增加的费用和（或）工期延误由承包人承担：</w:t>
      </w:r>
    </w:p>
    <w:p w14:paraId="56C162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(1）承包人违约引起的暂停施工；</w:t>
      </w:r>
    </w:p>
    <w:p w14:paraId="544539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(2）由于承包人原因为工程合理施工和安全保障所必需的暂停施工；</w:t>
      </w:r>
    </w:p>
    <w:p w14:paraId="5E251F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(3）承包人擅自暂停施工；</w:t>
      </w:r>
    </w:p>
    <w:p w14:paraId="5764FE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(4）承包人其他原因引起的暂停施工；</w:t>
      </w:r>
    </w:p>
    <w:p w14:paraId="04EC6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(5）专用合同条款约定由承包人承担的其他暂停施工。</w:t>
      </w:r>
    </w:p>
    <w:p w14:paraId="4E30E8D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12.2 发包人暂停施工的责任</w:t>
      </w:r>
    </w:p>
    <w:p w14:paraId="3F3AED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由于发包人原因引起的暂停施工造成工期延误的，承包人有权要求发包人延长工期和（或）增加费用，并支付合理利润。</w:t>
      </w:r>
    </w:p>
    <w:p w14:paraId="2240B8A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12.3 监理人暂停施工指示</w:t>
      </w:r>
    </w:p>
    <w:p w14:paraId="5C19E7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12.3.1 监理人认为有必要时，可向承包人作出暂停施工的指示，承包人应按监理人指示暂停施工。不论由于何种原因引起的暂停施工，暂停施工期间承包人应负责妥善保护工程并提供安全保障。</w:t>
      </w:r>
    </w:p>
    <w:p w14:paraId="60F086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A31879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12.4 暂停施工后的复工</w:t>
      </w:r>
    </w:p>
    <w:p w14:paraId="712507D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5FCDA3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12.4.2 承包人无故拖延和拒绝复工的，由此增加的费用和工期延误由承包人承担；因发包人原因无法按时复工的，承包人有权要求发包人延长工期和（或）增加费用，并支付合理利润。</w:t>
      </w:r>
    </w:p>
    <w:p w14:paraId="1305771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12.5 暂停施工持续56 天以上</w:t>
      </w:r>
    </w:p>
    <w:p w14:paraId="2D196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72F3C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12.5.2 由于承包人责任引起的暂停施工，如承包人在收到监理人暂停施工指示后56 天内不认真采取有效的复工措施，造成工期延误，可视为承包人违约，应按第22.1 款的规定办理。</w:t>
      </w:r>
    </w:p>
    <w:p w14:paraId="471156B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60" w:name="_Toc184635110"/>
      <w:bookmarkStart w:id="161" w:name="_Toc196637661"/>
      <w:bookmarkStart w:id="162" w:name="_Toc224699387"/>
      <w:bookmarkStart w:id="163" w:name="_Toc196637779"/>
      <w:bookmarkStart w:id="164" w:name="_Toc196637425"/>
      <w:r>
        <w:rPr>
          <w:rFonts w:hint="eastAsia" w:ascii="宋体" w:hAnsi="宋体" w:eastAsia="宋体" w:cs="宋体"/>
          <w:color w:val="auto"/>
          <w:sz w:val="24"/>
          <w:szCs w:val="24"/>
        </w:rPr>
        <w:t>13．工程质量</w:t>
      </w:r>
      <w:bookmarkEnd w:id="160"/>
      <w:bookmarkEnd w:id="161"/>
      <w:bookmarkEnd w:id="162"/>
      <w:bookmarkEnd w:id="163"/>
      <w:bookmarkEnd w:id="164"/>
    </w:p>
    <w:p w14:paraId="421511A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13.1 工程质量要求</w:t>
      </w:r>
    </w:p>
    <w:p w14:paraId="060BE4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13.1.1 工程质量验收按合同约定验收标准执行。</w:t>
      </w:r>
    </w:p>
    <w:p w14:paraId="4693AA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13.1.2 因承包人原因造成工程质量达不到合同约定验收标准的，监理人有权要求承包人返工直至符合合同要求为止，由此造成的费用增加和（或）工期延误由承包人承担。</w:t>
      </w:r>
    </w:p>
    <w:p w14:paraId="41477D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13.1.3 因发包人原因造成工程质量达不到合同约定验收标准的，发包人应承担由于承包人返工造成的费用增加和（或）工期延误，并支付承包人合理利润。</w:t>
      </w:r>
    </w:p>
    <w:p w14:paraId="2100E6A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13.2 承包人的质量管理</w:t>
      </w:r>
    </w:p>
    <w:p w14:paraId="44A889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68B014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13.2.2 承包人应加强对施工人员的质量教育和技术培训，定期考核施工人员的劳动技能，严格执行规范和操作规程。</w:t>
      </w:r>
    </w:p>
    <w:p w14:paraId="5234A07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13.3 承包人的质量检查</w:t>
      </w:r>
    </w:p>
    <w:p w14:paraId="5380A7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承包人应按合同约定对材料、工程设备以及工程的所有部位及其施工工艺进行全过程的质量检查和检验，并作详细记录，编制工程质量报表，报送监理人审查。</w:t>
      </w:r>
    </w:p>
    <w:p w14:paraId="7D57381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13.4 监理人的质量检查</w:t>
      </w:r>
    </w:p>
    <w:p w14:paraId="133CA2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04BC58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13.5 工程隐蔽部位覆盖前的检查</w:t>
      </w:r>
    </w:p>
    <w:p w14:paraId="677C0F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13.5.1 通知监理人检查</w:t>
      </w:r>
    </w:p>
    <w:p w14:paraId="2FD9DA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2AE69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13.5.2 监理人未到场检查</w:t>
      </w:r>
    </w:p>
    <w:p w14:paraId="6189D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监理人未按第13.5.l 项约定的时间进行检查的，除监理人另有指示外，承包人可自行完成覆盖工作，并作相应记录报送监理人，监理人应签字确认。监理人事后对检查记录有疑问的，可按第 13.5.3 项的约定重新检查。</w:t>
      </w:r>
    </w:p>
    <w:p w14:paraId="41E45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13.5.3 监理人重新检查</w:t>
      </w:r>
    </w:p>
    <w:p w14:paraId="2DFB86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DC07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13.5.4 承包人私自覆盖</w:t>
      </w:r>
    </w:p>
    <w:p w14:paraId="55DF7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承包人未通知监理人到场检查，私自将工程隐蔽部位覆盖的，监理人有权指示承包人钻孔探测或揭开检查，由此增加的费用和（或）工期延误由承包人承担。</w:t>
      </w:r>
    </w:p>
    <w:p w14:paraId="7B498D4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13.6 清除不合格工程</w:t>
      </w:r>
    </w:p>
    <w:p w14:paraId="48C89F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D012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13.6.2 由于发包人提供的材料或工程设备不合格造成的工程不合格，需要承包人采取措施补救的，发包人应承担由此增加的费用和（或）工期延误，并支付承包人合理利润。</w:t>
      </w:r>
    </w:p>
    <w:p w14:paraId="3439668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65" w:name="_Toc196637426"/>
      <w:bookmarkStart w:id="166" w:name="_Toc224699388"/>
      <w:bookmarkStart w:id="167" w:name="_Toc184635111"/>
      <w:bookmarkStart w:id="168" w:name="_Toc196637780"/>
      <w:bookmarkStart w:id="169" w:name="_Toc196637662"/>
      <w:r>
        <w:rPr>
          <w:rFonts w:hint="eastAsia" w:ascii="宋体" w:hAnsi="宋体" w:eastAsia="宋体" w:cs="宋体"/>
          <w:color w:val="auto"/>
          <w:sz w:val="24"/>
          <w:szCs w:val="24"/>
        </w:rPr>
        <w:t>14．试验和检验</w:t>
      </w:r>
      <w:bookmarkEnd w:id="165"/>
      <w:bookmarkEnd w:id="166"/>
      <w:bookmarkEnd w:id="167"/>
      <w:bookmarkEnd w:id="168"/>
      <w:bookmarkEnd w:id="169"/>
    </w:p>
    <w:p w14:paraId="403628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14.1 材料、工程设备和工程的试验和检验</w:t>
      </w:r>
    </w:p>
    <w:p w14:paraId="269C57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677C2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14.1.2 监理人未按合同约定派员参加试验和检验的，除监理人另有指示外，承包人可自行试验和检验，并应立即将试验和检验结果报送监理人，监理人应签字确认。</w:t>
      </w:r>
    </w:p>
    <w:p w14:paraId="7C63B2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9DDCBD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14.2 现场材料试验</w:t>
      </w:r>
    </w:p>
    <w:p w14:paraId="1E5120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14.2.1 承包人根据合同约定或监理人指示进行的现场材料试验，应由承包人提供试验场所、试验人员、试验设备器材以及其他必要的试验条件。</w:t>
      </w:r>
    </w:p>
    <w:p w14:paraId="23BC92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14.2.2 监理人在必要时可以使用承包人的试验场所、试验设备器材以及其他试验条件，进行以工程质量检查为目的的复核性材料试验，承包人应予以协助。</w:t>
      </w:r>
    </w:p>
    <w:p w14:paraId="6456E89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14.3 现场工艺试验</w:t>
      </w:r>
    </w:p>
    <w:p w14:paraId="51E0E8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4B01C75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70" w:name="_Toc224699389"/>
      <w:bookmarkStart w:id="171" w:name="_Toc196637663"/>
      <w:bookmarkStart w:id="172" w:name="_Toc196637427"/>
      <w:bookmarkStart w:id="173" w:name="_Toc196637781"/>
      <w:bookmarkStart w:id="174" w:name="_Toc184635112"/>
      <w:r>
        <w:rPr>
          <w:rFonts w:hint="eastAsia" w:ascii="宋体" w:hAnsi="宋体" w:eastAsia="宋体" w:cs="宋体"/>
          <w:color w:val="auto"/>
          <w:sz w:val="24"/>
          <w:szCs w:val="24"/>
        </w:rPr>
        <w:t>15．变更</w:t>
      </w:r>
      <w:bookmarkEnd w:id="170"/>
      <w:bookmarkEnd w:id="171"/>
      <w:bookmarkEnd w:id="172"/>
      <w:bookmarkEnd w:id="173"/>
      <w:bookmarkEnd w:id="174"/>
    </w:p>
    <w:p w14:paraId="737697B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15.1 变更的范围和内容</w:t>
      </w:r>
    </w:p>
    <w:p w14:paraId="673171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除专用合同条款另有约定外，在履行合同中发生以下情形之一，应按照本条规定进行变更。</w:t>
      </w:r>
    </w:p>
    <w:p w14:paraId="5C5B06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(1）取消合同中任何一项工作，但被取消的工作不能转由发包人或其他人实施；</w:t>
      </w:r>
    </w:p>
    <w:p w14:paraId="2E181C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(2）改变合同中任何一项工作的质量或其他特性；</w:t>
      </w:r>
    </w:p>
    <w:p w14:paraId="24FA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(3）改变合同工程的基线、标高、位置或尺寸；</w:t>
      </w:r>
    </w:p>
    <w:p w14:paraId="2DA4F1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(4）改变合同中任何一项工作的施工时间或改变已批准的施工工艺或顺序；</w:t>
      </w:r>
    </w:p>
    <w:p w14:paraId="637D6A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(5）为完成工程需要追加的额外工作。</w:t>
      </w:r>
    </w:p>
    <w:p w14:paraId="271D19E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15.2 变更权</w:t>
      </w:r>
    </w:p>
    <w:p w14:paraId="6AB00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在履行合同过程中，经发包人同意，监理人可按第15.3 款约定的变更程序向承包人作出变更指示，承包人应遵照执行。没有监理人的变更指示，承包人不得擅自变更。</w:t>
      </w:r>
    </w:p>
    <w:p w14:paraId="01102D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15.3 变更程序</w:t>
      </w:r>
    </w:p>
    <w:p w14:paraId="4D0C66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15.3.1变更的提出</w:t>
      </w:r>
    </w:p>
    <w:p w14:paraId="13E3EF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3BB0B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(2）在合同履行过程中，发生第15.1 款约定情形的，监理人应按照第15.3.3 项约定向承包人发出变更指示。</w:t>
      </w:r>
    </w:p>
    <w:p w14:paraId="28554D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515316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14:paraId="1AA8C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15.3.2 变更估价</w:t>
      </w:r>
    </w:p>
    <w:p w14:paraId="71941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37D567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(2）变更工作影响工期的，承包人应提出调整工期的具体细节。监理人认为有必要时，可要求承包人提交要求提前或延长工期的施工进度计划及相应施工措施等详细资料。</w:t>
      </w:r>
    </w:p>
    <w:p w14:paraId="783BAC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(3）除专用合同条款对期限另有约定外，监理人收到承包人变更报价书后的14 天内，根据第15.4 款约定的估价原则，按照第3.5 款商定或确定变更价格。</w:t>
      </w:r>
    </w:p>
    <w:p w14:paraId="577B57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15.3.3 变更指示</w:t>
      </w:r>
    </w:p>
    <w:p w14:paraId="4078CD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(l）变更指示只能由监理人发出。</w:t>
      </w:r>
    </w:p>
    <w:p w14:paraId="2D6595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(2）变更指示应说明变更的目的、范围、变更内容以及变更的工程量及其进度和技术要求，并附有关图纸和文件。承包人收到变更指示后，应按变更指示进行变更工作。</w:t>
      </w:r>
    </w:p>
    <w:p w14:paraId="246B836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15.4 变更的估价原则</w:t>
      </w:r>
    </w:p>
    <w:p w14:paraId="50F570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CF4918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15.5 承包人的合理化建议</w:t>
      </w:r>
    </w:p>
    <w:p w14:paraId="0EDA2D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2C4F2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15.5.2 承包人提出的合理化建议降低了合同价格、缩短了工期或者提高了工程经济效益的，发包人可按国家有关规定在专用合同条款中约定给予奖励。</w:t>
      </w:r>
    </w:p>
    <w:p w14:paraId="49EDC90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15.6 暂列金额</w:t>
      </w:r>
    </w:p>
    <w:p w14:paraId="2687C8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本条不适用于本工程。</w:t>
      </w:r>
    </w:p>
    <w:p w14:paraId="5C0CA6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15.7 计日工</w:t>
      </w:r>
    </w:p>
    <w:p w14:paraId="4B6957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本条不适用于本工程。</w:t>
      </w:r>
    </w:p>
    <w:p w14:paraId="52D3608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15.8 暂估价</w:t>
      </w:r>
    </w:p>
    <w:p w14:paraId="1CFECD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15.8.1 发包人给定暂估价的材料、工程设备属于依法必须招标的范围并达到规定的规模标准的，由发包人和承包人以招标的方式选择供应商或分包人。发包人和承包人的权利义务关系在专用合同条款中约定。中标金额与暂估价的金额差以及相应的税金等其他费用列入合同价格。</w:t>
      </w:r>
    </w:p>
    <w:p w14:paraId="433151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15.8.2 发包人给定暂估价的材料和工程设备不属于依法必须招标的范围或未达到规定的规模标准的，应由承包人按第5.1 款的约定提供。经监理人确认的材料、工程设备的价格与暂估价的金额差以及相应的税金等其他费用列入合同价格。</w:t>
      </w:r>
    </w:p>
    <w:p w14:paraId="53FAEE3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75" w:name="_Toc196637428"/>
      <w:bookmarkStart w:id="176" w:name="_Toc224699390"/>
      <w:bookmarkStart w:id="177" w:name="_Toc184635113"/>
      <w:bookmarkStart w:id="178" w:name="_Toc196637664"/>
      <w:bookmarkStart w:id="179" w:name="_Toc196637782"/>
      <w:r>
        <w:rPr>
          <w:rFonts w:hint="eastAsia" w:ascii="宋体" w:hAnsi="宋体" w:eastAsia="宋体" w:cs="宋体"/>
          <w:color w:val="auto"/>
          <w:sz w:val="24"/>
          <w:szCs w:val="24"/>
        </w:rPr>
        <w:t>16．价格调整</w:t>
      </w:r>
      <w:bookmarkEnd w:id="175"/>
      <w:bookmarkEnd w:id="176"/>
      <w:bookmarkEnd w:id="177"/>
      <w:bookmarkEnd w:id="178"/>
      <w:bookmarkEnd w:id="179"/>
    </w:p>
    <w:p w14:paraId="2A62618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16.1 物价波动引起的价格调整</w:t>
      </w:r>
    </w:p>
    <w:p w14:paraId="61C6C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72DF77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16.2 法律变化引起的价格调整</w:t>
      </w:r>
    </w:p>
    <w:p w14:paraId="08F868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68B23A4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80" w:name="_Toc196637429"/>
      <w:bookmarkStart w:id="181" w:name="_Toc196637783"/>
      <w:bookmarkStart w:id="182" w:name="_Toc196637665"/>
      <w:bookmarkStart w:id="183" w:name="_Toc184635114"/>
      <w:bookmarkStart w:id="184" w:name="_Toc224699391"/>
      <w:r>
        <w:rPr>
          <w:rFonts w:hint="eastAsia" w:ascii="宋体" w:hAnsi="宋体" w:eastAsia="宋体" w:cs="宋体"/>
          <w:color w:val="auto"/>
          <w:sz w:val="24"/>
          <w:szCs w:val="24"/>
        </w:rPr>
        <w:t>17．计量与支付</w:t>
      </w:r>
      <w:bookmarkEnd w:id="180"/>
      <w:bookmarkEnd w:id="181"/>
      <w:bookmarkEnd w:id="182"/>
      <w:bookmarkEnd w:id="183"/>
      <w:bookmarkEnd w:id="184"/>
    </w:p>
    <w:p w14:paraId="0D02415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17.1 计量</w:t>
      </w:r>
    </w:p>
    <w:p w14:paraId="74D1AF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3EDF57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17.2 预付款</w:t>
      </w:r>
    </w:p>
    <w:p w14:paraId="2BDD95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17.2.1 预付款</w:t>
      </w:r>
    </w:p>
    <w:p w14:paraId="6120A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预付款用于承包人为合同工程施工购置材料、工程设备、施工设备、修建临时设施以及组织施工队伍进场等。预付款的额度和预付办法在专用合同条款中约定。预付款必须专用于合同工程。</w:t>
      </w:r>
    </w:p>
    <w:p w14:paraId="39911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17.2.2 预付款保函</w:t>
      </w:r>
    </w:p>
    <w:p w14:paraId="0732EB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149B74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17.2.3 预付款的扣回与还清</w:t>
      </w:r>
    </w:p>
    <w:p w14:paraId="57959A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14:paraId="27F541D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17.3 工程进度付款</w:t>
      </w:r>
    </w:p>
    <w:p w14:paraId="4B5C0E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17.3.1 付款周期</w:t>
      </w:r>
    </w:p>
    <w:p w14:paraId="4296DC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付款周期同计量周期。</w:t>
      </w:r>
    </w:p>
    <w:p w14:paraId="57E2E6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17.3.2 进度付款申请单</w:t>
      </w:r>
    </w:p>
    <w:p w14:paraId="4E5646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F7E1A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(l）截至本次付款周期末已实施工程的价款；</w:t>
      </w:r>
    </w:p>
    <w:p w14:paraId="11DB15D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(2）根据第15条应增加和扣减的变更金额；</w:t>
      </w:r>
    </w:p>
    <w:p w14:paraId="7C47CD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(3）根据第23 条应增加和扣减的索赔金额；</w:t>
      </w:r>
    </w:p>
    <w:p w14:paraId="72BB6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(4）根据第17.2 款约定应支付的预付款和扣减的返还预付款；</w:t>
      </w:r>
    </w:p>
    <w:p w14:paraId="362BE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(5）根据第17.4.1 项约定应扣减的质量保证金；</w:t>
      </w:r>
    </w:p>
    <w:p w14:paraId="3E177E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(6）根据合同应增加和扣减的其他金额。</w:t>
      </w:r>
    </w:p>
    <w:p w14:paraId="148C5D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17.3.3 进度付款证书和支付时间</w:t>
      </w:r>
    </w:p>
    <w:p w14:paraId="6C9BC2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B18F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(2）发包人应在监理人收到进度付款申请单后的28 天内，将进度应付款支付给承包人。发包人不按期支付的，按专用合同条款的约定支付逾期付款违约金。</w:t>
      </w:r>
    </w:p>
    <w:p w14:paraId="4AB273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(3）监理人出具进度付款证书，不应视为监理人已同意、批准或接受了承包人完成的该部分工作。</w:t>
      </w:r>
    </w:p>
    <w:p w14:paraId="0E84B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(4）进度付款涉及政府投资资金的，按照国库集中支付等国家相关规定和专用合同条款的约定办理。</w:t>
      </w:r>
    </w:p>
    <w:p w14:paraId="27D5D1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17.3.4 工程进度付款的修正</w:t>
      </w:r>
    </w:p>
    <w:p w14:paraId="5FA4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4A4FB6F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17.4 质量保证金</w:t>
      </w:r>
    </w:p>
    <w:p w14:paraId="6AD7D8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081BBC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4FD58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71A7E02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17.5 竣工结算</w:t>
      </w:r>
    </w:p>
    <w:p w14:paraId="66AC6E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17.5.1 竣工付款申请单</w:t>
      </w:r>
    </w:p>
    <w:p w14:paraId="451B33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55521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(2）监理人对竣工付款申请单有异议的，有权要求承包人进行修正和提供补充资料。经监理人和承包人协商后，由承包人向监理人提交修正后的竣工付款申请单。</w:t>
      </w:r>
    </w:p>
    <w:p w14:paraId="3DE05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17.5.2 竣工付款证书及支付时间</w:t>
      </w:r>
    </w:p>
    <w:p w14:paraId="2F8146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DE197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(2）发包人应在监理人出具竣工付款证书后的14 天内，将应支付款支付给承包人。发包人不按期支付的，按第17.3.3(2）目的约定，将逾期付款违约金支付给承包人。</w:t>
      </w:r>
    </w:p>
    <w:p w14:paraId="364DD4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(3）承包人对发包人签认的竣工付款证书有异议的，发包人可出具竣工付款申请单中承包人已同意部分的临时付款证书。存在争议的部分，按第24条的约定办理。</w:t>
      </w:r>
    </w:p>
    <w:p w14:paraId="367ED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(4）竣工付款涉及政府投资资金的，按第17.3.3(4）目的约定办理。</w:t>
      </w:r>
    </w:p>
    <w:p w14:paraId="750E23A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17.6 最终结清</w:t>
      </w:r>
    </w:p>
    <w:p w14:paraId="28591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17.6.1 最终结清申请单</w:t>
      </w:r>
    </w:p>
    <w:p w14:paraId="3E914C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(1）缺陷责任期终止证书签发后，承包人可按专用合同条款约定的份数和期限向监理人提交最终结清申请单，并提供相关证明材料。</w:t>
      </w:r>
    </w:p>
    <w:p w14:paraId="3C83C7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(2）发包人对最终结清申请单内容有异议的，有权要求承包人进行修正和提供补充资料，由承包人向监理人提交修正后的最终结清申请单。</w:t>
      </w:r>
    </w:p>
    <w:p w14:paraId="45E38D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17.6.2 最终结清证书和支付时间</w:t>
      </w:r>
    </w:p>
    <w:p w14:paraId="443E5E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995D2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(2）发包人应在监理人出具最终结清证书后的14 天内，将应支付款支付给承包人。</w:t>
      </w:r>
    </w:p>
    <w:p w14:paraId="56C7D6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发包人不按期支付的，按第17.3.3(2）目的约定，将逾期付款违约金支付给承包人。</w:t>
      </w:r>
    </w:p>
    <w:p w14:paraId="7516B2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(3）承包人对发包人签认的最终结清证书有异议的，按第24条的约定办理。</w:t>
      </w:r>
    </w:p>
    <w:p w14:paraId="5E99FE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(4）最终结清付款涉及政府投资资金的，按第17.3.3(4）目的约定办理。</w:t>
      </w:r>
    </w:p>
    <w:p w14:paraId="19C6203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85" w:name="_Toc196637666"/>
      <w:bookmarkStart w:id="186" w:name="_Toc184635115"/>
      <w:bookmarkStart w:id="187" w:name="_Toc224699392"/>
      <w:bookmarkStart w:id="188" w:name="_Toc196637430"/>
      <w:bookmarkStart w:id="189" w:name="_Toc196637784"/>
      <w:r>
        <w:rPr>
          <w:rFonts w:hint="eastAsia" w:ascii="宋体" w:hAnsi="宋体" w:eastAsia="宋体" w:cs="宋体"/>
          <w:color w:val="auto"/>
          <w:sz w:val="24"/>
          <w:szCs w:val="24"/>
        </w:rPr>
        <w:t>18．竣工验收</w:t>
      </w:r>
      <w:bookmarkEnd w:id="185"/>
      <w:bookmarkEnd w:id="186"/>
      <w:bookmarkEnd w:id="187"/>
      <w:bookmarkEnd w:id="188"/>
      <w:bookmarkEnd w:id="189"/>
    </w:p>
    <w:p w14:paraId="7728B51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18.1 竣工验收的含义</w:t>
      </w:r>
    </w:p>
    <w:p w14:paraId="796E2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18.1.1 竣工验收指承包人完成了全部合同工作后，发包人按合同要求进行的验收。</w:t>
      </w:r>
    </w:p>
    <w:p w14:paraId="3936706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18.1.2 国家验收是政府有关部门根据法律、规范、规程和政策要求，针对发包人全面组织实施的整个工程正式交付投运前的验收。</w:t>
      </w:r>
    </w:p>
    <w:p w14:paraId="24B5AD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18.1.3 需要进行国家验收的，竣工验收是国家验收的一部分。竣工验收所采用的各项验收和评定标准应符合国家验收标准。发包人和承包人为竣工验收提供的各项竣工验收资料应符合国家验收的要求。</w:t>
      </w:r>
    </w:p>
    <w:p w14:paraId="514B614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18.2 竣工验收申请报告</w:t>
      </w:r>
    </w:p>
    <w:p w14:paraId="6A114F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当工程具备以下条件时，承包人即可向监理人报送竣工验收申请报告：</w:t>
      </w:r>
    </w:p>
    <w:p w14:paraId="091DCE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14:paraId="0E557F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(2）已按合同约定的内容和份数备齐了符合要求的竣工资料；</w:t>
      </w:r>
    </w:p>
    <w:p w14:paraId="7DDE4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(3）已按监理人的要求编制了在缺陷责任期内完成的尾工（甩项）工程和缺陷修补工作清单以及相应施工计划；</w:t>
      </w:r>
    </w:p>
    <w:p w14:paraId="764D29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(4）监理人要求在竣工验收前应完成的其他工作：</w:t>
      </w:r>
    </w:p>
    <w:p w14:paraId="03F37F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(5）监理人要求提交的竣工验收资料清单。</w:t>
      </w:r>
    </w:p>
    <w:p w14:paraId="29FCECC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18.3 验收</w:t>
      </w:r>
    </w:p>
    <w:p w14:paraId="38BF55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监理人收到承包人按第18.2 款约定提交的竣工验收申请报告后，应审查申请报告的各项内容，并按以下不同情况进行处理。</w:t>
      </w:r>
    </w:p>
    <w:p w14:paraId="512453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69E5D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18.3.2 监理人审查后认为已具备竣工验收条件的，应在收到竣工验收申请报告后的28天内提请发包人进行工程验收。</w:t>
      </w:r>
    </w:p>
    <w:p w14:paraId="32715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2AC95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14:paraId="36BBC3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18.3.5 除专用合同条款另有约定外，经验收合格工程的实际竣工日期，以提交竣工验收申请报告的日期为准，并在工程接收证书中写明。</w:t>
      </w:r>
    </w:p>
    <w:p w14:paraId="514C4F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18.3.6 发包人在收到承包人竣工验收申请报告56 天后未进行验收的，视为验收合格，实际竣工日期以提交竣工验收申请报告的日期为准，但发包人由于不可抗力不能进行验收的除外。</w:t>
      </w:r>
    </w:p>
    <w:p w14:paraId="425E089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18.4 单位工程验收</w:t>
      </w:r>
    </w:p>
    <w:p w14:paraId="652D7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18.4.1 发包人根据合同进度计划安排，在全部工程竣工前需要使用已经竣工的单位工程时，或承包人提出经发包人同意时，可进行单位工程验收。验收的程序可参照第18.2 款与第18.3 款的约定进行。验收合格后，由监理人向承包人出具经发包人签认的单位工程验收证书。已签发单位工程接收证书的单位工程由发包人负责照管。单位工程的验收成果和结论作为全部工程竣上验收申请报告的附件。</w:t>
      </w:r>
    </w:p>
    <w:p w14:paraId="064884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18.4.2 发包人在全部工程竣工前，使用已接收的单位工程导致承包人费用增加的，发包人应承担由此增加的费用和（或）工期延误，并支付承包人合理利润。</w:t>
      </w:r>
    </w:p>
    <w:p w14:paraId="62BB9E6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18.5 施工期运行</w:t>
      </w:r>
    </w:p>
    <w:p w14:paraId="1367A6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18.5.1 施工期运行是指合同工程尚未全部竣工，其中某项或某几项单位工程或工程设备安装已竣工，根据专用合同条款约定，需要投入施工期运行的，经发包人按第18.4 款的约定验收合格，证明能确保安全后，才能在施工期投入运行。</w:t>
      </w:r>
    </w:p>
    <w:p w14:paraId="12E36D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18.5.2 在施工期运行中发现工程或工程设备损坏或存在缺陷的，由承包人按第19.2 款约定进行修复。</w:t>
      </w:r>
    </w:p>
    <w:p w14:paraId="5AA989E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18.6 试运行</w:t>
      </w:r>
    </w:p>
    <w:p w14:paraId="580F3E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18.6.1 除专用合同条款另有约定外，承包人应按专用合同条款约定进行工程及工程设备试运行，负责提供试运行所需的人员、器材和必要的条件，并承担全部试运行费用。</w:t>
      </w:r>
    </w:p>
    <w:p w14:paraId="64C177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7C35F4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18.7 竣工清场</w:t>
      </w:r>
    </w:p>
    <w:p w14:paraId="091290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 除合同另有约定外，工程接收证书颁发后，承包人应按以下要求对施工场地进行清理，直至监理人检验合格为止。竣工清场费用由承包人承担。</w:t>
      </w:r>
    </w:p>
    <w:p w14:paraId="40252C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(1）施工场地内残留的垃圾已全部清除出场；</w:t>
      </w:r>
    </w:p>
    <w:p w14:paraId="61CB79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(2）临时工程已拆除，场地已按合同要求进行清理、平整或复原；</w:t>
      </w:r>
    </w:p>
    <w:p w14:paraId="106BF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(3）按合同约定应撤离的承包人设备和剩余的材料，包括废弃的施工设备和材料，已按计划撤离施工场地；</w:t>
      </w:r>
    </w:p>
    <w:p w14:paraId="155464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(4）工程建筑物周边及其附近道路、河道的施工堆积物，已按监理人指示全部清理；</w:t>
      </w:r>
    </w:p>
    <w:p w14:paraId="38552A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(5）监理人指示的其他场地清理工作已全部完成。</w:t>
      </w:r>
    </w:p>
    <w:p w14:paraId="56F17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18.7.2 承包人未按监理人的要求恢复临时占地，或者场地清理未达到合同约定的，发包人有权委托其他人恢复或清理，所发生的金额从拟支付给承包人的款项中扣除。</w:t>
      </w:r>
    </w:p>
    <w:p w14:paraId="69C9264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18.8 施工队伍的撤离</w:t>
      </w:r>
    </w:p>
    <w:p w14:paraId="7D9FA7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EDE660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90" w:name="_Toc184635116"/>
      <w:bookmarkStart w:id="191" w:name="_Toc196637431"/>
      <w:bookmarkStart w:id="192" w:name="_Toc224699393"/>
      <w:bookmarkStart w:id="193" w:name="_Toc196637785"/>
      <w:bookmarkStart w:id="194" w:name="_Toc196637667"/>
      <w:r>
        <w:rPr>
          <w:rFonts w:hint="eastAsia" w:ascii="宋体" w:hAnsi="宋体" w:eastAsia="宋体" w:cs="宋体"/>
          <w:color w:val="auto"/>
          <w:sz w:val="24"/>
          <w:szCs w:val="24"/>
        </w:rPr>
        <w:t>19、缺陷责任与保修责任</w:t>
      </w:r>
      <w:bookmarkEnd w:id="190"/>
      <w:bookmarkEnd w:id="191"/>
      <w:bookmarkEnd w:id="192"/>
      <w:bookmarkEnd w:id="193"/>
      <w:bookmarkEnd w:id="194"/>
    </w:p>
    <w:p w14:paraId="5AE18AD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19.1 缺陷责任期的起算时间</w:t>
      </w:r>
    </w:p>
    <w:p w14:paraId="77309B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缺陷责任期自实际竣工日期起计算。在全部工程竣工验收前，已经发包人提前验收的单位工程，其缺陷责任期的起算日期相应提前。</w:t>
      </w:r>
    </w:p>
    <w:p w14:paraId="6949316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19.2 缺陷责任</w:t>
      </w:r>
    </w:p>
    <w:p w14:paraId="7D35F3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19.2.1 承包人应在缺陷责任期内对已交付使用的工程承担缺陷责任。</w:t>
      </w:r>
    </w:p>
    <w:p w14:paraId="6F3E21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ACD8C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22AAC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19.2.4 承包人不能在合理时间内修复缺陷的，发包人可自行修复或委托其他人修复，所需费用和利润的承担，按第19.2.3 项约定办理。</w:t>
      </w:r>
    </w:p>
    <w:p w14:paraId="0FD240C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19.3 缺陷责任期的延长</w:t>
      </w:r>
    </w:p>
    <w:p w14:paraId="0D785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75D4189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19.4 进一步试验和试运行</w:t>
      </w:r>
    </w:p>
    <w:p w14:paraId="4B8659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任何一项缺陷或损坏修复后，经检查证明其影响了工程或工程设备的使用性能，承包人应重新进行合同约定的试验和试运行，试验和试运行的全部费用应由责任方承担。</w:t>
      </w:r>
    </w:p>
    <w:p w14:paraId="1DA79F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19.5 承包人的进入权</w:t>
      </w:r>
    </w:p>
    <w:p w14:paraId="419E87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缺陷责任期内承包人为缺陷修复工作需要，有权进入工程现场，但应遵守发包人的保安和保密规定。</w:t>
      </w:r>
    </w:p>
    <w:p w14:paraId="20B2C1D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19.6 缺陷责任期终止证书</w:t>
      </w:r>
    </w:p>
    <w:p w14:paraId="4E8774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在第1.1.4.5目约定的缺陷责任期，包括根据第19.3款延长的期限终止后14天内，由监理人向承包人出具经发包人签认的缺陷责任期终止证书，并退还剩余的质量保证金。</w:t>
      </w:r>
    </w:p>
    <w:p w14:paraId="1200B1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19.7 保修责任</w:t>
      </w:r>
    </w:p>
    <w:p w14:paraId="471713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24E4A7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95" w:name="_Toc184635117"/>
      <w:bookmarkStart w:id="196" w:name="_Toc196637432"/>
      <w:bookmarkStart w:id="197" w:name="_Toc224699394"/>
      <w:bookmarkStart w:id="198" w:name="_Toc196637786"/>
      <w:bookmarkStart w:id="199" w:name="_Toc196637668"/>
      <w:r>
        <w:rPr>
          <w:rFonts w:hint="eastAsia" w:ascii="宋体" w:hAnsi="宋体" w:eastAsia="宋体" w:cs="宋体"/>
          <w:color w:val="auto"/>
          <w:sz w:val="24"/>
          <w:szCs w:val="24"/>
        </w:rPr>
        <w:t>20、保险</w:t>
      </w:r>
      <w:bookmarkEnd w:id="195"/>
      <w:bookmarkEnd w:id="196"/>
      <w:bookmarkEnd w:id="197"/>
      <w:bookmarkEnd w:id="198"/>
      <w:bookmarkEnd w:id="199"/>
    </w:p>
    <w:p w14:paraId="047DA1A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20.1 工程保险</w:t>
      </w:r>
    </w:p>
    <w:p w14:paraId="6C949C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98436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20.2 人员工伤事故的保险</w:t>
      </w:r>
    </w:p>
    <w:p w14:paraId="784AEA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20.2.1 承包人员工伤事故的保险</w:t>
      </w:r>
    </w:p>
    <w:p w14:paraId="3627D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承包人应依照有关法律规定参加工伤保险，为其履行合同所雇佣的全部人员，缴纳工伤保险费，并要求其分包人也进行此项保险。</w:t>
      </w:r>
    </w:p>
    <w:p w14:paraId="67C10C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20.2.2 发包人员工伤事故的保险</w:t>
      </w:r>
    </w:p>
    <w:p w14:paraId="653352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发包人应依照有关法律规定参加工伤保险，为其现场机构雇佣的全部人员，缴纳工伤保险费，并要求其监理人也进行此项保险。</w:t>
      </w:r>
    </w:p>
    <w:p w14:paraId="45CD0C5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20.3 人身意外伤害险</w:t>
      </w:r>
    </w:p>
    <w:p w14:paraId="106CDE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20.3.1 发包人应在整个施工期间为其现场机构雇用的全部人员，投保人身意外伤害险，缴纳保险费，并要求其监理人也进行此项保险。</w:t>
      </w:r>
    </w:p>
    <w:p w14:paraId="67FA9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20.3.2 承包人应在整个施工期间为其现场机构雇用的全部人员，投保人身意外伤害险，缴纳保险费，并要求其分包人也进行此项保险。</w:t>
      </w:r>
    </w:p>
    <w:p w14:paraId="4E982C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20.4 第三者责任险</w:t>
      </w:r>
    </w:p>
    <w:p w14:paraId="699B6D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7A464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20.4.2 在缺陷责任期终止证书颁发前，承包人应以承包人和发包人的共同名义，投保第20.4.1 项约定的第三者责任险，其保险费率、保险金额等有关内容在专用合同条款中约定。</w:t>
      </w:r>
    </w:p>
    <w:p w14:paraId="4E4A323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20.5 其他保险</w:t>
      </w:r>
    </w:p>
    <w:p w14:paraId="260463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除专用合同条款另有约定外，承包人应为其施工设备、进场的材料和工程设备等办理保险。</w:t>
      </w:r>
    </w:p>
    <w:p w14:paraId="02307F8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20.6 对各项保险的一般要求</w:t>
      </w:r>
    </w:p>
    <w:p w14:paraId="37EAA6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20.6.1 保险凭证</w:t>
      </w:r>
    </w:p>
    <w:p w14:paraId="5FAB47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承包人应在专用合同条款约定的期限内向发包人提交各项保险生效的证据和保险单副本，保险单必须与专用合同条款约定的条件保持一致。</w:t>
      </w:r>
    </w:p>
    <w:p w14:paraId="0A8470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20.6.2 保险合同条款的变动</w:t>
      </w:r>
    </w:p>
    <w:p w14:paraId="292FD3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承包人需要变动保险合同条款时，应事先征得发包人同意，并通知监理人。保险人作出变动的，承包人应在收到保险人通知后立即通知发包人和监理人。</w:t>
      </w:r>
    </w:p>
    <w:p w14:paraId="3CFF1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20.6.3 持续保险</w:t>
      </w:r>
    </w:p>
    <w:p w14:paraId="60A53D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承包人应与保险人保持联系，使保险人能够随时了解工程实施中的变动，并确保按保险合同条款要求持续保险。</w:t>
      </w:r>
    </w:p>
    <w:p w14:paraId="45E553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20.6.4 保险金不足的补偿</w:t>
      </w:r>
    </w:p>
    <w:p w14:paraId="6E469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保险金不足以补偿损失的，应由承包人和（或）发包人按合同约定负责补偿。</w:t>
      </w:r>
    </w:p>
    <w:p w14:paraId="07B492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20.6.5 未按约定投保的补救</w:t>
      </w:r>
    </w:p>
    <w:p w14:paraId="4D4D57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(l）由于负有投保义务的一方当事人未按合同约定办理保险，或未能使保险持续有效的，另一方当事人可代为办理，所需费用由对方当事人承担。</w:t>
      </w:r>
    </w:p>
    <w:p w14:paraId="7564A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(2）由于负有投保义务的一方当事人未按合同约定办理某项保险，导致受益人未能得到保险人的赔偿，原应从该项保险得到的保险金应由负有投保义务的一方当事人支付。</w:t>
      </w:r>
    </w:p>
    <w:p w14:paraId="484B79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20.6.6 报告义务</w:t>
      </w:r>
    </w:p>
    <w:p w14:paraId="0C6216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当保险事故发生时，投保人应按照保险单规定的条件和期限及时向保险人报告。</w:t>
      </w:r>
    </w:p>
    <w:p w14:paraId="6662687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200" w:name="_Toc224699395"/>
      <w:bookmarkStart w:id="201" w:name="_Toc196637787"/>
      <w:bookmarkStart w:id="202" w:name="_Toc196637433"/>
      <w:bookmarkStart w:id="203" w:name="_Toc184635118"/>
      <w:bookmarkStart w:id="204" w:name="_Toc196637669"/>
      <w:r>
        <w:rPr>
          <w:rFonts w:hint="eastAsia" w:ascii="宋体" w:hAnsi="宋体" w:eastAsia="宋体" w:cs="宋体"/>
          <w:color w:val="auto"/>
          <w:sz w:val="24"/>
          <w:szCs w:val="24"/>
        </w:rPr>
        <w:t>21、不可抗力</w:t>
      </w:r>
      <w:bookmarkEnd w:id="200"/>
      <w:bookmarkEnd w:id="201"/>
      <w:bookmarkEnd w:id="202"/>
      <w:bookmarkEnd w:id="203"/>
      <w:bookmarkEnd w:id="204"/>
    </w:p>
    <w:p w14:paraId="39D30AB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21.1 不可抗力的确认</w:t>
      </w:r>
    </w:p>
    <w:p w14:paraId="6306FF7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73BB6C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4FCA54A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21.2 不可抗力的通知</w:t>
      </w:r>
    </w:p>
    <w:p w14:paraId="1E332B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21.2.1 合同一方当事人遇到不可抗力事件，使其履行合同义务受到阻碍时，应立即通知合同另一方当事人和监理人，书面说明不可抗力和受阻碍的详细情况，并提供必要的证明。</w:t>
      </w:r>
    </w:p>
    <w:p w14:paraId="7206AB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14:paraId="34289E8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21.3 不可抗力后果及其处理</w:t>
      </w:r>
    </w:p>
    <w:p w14:paraId="62990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 不可抗力造成损害的责任</w:t>
      </w:r>
    </w:p>
    <w:p w14:paraId="2DFB4A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除专用合同条款另有约定外，不可抗力导致的人员伤亡、财产损失、费用增加和（或）工期延误等后果，由合同双方按以下原则承担：</w:t>
      </w:r>
    </w:p>
    <w:p w14:paraId="2AB64C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(1）永久工程，包括已运至施工场地的材料和工程设备的损害，以及因工程损害造成的第三者人员伤亡和财产损失由发包人承担；</w:t>
      </w:r>
    </w:p>
    <w:p w14:paraId="75FDE2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(2）承包人设备的损坏由承包人承担；</w:t>
      </w:r>
    </w:p>
    <w:p w14:paraId="670220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(3）发包人和承包人各自承担其人员伤亡和其他财产损失及其相关费用；</w:t>
      </w:r>
    </w:p>
    <w:p w14:paraId="66522F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(4）承包人的停工损失由承包人承担，但停工期间应监理人要求照管工程和清理、修复工程的金额由发包人承担；</w:t>
      </w:r>
    </w:p>
    <w:p w14:paraId="616A1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(5）不能按期竣工的，应合理延长工期，承包人不需支付逾期竣工违约金。发包人要求赶工的，承包人应采取赶工措施，赶工费用由发包人承担。</w:t>
      </w:r>
    </w:p>
    <w:p w14:paraId="0680C0E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21.3.2 延迟履行期间发生的不可抗力</w:t>
      </w:r>
    </w:p>
    <w:p w14:paraId="049FF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合同一方当事人延迟履行，在延迟履行期间发生不可抗力的，不免除其责任。</w:t>
      </w:r>
    </w:p>
    <w:p w14:paraId="70E91E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21.3.3 避免和减少不可抗力损失</w:t>
      </w:r>
    </w:p>
    <w:p w14:paraId="7A4A15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不可抗力发生后，发包人和承包人均应采取措施尽量避免和减少损失的扩大，任何一方没有采取有效措施导致损失扩大的，应对扩大的损失承担责任。</w:t>
      </w:r>
    </w:p>
    <w:p w14:paraId="530F70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21.3.4 因不可抗力解除合同</w:t>
      </w:r>
    </w:p>
    <w:p w14:paraId="148B87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2E81E5A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205" w:name="_Toc196637788"/>
      <w:bookmarkStart w:id="206" w:name="_Toc196637670"/>
      <w:bookmarkStart w:id="207" w:name="_Toc196637434"/>
      <w:bookmarkStart w:id="208" w:name="_Toc184635119"/>
      <w:bookmarkStart w:id="209" w:name="_Toc224699396"/>
      <w:r>
        <w:rPr>
          <w:rFonts w:hint="eastAsia" w:ascii="宋体" w:hAnsi="宋体" w:eastAsia="宋体" w:cs="宋体"/>
          <w:color w:val="auto"/>
          <w:sz w:val="24"/>
          <w:szCs w:val="24"/>
        </w:rPr>
        <w:t>22、违约</w:t>
      </w:r>
      <w:bookmarkEnd w:id="205"/>
      <w:bookmarkEnd w:id="206"/>
      <w:bookmarkEnd w:id="207"/>
      <w:bookmarkEnd w:id="208"/>
      <w:bookmarkEnd w:id="209"/>
    </w:p>
    <w:p w14:paraId="5A5A334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22.1 承包人违约</w:t>
      </w:r>
    </w:p>
    <w:p w14:paraId="5BB0AD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22.1.1 承包人违约的情形</w:t>
      </w:r>
    </w:p>
    <w:p w14:paraId="56DA9D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在履行合同过程中发生的下列情况属承包人违约：</w:t>
      </w:r>
    </w:p>
    <w:p w14:paraId="58F332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(1）承包人违反第1.8 款或第4.3 款的约定，私自将合同的全部或部分权利转让给其他人，或私自将合同的全部或部分义务转移给其他人；</w:t>
      </w:r>
    </w:p>
    <w:p w14:paraId="79B4D8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(2）承包人违反第5.3 款或第6.4 款的约定，未经监理人批准，私自将已按合同约定进入施工场地的施工设备、临时设施或材料撤离施工场地；</w:t>
      </w:r>
    </w:p>
    <w:p w14:paraId="745EC6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(3）承包人违反第5.4 款的约定使用了不合格材料或工程设备，工程质量达不到标准要求，又拒绝清除不合格工程；</w:t>
      </w:r>
    </w:p>
    <w:p w14:paraId="2437A3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(4）承包人未能按合同进度计划及时完成合同约定的工作，已造成或预期造成工期延误；</w:t>
      </w:r>
    </w:p>
    <w:p w14:paraId="6563B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(5）承包人在缺陷责任期内，未能对工程接收证书所列的缺陷清单的内容或缺陷责任期内发生的缺陷进行修复，而又拒绝按监理人指示再进行修补；</w:t>
      </w:r>
    </w:p>
    <w:p w14:paraId="21F2D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(6）承包人无法继续履行或明确表示不履行或实质上已停止履行合同；</w:t>
      </w:r>
    </w:p>
    <w:p w14:paraId="7A532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(7）承包人不按合同约定履行义务的其他情况。</w:t>
      </w:r>
    </w:p>
    <w:p w14:paraId="2E1105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22.1.2 对承包人违约的处理</w:t>
      </w:r>
    </w:p>
    <w:p w14:paraId="796CA6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(l）承包人发生第22.1.1(6）目约定的违约情况时，发包人可通知承包人立即解除合同，并按有关法律处理。</w:t>
      </w:r>
    </w:p>
    <w:p w14:paraId="15A2EF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(2）承包人发生除第22.1.1(6）目约定以外的其他违约情况时，监理人可向承包人发出整改通知，要求其在指定的期限内改正。承包人应承担其违约所引起的费用增加和（或）工期延误。</w:t>
      </w:r>
    </w:p>
    <w:p w14:paraId="587F8F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(3）经检查证明承包人已采取了有效措施纠正违约行为，具备复工条件的，可由监理人签发复工通知复工。</w:t>
      </w:r>
    </w:p>
    <w:p w14:paraId="34D4F2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22.1.3 承包人违约解除合同</w:t>
      </w:r>
    </w:p>
    <w:p w14:paraId="3FC2F3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183E3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22.1.4 合同解除后的估价、付款和结清</w:t>
      </w:r>
    </w:p>
    <w:p w14:paraId="6DD8B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(1）合同解除后，监理人按第3.5 款商定或确定承包人实际完成工作的价值，以及承包人已提供的材料、施工设备、工程设备和临时工程等的价值。</w:t>
      </w:r>
    </w:p>
    <w:p w14:paraId="5A734C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(2）合同解除后，发包人应暂停对承包人的一切付款，查清各项付款和已扣款金额，包括承包人应支付的违约金。</w:t>
      </w:r>
    </w:p>
    <w:p w14:paraId="7EFA7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(3）合同解除后，发包人应按第23.4 款的约定向承包人索赔由于解除合同给发包人造成的损失。</w:t>
      </w:r>
    </w:p>
    <w:p w14:paraId="13CCF5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(4）合同双方确认上述往来款项后，出具最终结清付款证书，结清全部合同款项。</w:t>
      </w:r>
    </w:p>
    <w:p w14:paraId="28874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(5）发包人和承包人未能就解除合同后的结清达成一致而形成争议的，按第24条的约定办理。</w:t>
      </w:r>
    </w:p>
    <w:p w14:paraId="50D2A2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22.1.5 协议利益的转让</w:t>
      </w:r>
    </w:p>
    <w:p w14:paraId="1632BF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因承包人违约解除合同的，发包人有权要求承包人将其为实施合同而签订的材料和设备的订货协议或任何服务协议利益转让给发包人，并在解除合同后的14天内，依法办理转让手续。</w:t>
      </w:r>
    </w:p>
    <w:p w14:paraId="7331EC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22.1.6 紧急情况下无能力或不愿进行抢救</w:t>
      </w:r>
    </w:p>
    <w:p w14:paraId="62780A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0480DB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22.2 发包人违约</w:t>
      </w:r>
    </w:p>
    <w:p w14:paraId="7EAAAC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22.2.1 发包人违约的情形</w:t>
      </w:r>
    </w:p>
    <w:p w14:paraId="6BBABB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在履行合同过程中发生的下列情形，属发包人违约：</w:t>
      </w:r>
    </w:p>
    <w:p w14:paraId="0E9CB6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(l）发包人未能按合同约定支付预付款或合同价款，或拖延、拒绝批准付款申请和支付凭证，导致付款延误的；</w:t>
      </w:r>
    </w:p>
    <w:p w14:paraId="54BC6B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(2）发包人原因造成停工的；</w:t>
      </w:r>
    </w:p>
    <w:p w14:paraId="27B140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(3）监理人无正当理由没有在约定期限内发出复工指示，导致承包人无法复工的；</w:t>
      </w:r>
    </w:p>
    <w:p w14:paraId="324A47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(4）发包人无法继续履行或明确表示不履行或实质上已停止履行合同的；</w:t>
      </w:r>
    </w:p>
    <w:p w14:paraId="1FA5AB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(5）发包人不履行合同约定其他义务的。</w:t>
      </w:r>
    </w:p>
    <w:p w14:paraId="0A2E6A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22.2.2 承包人有权暂停施工</w:t>
      </w:r>
    </w:p>
    <w:p w14:paraId="26BFF1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C3C5F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22.2.3 发包人违约解除合同</w:t>
      </w:r>
    </w:p>
    <w:p w14:paraId="0578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(1）发生第22.2.1(4）目的违约情况时，承包人可书面通知发包人解除合同。</w:t>
      </w:r>
    </w:p>
    <w:p w14:paraId="3291F8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09E782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22.2.4 解除合同后的付款</w:t>
      </w:r>
    </w:p>
    <w:p w14:paraId="7EBFE9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因发包人违约解除合同的，发包人应在解除合同后28天内向承包人支付下列金额，承包人应在此期限内及时向发包人提交要求支付下列金额的有关资料和凭证：</w:t>
      </w:r>
    </w:p>
    <w:p w14:paraId="556C3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(l）合同解除日以前所完成工作的价款；</w:t>
      </w:r>
    </w:p>
    <w:p w14:paraId="0E099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(2）承包人为该工程施工订购并已付款的材料、工程设备和其他物品的金额。发包人付还后，该材料、工程设备和其他物品归发包人所有；</w:t>
      </w:r>
    </w:p>
    <w:p w14:paraId="65EAC3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(3）承包人为完成工程所发生的，而发包人未支付的金额；</w:t>
      </w:r>
    </w:p>
    <w:p w14:paraId="17ED35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(4）承包人撤离施工场地以及遣散承包人人员的金额；</w:t>
      </w:r>
    </w:p>
    <w:p w14:paraId="659AF4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(5）由于解除合同应赔偿的承包人损失；</w:t>
      </w:r>
    </w:p>
    <w:p w14:paraId="4112DA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(6）按合同约定在合同解除日前应支付给承包人的其他金额。</w:t>
      </w:r>
    </w:p>
    <w:p w14:paraId="0C2D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发包人应按本项约定支付上述金额并退还质量保证金和履约担保，但有权要求承包人支付应偿还给发包人的各项金额。</w:t>
      </w:r>
    </w:p>
    <w:p w14:paraId="43C11F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22.2.5 解除合同后的承包人撤离</w:t>
      </w:r>
    </w:p>
    <w:p w14:paraId="76561E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因发包人违约而解除合同后，承包人应妥善做好已竣工工程和已购材料、设备的保护和移交工作，按发包人要求将承包人设备和人员撤出施工场地。承包人撤出施工场地应遵守第</w:t>
      </w:r>
    </w:p>
    <w:p w14:paraId="19D14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 项的约定，发包人应为承包人撤出提供必要条件。</w:t>
      </w:r>
    </w:p>
    <w:p w14:paraId="0C2D96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22.3 第三人造成的违约</w:t>
      </w:r>
    </w:p>
    <w:p w14:paraId="19E27E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14:paraId="0309BC8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210" w:name="_Toc224699397"/>
      <w:bookmarkStart w:id="211" w:name="_Toc196637789"/>
      <w:bookmarkStart w:id="212" w:name="_Toc184635120"/>
      <w:bookmarkStart w:id="213" w:name="_Toc196637435"/>
      <w:bookmarkStart w:id="214" w:name="_Toc196637671"/>
      <w:r>
        <w:rPr>
          <w:rFonts w:hint="eastAsia" w:ascii="宋体" w:hAnsi="宋体" w:eastAsia="宋体" w:cs="宋体"/>
          <w:color w:val="auto"/>
          <w:sz w:val="24"/>
          <w:szCs w:val="24"/>
        </w:rPr>
        <w:t>23、索赔</w:t>
      </w:r>
      <w:bookmarkEnd w:id="210"/>
      <w:bookmarkEnd w:id="211"/>
      <w:bookmarkEnd w:id="212"/>
      <w:bookmarkEnd w:id="213"/>
      <w:bookmarkEnd w:id="214"/>
    </w:p>
    <w:p w14:paraId="0866118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23.1 承包人索赔的提出</w:t>
      </w:r>
    </w:p>
    <w:p w14:paraId="3FE0E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14:paraId="4CB068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417041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(2）承包人应在发出索赔意向通知书后28天内，向监理人正式递交索赔通知书。索赔通知书应详细说明索赔理由以及要求追加的付款金额和（或）延长的工期，并附必要的记录和证明材料；</w:t>
      </w:r>
    </w:p>
    <w:p w14:paraId="140293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(3）索赔事件具有连续影响的，承包人应按合理时间间隔继续递交延续索赔通知，说明连续影响的实际情况和记录，列出累计的追加付款金额和（或）工期延长天数；</w:t>
      </w:r>
    </w:p>
    <w:p w14:paraId="3ED130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(4）在索赔事件影响结束后的28天内，承包人应向监理人递交最终索赔通知书，说明最终要求索赔的追加付款金额和延长的工期，并附必要的记录和证明材料。</w:t>
      </w:r>
    </w:p>
    <w:p w14:paraId="5AE0719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23.2 承包人索赔处理程序</w:t>
      </w:r>
    </w:p>
    <w:p w14:paraId="741066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(1）监理人收到承包人提交的索赔通知书后，应及时审查索赔通知书的内容、查验承包人的记录和证明材料，必要时监理人可要求承包人提交全部原始记录副本。</w:t>
      </w:r>
    </w:p>
    <w:p w14:paraId="615F0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(2）监理人应按第3.5款商定或确定追加的付款和（或）延长的工期，并在收到上述索赔通知书或有关索赔的进一步证明材料后的42天内，将索赔处理结果答复承包人。</w:t>
      </w:r>
    </w:p>
    <w:p w14:paraId="176AF07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(3）承包人接受索赔处理结果的，发包人应在作出索赔处理结果答复后28天内完成赔付。承包人不接受索赔处理结果的，按第24条的约定办理。</w:t>
      </w:r>
    </w:p>
    <w:p w14:paraId="305AC50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23.3 承包人提出索赔的期限</w:t>
      </w:r>
    </w:p>
    <w:p w14:paraId="0404E0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23.3.1 承包人按第17.5款的约定接受了竣工付款证书后，应被认为已无权再提出在合同工程接收证书颁发前所发生的任何索赔。</w:t>
      </w:r>
    </w:p>
    <w:p w14:paraId="3E8944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23.3.2 承包人按第17.6款的约定提交的最终结清申请单中，只限于提出工程接收证书颁发后发生的索赔。提出索赔的期限自接受最终结清证书时终止。</w:t>
      </w:r>
    </w:p>
    <w:p w14:paraId="41F94BE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23.4 发包人的索赔</w:t>
      </w:r>
    </w:p>
    <w:p w14:paraId="2D4233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3D9DF9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74BA74B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215" w:name="_Toc196637790"/>
      <w:bookmarkStart w:id="216" w:name="_Toc184635121"/>
      <w:bookmarkStart w:id="217" w:name="_Toc196637672"/>
      <w:bookmarkStart w:id="218" w:name="_Toc224699398"/>
      <w:bookmarkStart w:id="219" w:name="_Toc196637436"/>
      <w:r>
        <w:rPr>
          <w:rFonts w:hint="eastAsia" w:ascii="宋体" w:hAnsi="宋体" w:eastAsia="宋体" w:cs="宋体"/>
          <w:color w:val="auto"/>
          <w:sz w:val="24"/>
          <w:szCs w:val="24"/>
        </w:rPr>
        <w:t>24、争议的解决</w:t>
      </w:r>
      <w:bookmarkEnd w:id="215"/>
      <w:bookmarkEnd w:id="216"/>
      <w:bookmarkEnd w:id="217"/>
      <w:bookmarkEnd w:id="218"/>
      <w:bookmarkEnd w:id="219"/>
    </w:p>
    <w:p w14:paraId="614964A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24.1 争议的解决方式</w:t>
      </w:r>
    </w:p>
    <w:p w14:paraId="397EAC9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DB9B4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(l）向约定的仲裁委员会申请仲裁；</w:t>
      </w:r>
    </w:p>
    <w:p w14:paraId="6994D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(2）向有管辖权的人民法院提起诉讼。</w:t>
      </w:r>
    </w:p>
    <w:p w14:paraId="69BF412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24.2 友好解决</w:t>
      </w:r>
    </w:p>
    <w:p w14:paraId="07D8C4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在提请争议评审、仲裁或者诉讼前，以及在争议评审、仲裁或诉讼过程中，发包人和承包人均可共同努力友好协商解决争议。</w:t>
      </w:r>
    </w:p>
    <w:p w14:paraId="51B7487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24.3 争议评审</w:t>
      </w:r>
    </w:p>
    <w:p w14:paraId="6E7F74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24.3.1 采用争议评审的，发包人和承包人应在开工日后的28天内或在争议发生后，协商成立争议评审组。争议评审组由有合同管理和工程实践经验的专家组成。</w:t>
      </w:r>
    </w:p>
    <w:p w14:paraId="08FD6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24.3.2 合同双方的争议，应首先由申请人向争议评审组提交一份详细的评审申请报告，并附必要的文件、图纸和证明材料，申请人还应将上述报告的副本同时提交给被申请人和监理人。</w:t>
      </w:r>
    </w:p>
    <w:p w14:paraId="5A192C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24.3.3 被申请人在收到申请人评审申请报告副本后的28天内，向争议评审组提交一份答辩报告，并附证明材料。被申请人应将答辩报告的副本同时提交给申请人和监理人。</w:t>
      </w:r>
    </w:p>
    <w:p w14:paraId="1D41E0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24.3.4 除专用合同条款另有约定外，争议评审组在收到合同双方报告后的14天内，邀请双方代表和有关人员举行调查会，向双方调查争议细节；必要时争议评审组可要求双方进一步提供补充材料。</w:t>
      </w:r>
    </w:p>
    <w:p w14:paraId="6061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55936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24.3.6 发包人和承包人接受评审意见的，由监理人根据评审意见拟定执行协议，经争议双方签字后作为合同的补充文件，并遵照执行。</w:t>
      </w:r>
    </w:p>
    <w:p w14:paraId="4A6FE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23ECF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64EC9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DFFA3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289A3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5C78DF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1191774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868C1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3E040AE">
      <w:pPr>
        <w:pStyle w:val="3"/>
        <w:pageBreakBefore/>
        <w:widowControl w:val="0"/>
        <w:kinsoku/>
        <w:wordWrap/>
        <w:overflowPunct/>
        <w:topLinePunct w:val="0"/>
        <w:autoSpaceDE/>
        <w:autoSpaceDN/>
        <w:bidi w:val="0"/>
        <w:spacing w:after="156" w:line="360" w:lineRule="auto"/>
        <w:jc w:val="center"/>
        <w:textAlignment w:val="auto"/>
        <w:rPr>
          <w:rFonts w:hint="eastAsia" w:ascii="宋体" w:hAnsi="宋体" w:eastAsia="宋体" w:cs="宋体"/>
          <w:color w:val="auto"/>
          <w:sz w:val="24"/>
          <w:szCs w:val="24"/>
        </w:rPr>
      </w:pPr>
      <w:bookmarkStart w:id="220" w:name="_Toc330990564"/>
      <w:bookmarkStart w:id="221" w:name="_Toc32233"/>
      <w:r>
        <w:rPr>
          <w:rFonts w:hint="eastAsia" w:ascii="宋体" w:hAnsi="宋体" w:eastAsia="宋体" w:cs="宋体"/>
          <w:color w:val="auto"/>
          <w:sz w:val="24"/>
          <w:szCs w:val="24"/>
        </w:rPr>
        <w:t>第三节  专用合同条款</w:t>
      </w:r>
      <w:bookmarkEnd w:id="220"/>
      <w:bookmarkEnd w:id="221"/>
    </w:p>
    <w:p w14:paraId="471B530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1.一般约定</w:t>
      </w:r>
    </w:p>
    <w:p w14:paraId="2DCA829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1.1词语定义</w:t>
      </w:r>
    </w:p>
    <w:p w14:paraId="34306FA6">
      <w:pPr>
        <w:widowControl w:val="0"/>
        <w:kinsoku/>
        <w:wordWrap/>
        <w:overflowPunct/>
        <w:topLinePunct w:val="0"/>
        <w:autoSpaceDE/>
        <w:autoSpaceDN/>
        <w:bidi w:val="0"/>
        <w:spacing w:before="48" w:beforeLines="2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1.1.2合同当事人和人员</w:t>
      </w:r>
    </w:p>
    <w:p w14:paraId="14C65B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cs="宋体"/>
          <w:color w:val="auto"/>
          <w:kern w:val="0"/>
          <w:sz w:val="24"/>
          <w:szCs w:val="24"/>
          <w:u w:val="single"/>
          <w:lang w:eastAsia="zh-CN"/>
        </w:rPr>
        <w:t>邹城市钢山街道崇义庄村村民委员会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8187E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3F3AF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14:paraId="2B73D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35961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E1F37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F72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AC288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02171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14:paraId="617DDE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14:paraId="553618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14:paraId="2A32743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1.1.3工程和设备</w:t>
      </w:r>
    </w:p>
    <w:p w14:paraId="0FCF3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14:paraId="142080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14:paraId="5EEDC9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14:paraId="2D7195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 xml:space="preserve">指为实施本合同工程而需要的一切永久占用的土地 </w:t>
      </w:r>
      <w:r>
        <w:rPr>
          <w:rFonts w:hint="eastAsia" w:ascii="宋体" w:hAnsi="宋体" w:eastAsia="宋体" w:cs="宋体"/>
          <w:color w:val="auto"/>
          <w:sz w:val="24"/>
          <w:szCs w:val="24"/>
        </w:rPr>
        <w:t>。</w:t>
      </w:r>
    </w:p>
    <w:p w14:paraId="452DF4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14:paraId="3F079EA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1.1.4日期</w:t>
      </w:r>
    </w:p>
    <w:p w14:paraId="178595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w:t>
      </w:r>
      <w:r>
        <w:rPr>
          <w:rFonts w:hint="eastAsia" w:ascii="宋体" w:hAnsi="宋体" w:eastAsia="宋体" w:cs="宋体"/>
          <w:color w:val="auto"/>
          <w:sz w:val="24"/>
          <w:szCs w:val="24"/>
        </w:rPr>
        <w:t>月。</w:t>
      </w:r>
    </w:p>
    <w:p w14:paraId="031252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14:paraId="2286C3F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1.1.6其他</w:t>
      </w:r>
    </w:p>
    <w:p w14:paraId="7B3905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14:paraId="417274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3EE3E5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14:paraId="61CEE8E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1.4合同文件的优先顺序</w:t>
      </w:r>
    </w:p>
    <w:p w14:paraId="4FA0B8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14:paraId="33FA4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14:paraId="189669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5158D0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w:t>
      </w:r>
    </w:p>
    <w:p w14:paraId="381EEA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6589F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41B1DA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55FEC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10C2D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(8)投标报价；</w:t>
      </w:r>
    </w:p>
    <w:p w14:paraId="54344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135719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14:paraId="69669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r>
        <w:rPr>
          <w:rFonts w:hint="eastAsia" w:ascii="宋体" w:hAnsi="宋体" w:eastAsia="宋体" w:cs="宋体"/>
          <w:color w:val="auto"/>
          <w:sz w:val="24"/>
          <w:szCs w:val="24"/>
          <w:lang w:eastAsia="zh-CN"/>
        </w:rPr>
        <w:t>，约定不明确。补充协议应优先适用</w:t>
      </w:r>
      <w:r>
        <w:rPr>
          <w:rFonts w:hint="eastAsia" w:ascii="宋体" w:hAnsi="宋体" w:eastAsia="宋体" w:cs="宋体"/>
          <w:color w:val="auto"/>
          <w:sz w:val="24"/>
          <w:szCs w:val="24"/>
        </w:rPr>
        <w:t>。</w:t>
      </w:r>
    </w:p>
    <w:p w14:paraId="076CEDA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1.5合同协议书</w:t>
      </w:r>
    </w:p>
    <w:p w14:paraId="56694FDE">
      <w:pPr>
        <w:widowControl w:val="0"/>
        <w:kinsoku/>
        <w:wordWrap/>
        <w:overflowPunct/>
        <w:topLinePunct w:val="0"/>
        <w:autoSpaceDE/>
        <w:autoSpaceDN/>
        <w:bidi w:val="0"/>
        <w:spacing w:before="120" w:beforeLines="50" w:after="120" w:after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发包人和承包人的法定代表人或其委托代理人在合同协议书上签字并盖单位章后，合同生效</w:t>
      </w:r>
      <w:r>
        <w:rPr>
          <w:rFonts w:hint="eastAsia" w:ascii="宋体" w:hAnsi="宋体" w:eastAsia="宋体" w:cs="宋体"/>
          <w:color w:val="auto"/>
          <w:sz w:val="24"/>
          <w:szCs w:val="24"/>
        </w:rPr>
        <w:t>。</w:t>
      </w:r>
    </w:p>
    <w:p w14:paraId="7718E3E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1.6图纸和承包人文件</w:t>
      </w:r>
    </w:p>
    <w:p w14:paraId="70FC7A49">
      <w:pPr>
        <w:widowControl w:val="0"/>
        <w:kinsoku/>
        <w:wordWrap/>
        <w:overflowPunct/>
        <w:topLinePunct w:val="0"/>
        <w:autoSpaceDE/>
        <w:autoSpaceDN/>
        <w:bidi w:val="0"/>
        <w:spacing w:before="120" w:beforeLines="50" w:after="120" w:afterLines="5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1.6.1图纸的提供</w:t>
      </w:r>
    </w:p>
    <w:p w14:paraId="6855A5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14:paraId="198C96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176AD9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开工前三天</w:t>
      </w:r>
      <w:r>
        <w:rPr>
          <w:rFonts w:hint="eastAsia" w:ascii="宋体" w:hAnsi="宋体" w:eastAsia="宋体" w:cs="宋体"/>
          <w:color w:val="auto"/>
          <w:sz w:val="24"/>
          <w:szCs w:val="24"/>
        </w:rPr>
        <w:t>。</w:t>
      </w:r>
    </w:p>
    <w:p w14:paraId="05D842B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三套（含竣工图纸一套）   </w:t>
      </w:r>
      <w:r>
        <w:rPr>
          <w:rFonts w:hint="eastAsia" w:ascii="宋体" w:hAnsi="宋体" w:eastAsia="宋体" w:cs="宋体"/>
          <w:color w:val="auto"/>
          <w:sz w:val="24"/>
          <w:szCs w:val="24"/>
        </w:rPr>
        <w:t>。</w:t>
      </w:r>
    </w:p>
    <w:p w14:paraId="29C774C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1.6.2承包人提供的文件</w:t>
      </w:r>
    </w:p>
    <w:p w14:paraId="0830ED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 xml:space="preserve">   需要时按发包人及监理人要求                                                </w:t>
      </w:r>
    </w:p>
    <w:p w14:paraId="167DAF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 xml:space="preserve">  按发包人及监理人要求                             </w:t>
      </w:r>
    </w:p>
    <w:p w14:paraId="0C5F69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 xml:space="preserve">  按发包人及监理人要求                                     </w:t>
      </w:r>
    </w:p>
    <w:p w14:paraId="62E55C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 xml:space="preserve">  收到承包人提供的文件后10天内          </w:t>
      </w:r>
    </w:p>
    <w:p w14:paraId="32AB30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整体竣工验收合格后提供竣工图纸一套                                                         </w:t>
      </w:r>
    </w:p>
    <w:p w14:paraId="6114C72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1.6.3图纸的修改</w:t>
      </w:r>
    </w:p>
    <w:p w14:paraId="429EBE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14:paraId="3FED47D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1.7联络</w:t>
      </w:r>
    </w:p>
    <w:p w14:paraId="193BADB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1.7.1联络来往函件的送达和接收</w:t>
      </w:r>
    </w:p>
    <w:p w14:paraId="61880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14:paraId="15B820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 xml:space="preserve"> 本工程现场发包人代表办公室</w:t>
      </w:r>
      <w:r>
        <w:rPr>
          <w:rFonts w:hint="eastAsia" w:ascii="宋体" w:hAnsi="宋体" w:eastAsia="宋体" w:cs="宋体"/>
          <w:color w:val="auto"/>
          <w:sz w:val="24"/>
          <w:szCs w:val="24"/>
        </w:rPr>
        <w:t>。</w:t>
      </w:r>
    </w:p>
    <w:p w14:paraId="00D885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 xml:space="preserve"> 发包人代表 </w:t>
      </w:r>
      <w:r>
        <w:rPr>
          <w:rFonts w:hint="eastAsia" w:ascii="宋体" w:hAnsi="宋体" w:eastAsia="宋体" w:cs="宋体"/>
          <w:color w:val="auto"/>
          <w:sz w:val="24"/>
          <w:szCs w:val="24"/>
        </w:rPr>
        <w:t>。</w:t>
      </w:r>
    </w:p>
    <w:p w14:paraId="5FAC61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 xml:space="preserve"> 本工程现场总监代表办公室</w:t>
      </w:r>
      <w:r>
        <w:rPr>
          <w:rFonts w:hint="eastAsia" w:ascii="宋体" w:hAnsi="宋体" w:eastAsia="宋体" w:cs="宋体"/>
          <w:color w:val="auto"/>
          <w:sz w:val="24"/>
          <w:szCs w:val="24"/>
        </w:rPr>
        <w:t>。</w:t>
      </w:r>
    </w:p>
    <w:p w14:paraId="3AED9E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 xml:space="preserve"> 总监或总监代表</w:t>
      </w:r>
      <w:r>
        <w:rPr>
          <w:rFonts w:hint="eastAsia" w:ascii="宋体" w:hAnsi="宋体" w:eastAsia="宋体" w:cs="宋体"/>
          <w:color w:val="auto"/>
          <w:sz w:val="24"/>
          <w:szCs w:val="24"/>
        </w:rPr>
        <w:t>。</w:t>
      </w:r>
    </w:p>
    <w:p w14:paraId="638D32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3407A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本合同其他方。发包人(包括监理人)和承包人应当确保其各自指定的接收人在法定的和(或)符合合同约定的工作时间内始终工作在指定的接收地点，指定接收人离开工作岗位而无法及时签收来往信函构成拒不签收。</w:t>
      </w:r>
    </w:p>
    <w:p w14:paraId="4EE9A2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本合同其他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0A448F7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2.发包人义务</w:t>
      </w:r>
    </w:p>
    <w:p w14:paraId="5DCFA47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2.1提供施工场地</w:t>
      </w:r>
    </w:p>
    <w:p w14:paraId="6566E1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1040660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2.2组织设计交底</w:t>
      </w:r>
    </w:p>
    <w:p w14:paraId="06208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4A8B505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2.3其他义务</w:t>
      </w:r>
    </w:p>
    <w:p w14:paraId="2036C8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14:paraId="47554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14:paraId="6474FE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3BB20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14:paraId="4CD4574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w:t>
      </w:r>
    </w:p>
    <w:p w14:paraId="10AF1FB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3.1监理人的职责和权力</w:t>
      </w:r>
    </w:p>
    <w:p w14:paraId="1A8888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 xml:space="preserve"> 涉及本工程分包、变更、价款、费用、质量、工期的事项及监理合同中须发包人书面盖章批准才能行使的监理人的权利。  </w:t>
      </w:r>
    </w:p>
    <w:p w14:paraId="1458AA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不管通用合同条款第3.1.1项如何约定，监理人履行须经发包人批准行使的权力时，应当向承包人出示其行使该权利已经取得发包人书面批准的文件或者其他合法有效的证明。</w:t>
      </w:r>
    </w:p>
    <w:p w14:paraId="0211FE9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3.2监理人员</w:t>
      </w:r>
    </w:p>
    <w:p w14:paraId="6158E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3.2.1总监理工程师不应将第3.5款约定应由总监理工程师作出确定的权力授权或者委托给其他监理人员。</w:t>
      </w:r>
    </w:p>
    <w:p w14:paraId="4981FF3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3.3监理人的指示</w:t>
      </w:r>
    </w:p>
    <w:p w14:paraId="6E8E89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3.3.1除通用合同条款已有的专门约定外，承包人只能从总监理工程师或按第3.3.1项授权的监理人员处取得指示，发包人应当通过监理人向承包人发出指示。</w:t>
      </w:r>
    </w:p>
    <w:p w14:paraId="62F7963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3.4监理人的宽恕</w:t>
      </w:r>
    </w:p>
    <w:p w14:paraId="43F90E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A76E84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w:t>
      </w:r>
    </w:p>
    <w:p w14:paraId="588455E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4.1承包人的一般义务</w:t>
      </w:r>
    </w:p>
    <w:p w14:paraId="158ECF6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626FBA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4.1.8为他人提供方便</w:t>
      </w:r>
    </w:p>
    <w:p w14:paraId="1022C2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视为已经包括在承包人的签约合同价(投标总报价)中，结算时不再另行计取。具体工作内容和要求包括：</w:t>
      </w:r>
      <w:r>
        <w:rPr>
          <w:rFonts w:hint="eastAsia" w:ascii="宋体" w:hAnsi="宋体" w:eastAsia="宋体" w:cs="宋体"/>
          <w:color w:val="auto"/>
          <w:sz w:val="24"/>
          <w:szCs w:val="24"/>
          <w:u w:val="single"/>
        </w:rPr>
        <w:t xml:space="preserve">根据施工过程中实际情况由发包人和监理人指派并审批，承包人应无条件配合 </w:t>
      </w:r>
      <w:r>
        <w:rPr>
          <w:rFonts w:hint="eastAsia" w:ascii="宋体" w:hAnsi="宋体" w:eastAsia="宋体" w:cs="宋体"/>
          <w:color w:val="auto"/>
          <w:sz w:val="24"/>
          <w:szCs w:val="24"/>
        </w:rPr>
        <w:t>。</w:t>
      </w:r>
    </w:p>
    <w:p w14:paraId="532F14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14:paraId="73C07D7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4.1.10其他义务</w:t>
      </w:r>
    </w:p>
    <w:p w14:paraId="6566AF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sz w:val="24"/>
          <w:szCs w:val="24"/>
          <w:u w:val="single"/>
        </w:rPr>
        <w:t xml:space="preserve">需要时发包人与承包人另行约定         </w:t>
      </w:r>
      <w:r>
        <w:rPr>
          <w:rFonts w:hint="eastAsia" w:ascii="宋体" w:hAnsi="宋体" w:eastAsia="宋体" w:cs="宋体"/>
          <w:color w:val="auto"/>
          <w:sz w:val="24"/>
          <w:szCs w:val="24"/>
        </w:rPr>
        <w:t>。</w:t>
      </w:r>
    </w:p>
    <w:p w14:paraId="22A91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 xml:space="preserve">需要时发包人与承包人另行约定  </w:t>
      </w:r>
      <w:r>
        <w:rPr>
          <w:rFonts w:hint="eastAsia" w:ascii="宋体" w:hAnsi="宋体" w:eastAsia="宋体" w:cs="宋体"/>
          <w:color w:val="auto"/>
          <w:sz w:val="24"/>
          <w:szCs w:val="24"/>
        </w:rPr>
        <w:t>。</w:t>
      </w:r>
    </w:p>
    <w:p w14:paraId="6AD274A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4.2履约担保</w:t>
      </w:r>
    </w:p>
    <w:p w14:paraId="52EE9A6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无。</w:t>
      </w:r>
    </w:p>
    <w:p w14:paraId="2E8B996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4.3分包</w:t>
      </w:r>
    </w:p>
    <w:p w14:paraId="0C5545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4.3.2发包人同意承包人分包的非主体、非关键性工作见投标函附录。除通用合同条款第4.3款的约定外，分包还应遵循以下约定：</w:t>
      </w:r>
    </w:p>
    <w:p w14:paraId="513558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DC024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(2)在相关分包合同签订并报送有关建设行政主管部门备案后7天内，承包人应当将一份副本提交给监理人，承包人应保障分包工作不得再次分包。</w:t>
      </w:r>
    </w:p>
    <w:p w14:paraId="5208BD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45288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14:paraId="7E8669B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4.5承包人项目经理</w:t>
      </w:r>
    </w:p>
    <w:p w14:paraId="3DBA63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161A2B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4.5.5</w:t>
      </w:r>
      <w:r>
        <w:rPr>
          <w:rFonts w:hint="eastAsia" w:ascii="宋体" w:hAnsi="宋体" w:eastAsia="宋体" w:cs="宋体"/>
          <w:b/>
          <w:bCs/>
          <w:color w:val="auto"/>
          <w:sz w:val="24"/>
          <w:szCs w:val="24"/>
          <w:u w:val="single"/>
        </w:rPr>
        <w:t>项目经理及管理班子人员名单（包括项目副经理、技术负责人、商务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w:t>
      </w:r>
    </w:p>
    <w:p w14:paraId="612A0B9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项目经理及承包人项目部主要管理人员（包括项目副经理、技术负责人、商务负责人、预算员、施工员、安全员等）不得擅自更换。如承包人代表确需易人，承包人应提前15天书面通知发包人，经发包人批准后方可易人，后任继续承担前任应负的责任。</w:t>
      </w:r>
    </w:p>
    <w:p w14:paraId="6F048F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未经发包人同意，承包人不得擅自更换，项目经理每更换一次，承包人须支付违约金人民币150,000元；承包人在收到更换通知七日历天内上报新项目经理资质报，发包人审批合格后进场，否则按照人民币10,000元/天向发包人支付违约金。</w:t>
      </w:r>
    </w:p>
    <w:p w14:paraId="49FDE2D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未经发包人同意，其他管理人员（指技术负责人、商务负责人、现场经理、质量员、安全员）每更换一次，承包人须支付违约金人民币5,000元。</w:t>
      </w:r>
    </w:p>
    <w:p w14:paraId="6D29DC4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需开除人员，经发包人提出后，必须在24小时内调离本工程范围，否则每人次承包人支付发包人违约金人民币2,000元；同时，承包人应在3天内用发包人批准的合格的人员代替上述调离的任何人员。</w:t>
      </w:r>
    </w:p>
    <w:p w14:paraId="0D83B37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将扣罚合同价2</w:t>
      </w:r>
      <w:r>
        <w:rPr>
          <w:rFonts w:hint="eastAsia" w:ascii="宋体" w:hAnsi="宋体" w:eastAsia="宋体" w:cs="宋体"/>
          <w:b/>
          <w:color w:val="auto"/>
          <w:sz w:val="24"/>
          <w:szCs w:val="24"/>
          <w:u w:val="single"/>
        </w:rPr>
        <w:t>％</w:t>
      </w:r>
      <w:r>
        <w:rPr>
          <w:rFonts w:hint="eastAsia" w:ascii="宋体" w:hAnsi="宋体" w:eastAsia="宋体" w:cs="宋体"/>
          <w:b/>
          <w:bCs/>
          <w:color w:val="auto"/>
          <w:sz w:val="24"/>
          <w:szCs w:val="24"/>
          <w:u w:val="single"/>
        </w:rPr>
        <w:t>作为违约金，发包人有权解除合同。发包人可以随时要求承包人更换不合格的项目经理。</w:t>
      </w:r>
    </w:p>
    <w:p w14:paraId="07EFAB1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u w:val="single"/>
        </w:rPr>
        <w:t>本条未提到的项目经理其它权利和义务执行合同通用条款</w:t>
      </w:r>
      <w:r>
        <w:rPr>
          <w:rFonts w:hint="eastAsia" w:ascii="宋体" w:hAnsi="宋体" w:eastAsia="宋体" w:cs="宋体"/>
          <w:b/>
          <w:bCs/>
          <w:color w:val="auto"/>
          <w:sz w:val="24"/>
          <w:szCs w:val="24"/>
        </w:rPr>
        <w:t>。</w:t>
      </w:r>
    </w:p>
    <w:p w14:paraId="6B7A618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4.11不利物质条件</w:t>
      </w:r>
    </w:p>
    <w:p w14:paraId="160338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4.11.1不利物质条件的范围：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14:paraId="407C55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14:paraId="18520D7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5.材料和工程设备</w:t>
      </w:r>
    </w:p>
    <w:p w14:paraId="7E5F8F7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5.1承包人提供的材料和工程设备</w:t>
      </w:r>
    </w:p>
    <w:p w14:paraId="1A2C57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招标时给定暂估价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0CA8A3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承包人负责提供的材料和工程设备，技术标准和要求中有规定的必须优于或等同于技术标准和要求中的规定。</w:t>
      </w:r>
    </w:p>
    <w:p w14:paraId="2BA9F83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承包人负责提供的主要材料和工程设备必须经发包人和承包人共同考察，经发包人书面确定材料品牌、规格后方可投入工程。</w:t>
      </w:r>
    </w:p>
    <w:p w14:paraId="377652B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承包人所采购的材料必须达到国标标准，并满足一次性验收合格。</w:t>
      </w:r>
    </w:p>
    <w:p w14:paraId="4335947C">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u w:val="single"/>
        </w:rPr>
        <w:t>材料进场验收要求：货物验收必须以本合同规定的货物品牌、规格、型号、产地和质量检验标准为依据。货物品种、规格、型号、质量不符合合同约定的，承包人应在3日内将其搬离发包人现场，因此产生的费用由承包人自行承担，并向发包人支付由此导致的5000-30000元的违约金和对发包人产生的一切经济损失。若承包人在采购前提供样品的，承包人交付的货物，不但需满足国家规范质量标准，并需达到样品的质量标准。若货物与样品不符，承包人应立即清除现场并及时更换合格产品，因此产生的费用由承包人自行承担，并向发包人支付由此导致的5000-30000元的违约金。未经批准，承包人私自将已按照合同约定进入施工现场的材料或设备撤离施工现场的，并承担由此导致的5000-30000元的违约责任。因承包人自购的材料、货物不符合设计标准和技术标准导致的工期延误，由承包人自行承担，总工期不顺延（造成总工期延误，</w:t>
      </w:r>
      <w:r>
        <w:rPr>
          <w:rFonts w:hint="eastAsia" w:ascii="宋体" w:hAnsi="宋体" w:eastAsia="宋体" w:cs="宋体"/>
          <w:b/>
          <w:bCs/>
          <w:color w:val="auto"/>
          <w:sz w:val="24"/>
          <w:szCs w:val="24"/>
          <w:u w:val="single"/>
        </w:rPr>
        <w:t>按照第11.5的约定执行</w:t>
      </w:r>
      <w:r>
        <w:rPr>
          <w:rFonts w:hint="eastAsia" w:ascii="宋体" w:hAnsi="宋体" w:eastAsia="宋体" w:cs="宋体"/>
          <w:b/>
          <w:color w:val="auto"/>
          <w:sz w:val="24"/>
          <w:szCs w:val="24"/>
          <w:u w:val="single"/>
        </w:rPr>
        <w:t>）。</w:t>
      </w:r>
    </w:p>
    <w:p w14:paraId="23F991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 xml:space="preserve">相关分部分项工程开始施工前7天报送监理人审批。 </w:t>
      </w:r>
    </w:p>
    <w:p w14:paraId="46508FD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5.2发包人提供的材料和工程设备</w:t>
      </w:r>
    </w:p>
    <w:p w14:paraId="72786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5.2.1发包人负责提供的材料和工程设备的名称、规格、数量、价格、交货方式、交货地点和计划交货日期等确定后7日内转交给承包人。</w:t>
      </w:r>
    </w:p>
    <w:p w14:paraId="190C2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5.2.3由发包人提供的材料和工程设备验收后，由承包人负责接收（含卸车）、运输和保管及二次运输，由此发生的费用被认为已经包括</w:t>
      </w:r>
      <w:r>
        <w:rPr>
          <w:rFonts w:hint="eastAsia" w:ascii="宋体" w:hAnsi="宋体" w:eastAsia="宋体" w:cs="宋体"/>
          <w:color w:val="auto"/>
          <w:sz w:val="24"/>
          <w:szCs w:val="24"/>
          <w:lang w:eastAsia="zh-CN"/>
        </w:rPr>
        <w:t>（均摊）</w:t>
      </w:r>
      <w:r>
        <w:rPr>
          <w:rFonts w:hint="eastAsia" w:ascii="宋体" w:hAnsi="宋体" w:eastAsia="宋体" w:cs="宋体"/>
          <w:color w:val="auto"/>
          <w:sz w:val="24"/>
          <w:szCs w:val="24"/>
        </w:rPr>
        <w:t>在承包人的</w:t>
      </w:r>
      <w:r>
        <w:rPr>
          <w:rFonts w:hint="eastAsia" w:ascii="宋体" w:hAnsi="宋体" w:eastAsia="宋体" w:cs="宋体"/>
          <w:color w:val="auto"/>
          <w:sz w:val="24"/>
          <w:szCs w:val="24"/>
          <w:u w:val="none"/>
          <w:lang w:val="en-US" w:eastAsia="zh-CN"/>
        </w:rPr>
        <w:t>固定含税</w:t>
      </w:r>
      <w:r>
        <w:rPr>
          <w:rFonts w:hint="eastAsia" w:ascii="宋体" w:hAnsi="宋体" w:eastAsia="宋体" w:cs="宋体"/>
          <w:color w:val="auto"/>
          <w:sz w:val="24"/>
          <w:szCs w:val="24"/>
          <w:u w:val="none"/>
        </w:rPr>
        <w:t>全费用综合单价</w:t>
      </w:r>
      <w:r>
        <w:rPr>
          <w:rFonts w:hint="eastAsia" w:ascii="宋体" w:hAnsi="宋体" w:eastAsia="宋体" w:cs="宋体"/>
          <w:color w:val="auto"/>
          <w:sz w:val="24"/>
          <w:szCs w:val="24"/>
        </w:rPr>
        <w:t>中，结算时不再另行计取。</w:t>
      </w:r>
    </w:p>
    <w:p w14:paraId="3F18D0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5.2.4（1）发包人有权视情况更改本工程所有材料的供应方式，承包人不得有异议，并不得为此向发包人提出任何索赔。</w:t>
      </w:r>
    </w:p>
    <w:p w14:paraId="649699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142FD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（3）在双方认价过程中，如发包人给与的最高限价能够采购到该产品，承包人不给予确认，发包人有权改变材料供应方式，该材料价格在结算中按材料价格的120%扣除。</w:t>
      </w:r>
    </w:p>
    <w:p w14:paraId="1CCB174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5.5第5条补充如下：</w:t>
      </w:r>
    </w:p>
    <w:p w14:paraId="752FB4B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5.5.1发包人有权视情况更改本工程所有材料的供应方式，承包人不得有异议，并不得为此向发包人提出任何索赔。</w:t>
      </w:r>
    </w:p>
    <w:p w14:paraId="08F4C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5307AF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5.5.3在双方认价过程中，如发包人给与的最高限价能够采购到该产品，承包人不给予确认，发包人有权改变材料供应方式，该材料价格在结算中按材料价格的120%扣除。</w:t>
      </w:r>
    </w:p>
    <w:p w14:paraId="53D5114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6.施工设备和临时设施</w:t>
      </w:r>
    </w:p>
    <w:p w14:paraId="41F3393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6.1承包人提供的施工设备和临时设施</w:t>
      </w:r>
    </w:p>
    <w:p w14:paraId="2DBB4F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14:paraId="7D05E0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14:paraId="3CC2F99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6.2发包人提供的施工设备和临时设施</w:t>
      </w:r>
    </w:p>
    <w:p w14:paraId="406A8D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606F6A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EE983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6.4施工设备和临时设施专用于合同工程</w:t>
      </w:r>
    </w:p>
    <w:p w14:paraId="175FB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14:paraId="76D50CD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7.交通运输</w:t>
      </w:r>
    </w:p>
    <w:p w14:paraId="280085F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7.1道路通行权和场外设施</w:t>
      </w:r>
    </w:p>
    <w:p w14:paraId="057131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，其相关费用由承包人承担。</w:t>
      </w:r>
    </w:p>
    <w:p w14:paraId="7E06164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7.2场内施工道路</w:t>
      </w:r>
    </w:p>
    <w:p w14:paraId="47A7FB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6F799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14:paraId="2E5497B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7.4超大件和超重件的运输</w:t>
      </w:r>
    </w:p>
    <w:p w14:paraId="28BE59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 xml:space="preserve"> 承包人</w:t>
      </w:r>
      <w:r>
        <w:rPr>
          <w:rFonts w:hint="eastAsia" w:ascii="宋体" w:hAnsi="宋体" w:eastAsia="宋体" w:cs="宋体"/>
          <w:color w:val="auto"/>
          <w:sz w:val="24"/>
          <w:szCs w:val="24"/>
        </w:rPr>
        <w:t>。</w:t>
      </w:r>
    </w:p>
    <w:p w14:paraId="3AD5451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8.测量放线</w:t>
      </w:r>
    </w:p>
    <w:p w14:paraId="345BA07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8.1施工控制网</w:t>
      </w:r>
    </w:p>
    <w:p w14:paraId="55FDEBE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3A1D8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65BF09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E520D2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9.施工安全、治安保卫和环境保护</w:t>
      </w:r>
    </w:p>
    <w:p w14:paraId="7967261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9.2承包人的施工安全责任</w:t>
      </w:r>
    </w:p>
    <w:p w14:paraId="174FC5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 xml:space="preserve"> 签订施工合同后7天内 </w:t>
      </w:r>
      <w:r>
        <w:rPr>
          <w:rFonts w:hint="eastAsia" w:ascii="宋体" w:hAnsi="宋体" w:eastAsia="宋体" w:cs="宋体"/>
          <w:color w:val="auto"/>
          <w:sz w:val="24"/>
          <w:szCs w:val="24"/>
        </w:rPr>
        <w:t>。</w:t>
      </w:r>
    </w:p>
    <w:p w14:paraId="648E53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14:paraId="719025F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9.3治安保卫</w:t>
      </w:r>
    </w:p>
    <w:p w14:paraId="32D571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14:paraId="0A1B2C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14:paraId="287B833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9.4环境保护</w:t>
      </w:r>
    </w:p>
    <w:p w14:paraId="7E8592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 xml:space="preserve">  签订施工合同后7天内      </w:t>
      </w:r>
      <w:r>
        <w:rPr>
          <w:rFonts w:hint="eastAsia" w:ascii="宋体" w:hAnsi="宋体" w:eastAsia="宋体" w:cs="宋体"/>
          <w:color w:val="auto"/>
          <w:sz w:val="24"/>
          <w:szCs w:val="24"/>
        </w:rPr>
        <w:t>。</w:t>
      </w:r>
    </w:p>
    <w:p w14:paraId="614D8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14:paraId="1474EF9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10.进度计划</w:t>
      </w:r>
    </w:p>
    <w:p w14:paraId="054C5B8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10.1合同进度计划</w:t>
      </w:r>
    </w:p>
    <w:p w14:paraId="7356CF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rPr>
        <w:t>，施工进度计划中还应载明要求发包人组织设计人进行阶段性工程设计交底的时间。</w:t>
      </w:r>
    </w:p>
    <w:p w14:paraId="7A21E10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14:paraId="7AEEA5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          </w:t>
      </w:r>
    </w:p>
    <w:p w14:paraId="3D1E0F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19B65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D1D0F6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10.2合同进度计划的修订</w:t>
      </w:r>
    </w:p>
    <w:p w14:paraId="098FDF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14:paraId="473CE0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 xml:space="preserve"> 收到修订合同进度计划申请报告后2天内。</w:t>
      </w:r>
    </w:p>
    <w:p w14:paraId="454191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14:paraId="4374346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11.开工和竣工</w:t>
      </w:r>
    </w:p>
    <w:p w14:paraId="5366FDE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11.3发包人的工期延误</w:t>
      </w:r>
    </w:p>
    <w:p w14:paraId="32B3AFA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14:paraId="41B302D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11.4异常恶劣的气候条件</w:t>
      </w:r>
    </w:p>
    <w:p w14:paraId="05A4BA6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 xml:space="preserve">  项目所在地30年以上一遇的罕见气候现象（包括温度、降水、降雪、风等）</w:t>
      </w:r>
      <w:r>
        <w:rPr>
          <w:rFonts w:hint="eastAsia" w:ascii="宋体" w:hAnsi="宋体" w:eastAsia="宋体" w:cs="宋体"/>
          <w:color w:val="auto"/>
          <w:sz w:val="24"/>
          <w:szCs w:val="24"/>
        </w:rPr>
        <w:t>。</w:t>
      </w:r>
    </w:p>
    <w:p w14:paraId="08D8EC83">
      <w:pPr>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14:paraId="1DDBAA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承包人因自身原因未能按照约定的期限内完成本工程，或者未能在相应的期限完成本工程中某单项工程，每延误一天承包人向发包人支付违约金为合同签约总价的 5‰ 及由此引起的所有相关损失。发包人可以向承包人支付的任何款项中扣除此项违约金，此赔偿费的支付并不能解除承包人应完成工程的责任或本合同规定的其他责任。</w:t>
      </w:r>
    </w:p>
    <w:p w14:paraId="38E7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11.5.1、延期开工：承包人因故不能按时开工，应在约定的开工日期提前五天，向发包人提出延期开工的理由和要求。发包人书面同意延期要求的，工期方可相应顺延。否则，工期不予顺延。</w:t>
      </w:r>
    </w:p>
    <w:p w14:paraId="0F1B30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11.5.2、 暂停施工：发包人代表认为必要时，可提出暂停施工要求。承包人在实施发包人代表处理意见后，应及时提出复工要求，发包人书面予以答复后，方可复工；停工责任在发包人的，工期相应顺延。停工责任在承包人的，由承包人承担发生的费用，并向发包人支付违约金。</w:t>
      </w:r>
    </w:p>
    <w:p w14:paraId="62189E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11.5.3、 工期延误：下列情况造成竣工日期推迟的，经发包人、监理方代表书面确认，工期相应顺延。</w:t>
      </w:r>
    </w:p>
    <w:p w14:paraId="0985B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工程量变化和设计变更量超过总量的1/4时。</w:t>
      </w:r>
    </w:p>
    <w:p w14:paraId="582D9E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（2）一周内，非承包人原因停水、停电、扬尘治理、疫情影响施工造成停工连续超过48小时（不含48小时）。</w:t>
      </w:r>
    </w:p>
    <w:p w14:paraId="0B0A2F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（3）施工中遇到不可预见因素需处理时。</w:t>
      </w:r>
    </w:p>
    <w:p w14:paraId="2C1CF5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（4）不可抗力（指战争、动乱、空气飞行体坠落或其它非甲、乙双方造成的爆炸、火灾，以及协议条款约定的等级以上的风、雨、雪、震等对工程造成损害的自然灾害）。</w:t>
      </w:r>
    </w:p>
    <w:p w14:paraId="78D695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11.5.4、承包人在以上情况发生后当天内向发包人、监理方提出书面报告，发包人、监理方在收到报告后五天内予以确认答复，逾期不答复，承包人即可视为延期要求已被确认。</w:t>
      </w:r>
    </w:p>
    <w:p w14:paraId="1F326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11.5.5、工期约定：为确保工程按期竣工验收，承包人必须按期保质保量并通过一次性验收合格，由承包人原因造成工期逾期的，每延期一天应承担合同签约总价的 5‰作为因延期给发包人造成损失的赔偿。</w:t>
      </w:r>
    </w:p>
    <w:p w14:paraId="15AFC38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11.6工期提前</w:t>
      </w:r>
    </w:p>
    <w:p w14:paraId="6C946B7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 xml:space="preserve"> 。</w:t>
      </w:r>
    </w:p>
    <w:p w14:paraId="078EA6B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12.暂停施工</w:t>
      </w:r>
    </w:p>
    <w:p w14:paraId="1ABE8E5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12.1承包人暂停施工的责任</w:t>
      </w:r>
    </w:p>
    <w:p w14:paraId="0235ED77">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B8A6FB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12.4暂停施工后的复工</w:t>
      </w:r>
    </w:p>
    <w:p w14:paraId="66DB16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4377E3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39F48D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12.4.5复工后，合同计价原则不变，仍按原合同计价，不因工期变化而调整。</w:t>
      </w:r>
    </w:p>
    <w:p w14:paraId="122C9D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12.4.6因政府主管部门扬尘治理原因通知暂缓施工的，承包人书面办理工期延期签证文件后，施工工期相应顺延，停工期间所产生的相关费用均由承包人承担。</w:t>
      </w:r>
    </w:p>
    <w:p w14:paraId="6FE90ED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14:paraId="79444A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13.1工程质量要求</w:t>
      </w:r>
    </w:p>
    <w:p w14:paraId="168349E9">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b/>
          <w:color w:val="auto"/>
          <w:sz w:val="24"/>
          <w:szCs w:val="24"/>
          <w:u w:val="single"/>
        </w:rPr>
      </w:pPr>
      <w:r>
        <w:rPr>
          <w:rFonts w:hint="eastAsia" w:ascii="宋体" w:hAnsi="宋体" w:eastAsia="宋体" w:cs="宋体"/>
          <w:color w:val="auto"/>
          <w:sz w:val="24"/>
          <w:szCs w:val="24"/>
        </w:rPr>
        <w:t>13.1.2</w:t>
      </w:r>
      <w:r>
        <w:rPr>
          <w:rFonts w:hint="eastAsia" w:ascii="宋体" w:hAnsi="宋体" w:eastAsia="宋体" w:cs="宋体"/>
          <w:b/>
          <w:color w:val="auto"/>
          <w:sz w:val="24"/>
          <w:szCs w:val="24"/>
          <w:u w:val="single"/>
        </w:rPr>
        <w:t>在工程施工过程中，因承包人偷工减料，使用劣质材料、不合格设备，或因技术、管理等自身原因，造成工程质量达不到合同约定验收标准的，发包人和监理人有权要求承包人返工直至符合合同要求为止，由此造成的费用增加和（或）工期延误由承包人承担。</w:t>
      </w:r>
    </w:p>
    <w:p w14:paraId="58AD6B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所有施工的项目工程质量必须一次性满足设计图纸中的规定及要求，并达到一次性验收合格；否则，承包人无偿返工至验收合格为止。</w:t>
      </w:r>
    </w:p>
    <w:p w14:paraId="6F901AD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13.2承包人的质量管理</w:t>
      </w:r>
    </w:p>
    <w:p w14:paraId="76B8AF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607AE3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14:paraId="79B938A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13.3承包人的质量检查 </w:t>
      </w:r>
    </w:p>
    <w:p w14:paraId="27F9A0E0">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 xml:space="preserve">每月25日前  </w:t>
      </w:r>
      <w:r>
        <w:rPr>
          <w:rFonts w:hint="eastAsia" w:ascii="宋体" w:hAnsi="宋体" w:eastAsia="宋体" w:cs="宋体"/>
          <w:color w:val="auto"/>
          <w:sz w:val="24"/>
          <w:szCs w:val="24"/>
        </w:rPr>
        <w:t>。</w:t>
      </w:r>
    </w:p>
    <w:p w14:paraId="24EB25D1">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 xml:space="preserve">  按规范及监理人要求  </w:t>
      </w:r>
      <w:r>
        <w:rPr>
          <w:rFonts w:hint="eastAsia" w:ascii="宋体" w:hAnsi="宋体" w:eastAsia="宋体" w:cs="宋体"/>
          <w:color w:val="auto"/>
          <w:sz w:val="24"/>
          <w:szCs w:val="24"/>
        </w:rPr>
        <w:t>。</w:t>
      </w:r>
    </w:p>
    <w:p w14:paraId="17F71147">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 xml:space="preserve">收到承包人报送的工程质量报表后3天内  </w:t>
      </w:r>
      <w:r>
        <w:rPr>
          <w:rFonts w:hint="eastAsia" w:ascii="宋体" w:hAnsi="宋体" w:eastAsia="宋体" w:cs="宋体"/>
          <w:color w:val="auto"/>
          <w:sz w:val="24"/>
          <w:szCs w:val="24"/>
        </w:rPr>
        <w:t>。</w:t>
      </w:r>
    </w:p>
    <w:p w14:paraId="420AA62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13.4监理人的质量检查</w:t>
      </w:r>
    </w:p>
    <w:p w14:paraId="5CD9196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E973FA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13.5工程隐蔽部位覆盖前的检查</w:t>
      </w:r>
    </w:p>
    <w:p w14:paraId="3E4A59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 xml:space="preserve"> 收到承包人的通知后3天内 </w:t>
      </w:r>
      <w:r>
        <w:rPr>
          <w:rFonts w:hint="eastAsia" w:ascii="宋体" w:hAnsi="宋体" w:eastAsia="宋体" w:cs="宋体"/>
          <w:color w:val="auto"/>
          <w:sz w:val="24"/>
          <w:szCs w:val="24"/>
        </w:rPr>
        <w:t>。</w:t>
      </w:r>
    </w:p>
    <w:p w14:paraId="7D062C2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13.7质量争议</w:t>
      </w:r>
    </w:p>
    <w:p w14:paraId="0618EA7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13267B2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15.变更</w:t>
      </w:r>
    </w:p>
    <w:p w14:paraId="7855CA0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15.1变更的范围和内容</w:t>
      </w:r>
    </w:p>
    <w:p w14:paraId="1BAA90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应当进行变更的其他情形：</w:t>
      </w:r>
      <w:r>
        <w:rPr>
          <w:rFonts w:hint="eastAsia" w:ascii="宋体" w:hAnsi="宋体" w:eastAsia="宋体" w:cs="宋体"/>
          <w:color w:val="auto"/>
          <w:sz w:val="24"/>
          <w:szCs w:val="24"/>
          <w:u w:val="single"/>
        </w:rPr>
        <w:t xml:space="preserve">  发包方与承包方根据实际情况另行约定    </w:t>
      </w:r>
      <w:r>
        <w:rPr>
          <w:rFonts w:hint="eastAsia" w:ascii="宋体" w:hAnsi="宋体" w:eastAsia="宋体" w:cs="宋体"/>
          <w:color w:val="auto"/>
          <w:sz w:val="24"/>
          <w:szCs w:val="24"/>
        </w:rPr>
        <w:t>。</w:t>
      </w:r>
    </w:p>
    <w:p w14:paraId="6A45E71B">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违背通用合同条款15.1(1)目的约定，将被取消的合同中的工作转由发包人或其他人实施的，承包人可向监理人发出通知，要求发包人采取有效措施纠正违约行为。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14CCB7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15.3变更程序</w:t>
      </w:r>
    </w:p>
    <w:p w14:paraId="697CF2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15.3.2变更估价</w:t>
      </w:r>
    </w:p>
    <w:p w14:paraId="32C05F04">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 xml:space="preserve">   按工程变更报批程序办理 （参照发包人工程变更报批程序） </w:t>
      </w:r>
      <w:r>
        <w:rPr>
          <w:rFonts w:hint="eastAsia" w:ascii="宋体" w:hAnsi="宋体" w:eastAsia="宋体" w:cs="宋体"/>
          <w:color w:val="auto"/>
          <w:sz w:val="24"/>
          <w:szCs w:val="24"/>
        </w:rPr>
        <w:t>。</w:t>
      </w:r>
    </w:p>
    <w:p w14:paraId="7BAB86A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 xml:space="preserve">按工程变更报批程序办理 （参照发包人工程变更报批程序）  </w:t>
      </w:r>
      <w:r>
        <w:rPr>
          <w:rFonts w:hint="eastAsia" w:ascii="宋体" w:hAnsi="宋体" w:eastAsia="宋体" w:cs="宋体"/>
          <w:color w:val="auto"/>
          <w:sz w:val="24"/>
          <w:szCs w:val="24"/>
        </w:rPr>
        <w:t>。</w:t>
      </w:r>
    </w:p>
    <w:p w14:paraId="495B1F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w:t>
      </w:r>
    </w:p>
    <w:p w14:paraId="25A422D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15.4变更的估价原则</w:t>
      </w:r>
    </w:p>
    <w:p w14:paraId="257CB3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设计变更追加工程新增加的工程量清单项目，原招标控制价中（或合同中约定的价格）两者有冲突时以合同价格为准，有的按原招标控制价（或合同中约定的价格）确定。原招标控制价（或合同中约定的价格）中没有的按照以下编制依据执行：</w:t>
      </w:r>
    </w:p>
    <w:p w14:paraId="635B98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1）、《建设工程工程量清单计价规范》（GB 50500-2013）；</w:t>
      </w:r>
    </w:p>
    <w:p w14:paraId="299C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2）、《山东省建设工程工程量清单计价规则》；</w:t>
      </w:r>
    </w:p>
    <w:p w14:paraId="79387A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3）、《2016山东省建筑、装饰、安装、园林工程消耗量定额》；                           </w:t>
      </w:r>
    </w:p>
    <w:p w14:paraId="4AA43F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4）、《山东省建筑、装饰、安装、园林建设工程费用项目组成及计算规则》；</w:t>
      </w:r>
    </w:p>
    <w:p w14:paraId="1ADA96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5）、《建筑业营改增建设工程计价依据调整实施意见》（鲁建办[2019]10号）；</w:t>
      </w:r>
    </w:p>
    <w:p w14:paraId="28AB3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人工费执行合同签订时的邹城现行工日单价；施工过程中出现的零星用工，实际用工按150元/工日（每个工日不低于10个小时计算，包死价），只计取税金；</w:t>
      </w:r>
    </w:p>
    <w:p w14:paraId="10D161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材料、设备价格执行投标时的价格，投标文件中没有的由双方共同考察确定材料品牌、规格及价格，作为结算的依据。</w:t>
      </w:r>
    </w:p>
    <w:p w14:paraId="3F8E389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15.5承包人的合理化建议</w:t>
      </w:r>
    </w:p>
    <w:p w14:paraId="251497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 xml:space="preserve">   无                               </w:t>
      </w:r>
    </w:p>
    <w:p w14:paraId="167B2AF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14:paraId="78ED36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7ECB53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(1)在任何招标工作启动前，承包人应当提前至少</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天内给予批准或者提出修改意见。承包人应当严格按照经过发包人批准的招标工作计划开展招标工作。</w:t>
      </w:r>
    </w:p>
    <w:p w14:paraId="518891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(2)承包人应当在发出招标公告(或者资格预审公告或者投标邀请书)、资格预审文件和招标文件前至少</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天，分别将相关文件通过监理人报请发包人审批，发包人应当在监理人收到承包人报送的相关文件后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28D0D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(3)如果发、承包任何一方委派评标代表，评标委员会应当由七人以上单数构成。除发包人或者承包人自愿放弃委派评标代表的权利外，招标人评标代表应当分别由发包人和承包人等额委派。</w:t>
      </w:r>
    </w:p>
    <w:p w14:paraId="76A9BF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20EA7E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423D69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17E02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(7)承包人与专业分包人或者专项供应商订立合同前</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天内给予批准或者提出修改意见，承包人应当按照发包人批准的合同文件签订相关合同，合同订立后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天内，承包人应当将其中的两份副本报送监理人，其中一份由监理人报发包人留存。</w:t>
      </w:r>
    </w:p>
    <w:p w14:paraId="332BF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(8)发包人对承包人报送文件进行审批或提出的修改意见应当合理，并符合现行有关法律法规的规定。</w:t>
      </w:r>
    </w:p>
    <w:p w14:paraId="63EB85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6B6313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15.8.2发包人给定暂估价的材料和工程设备不属于依法必须招标的范围或未达到规定的规模标准的，按照下列约定：</w:t>
      </w:r>
      <w:r>
        <w:rPr>
          <w:rFonts w:hint="eastAsia" w:ascii="宋体" w:hAnsi="宋体" w:eastAsia="宋体" w:cs="宋体"/>
          <w:b/>
          <w:color w:val="auto"/>
          <w:sz w:val="24"/>
          <w:szCs w:val="24"/>
          <w:u w:val="single"/>
        </w:rPr>
        <w:t>招标文件给定暂估价的材料、工程设备的实施时由发包方与承包方共同考察，确定材料设备品牌、规格及价格，由承包方负责采购和实施，结算时按发包方签证价格进行调整</w:t>
      </w:r>
      <w:r>
        <w:rPr>
          <w:rFonts w:hint="eastAsia" w:ascii="宋体" w:hAnsi="宋体" w:eastAsia="宋体" w:cs="宋体"/>
          <w:color w:val="auto"/>
          <w:sz w:val="24"/>
          <w:szCs w:val="24"/>
          <w:u w:val="single"/>
        </w:rPr>
        <w:t>。</w:t>
      </w:r>
    </w:p>
    <w:p w14:paraId="0E9B267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16.价格调整</w:t>
      </w:r>
    </w:p>
    <w:p w14:paraId="31B587E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5E7CF3D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17.计量与支付</w:t>
      </w:r>
    </w:p>
    <w:p w14:paraId="3E26EA7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17.1计量</w:t>
      </w:r>
    </w:p>
    <w:p w14:paraId="63A298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14:paraId="498771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工程量计算规则执行国家标准《建设工程工程量清单计价规范》(GB50500—2013)及</w:t>
      </w:r>
      <w:r>
        <w:rPr>
          <w:rFonts w:hint="eastAsia" w:ascii="宋体" w:hAnsi="宋体" w:eastAsia="宋体" w:cs="宋体"/>
          <w:b/>
          <w:color w:val="auto"/>
          <w:sz w:val="24"/>
          <w:szCs w:val="24"/>
        </w:rPr>
        <w:t>《山东省建设工程工程量清单计价规则》</w:t>
      </w:r>
      <w:r>
        <w:rPr>
          <w:rFonts w:hint="eastAsia" w:ascii="宋体" w:hAnsi="宋体" w:eastAsia="宋体" w:cs="宋体"/>
          <w:color w:val="auto"/>
          <w:sz w:val="24"/>
          <w:szCs w:val="24"/>
        </w:rPr>
        <w:t>或其适用的修订版本。除合同另有约定外，承包人实际完成的工程量按约定的工程量计算规则和有合同约束力的图纸进行计量。</w:t>
      </w:r>
    </w:p>
    <w:p w14:paraId="587DB5B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17.2预付款</w:t>
      </w:r>
    </w:p>
    <w:p w14:paraId="785C708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17.2.1预付款</w:t>
      </w:r>
    </w:p>
    <w:p w14:paraId="3E385372">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(1)预付款额度</w:t>
      </w:r>
    </w:p>
    <w:p w14:paraId="30E782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分部分项工程部分的预付款额度：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548C8B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措施项目部分预付款额度：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86D3A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其中：安全文明施工费用预付额度：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0A7B34A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(2)预付办法</w:t>
      </w:r>
    </w:p>
    <w:p w14:paraId="19869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预付款预付办法：</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p>
    <w:p w14:paraId="77FCB1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预付款的支付时间：</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p>
    <w:p w14:paraId="6B2F0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发包人逾期支付合同约定的预付款时，双方协商确定逾期支付时间，不承担通用合同条款第22.2款约定的违约责任及专用合同条款第17.3.3(2)目约定的标准和方法计算的逾期付款违约金。</w:t>
      </w:r>
    </w:p>
    <w:p w14:paraId="6806C91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17.2.2预付款保函</w:t>
      </w:r>
    </w:p>
    <w:p w14:paraId="495AA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预付款保函的金额与预付款金额相同。预付款保函的提交时间：</w:t>
      </w:r>
      <w:r>
        <w:rPr>
          <w:rFonts w:hint="eastAsia" w:ascii="宋体" w:hAnsi="宋体" w:eastAsia="宋体" w:cs="宋体"/>
          <w:color w:val="auto"/>
          <w:sz w:val="24"/>
          <w:szCs w:val="24"/>
          <w:u w:val="single"/>
        </w:rPr>
        <w:t xml:space="preserve">  无   </w:t>
      </w:r>
    </w:p>
    <w:p w14:paraId="064AEF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38427FD5">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17.2.3预付款的扣回与还清</w:t>
      </w:r>
    </w:p>
    <w:p w14:paraId="0668E8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预付款的扣回办法：</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33FA033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17.2.4预付款保函的格式</w:t>
      </w:r>
    </w:p>
    <w:p w14:paraId="3ED928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7826A3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17.2.5预付款保函的有效期</w:t>
      </w:r>
    </w:p>
    <w:p w14:paraId="5D3CE6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预付款保函的有效期应当自预付款支付给承包人之日起至发包人签认的进度付款证书说明预付款已完全扣清之日止。</w:t>
      </w:r>
    </w:p>
    <w:p w14:paraId="560196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17.2.6发包人的通知义务</w:t>
      </w:r>
    </w:p>
    <w:p w14:paraId="47B2BC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不管保函条款中如何约定，发包人根据担保提出索赔或兑现要求之前，均应通知承包人并说明导致此类索赔或兑现的原因，但此类通知不应理解为是在任何意义上寻求承包人的同意。</w:t>
      </w:r>
    </w:p>
    <w:p w14:paraId="7ACF59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17.2.7预付款保函的退还</w:t>
      </w:r>
    </w:p>
    <w:p w14:paraId="325477F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预付款保函应在发包人签认的进度付款证书说明预付款已完全扣清之日后14天内退还给承包人。发包人不承担承包人与预付款保函有关的任何利息或其它类似的费用或者收益。</w:t>
      </w:r>
    </w:p>
    <w:p w14:paraId="65EBA68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17.3工程进度付款</w:t>
      </w:r>
    </w:p>
    <w:p w14:paraId="092443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14:paraId="26527A2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 xml:space="preserve">贰份 </w:t>
      </w:r>
      <w:r>
        <w:rPr>
          <w:rFonts w:hint="eastAsia" w:ascii="宋体" w:hAnsi="宋体" w:eastAsia="宋体" w:cs="宋体"/>
          <w:color w:val="auto"/>
          <w:sz w:val="24"/>
          <w:szCs w:val="24"/>
        </w:rPr>
        <w:t>。</w:t>
      </w:r>
    </w:p>
    <w:p w14:paraId="6A429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 xml:space="preserve">按监理人统一要求办理  </w:t>
      </w:r>
      <w:r>
        <w:rPr>
          <w:rFonts w:hint="eastAsia" w:ascii="宋体" w:hAnsi="宋体" w:eastAsia="宋体" w:cs="宋体"/>
          <w:color w:val="auto"/>
          <w:sz w:val="24"/>
          <w:szCs w:val="24"/>
        </w:rPr>
        <w:t>。</w:t>
      </w:r>
    </w:p>
    <w:p w14:paraId="013D29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14:paraId="49F65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4731B2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14:paraId="25AA553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14:paraId="1A5DE20A">
      <w:pPr>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rPr>
        <w:t>进度付款的支付方法：</w:t>
      </w:r>
      <w:r>
        <w:rPr>
          <w:rFonts w:hint="eastAsia" w:ascii="宋体" w:hAnsi="宋体" w:cs="宋体"/>
          <w:bCs/>
          <w:color w:val="auto"/>
          <w:sz w:val="24"/>
          <w:highlight w:val="none"/>
          <w:lang w:val="en-US" w:eastAsia="zh-CN"/>
        </w:rPr>
        <w:t>双方签订采购合同后，甲方支付合同价款的30%为预付款，施工完成后付至合同价款的60%，工程竣工经</w:t>
      </w:r>
      <w:r>
        <w:rPr>
          <w:rFonts w:hint="eastAsia" w:ascii="宋体" w:hAnsi="宋体"/>
          <w:color w:val="auto"/>
          <w:sz w:val="24"/>
          <w:highlight w:val="none"/>
          <w:lang w:val="en-US" w:eastAsia="zh-CN"/>
        </w:rPr>
        <w:t>华电邹城热力有限公司验收合格并审计完成后付至审定价款的97%，剩余3%在质保期满后，无质量问题无息付清。</w:t>
      </w:r>
    </w:p>
    <w:p w14:paraId="49DD6DB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（3）发包人增值税发票开票信息</w:t>
      </w:r>
    </w:p>
    <w:p w14:paraId="5968AF51">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cs="宋体"/>
          <w:color w:val="auto"/>
          <w:sz w:val="24"/>
          <w:szCs w:val="24"/>
          <w:u w:val="single"/>
          <w:lang w:val="en-US" w:eastAsia="zh-CN"/>
        </w:rPr>
      </w:pPr>
      <w:r>
        <w:rPr>
          <w:rFonts w:hint="eastAsia" w:ascii="宋体" w:hAnsi="宋体" w:eastAsia="宋体" w:cs="宋体"/>
          <w:color w:val="auto"/>
          <w:sz w:val="24"/>
          <w:szCs w:val="24"/>
        </w:rPr>
        <w:t>(1)名称：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14:paraId="2D19F924">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(2)纳税人设别号：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14:paraId="4853CA47">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(3)工程地点：</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14:paraId="4F8B101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(4)工程名称：</w:t>
      </w:r>
      <w:r>
        <w:rPr>
          <w:rFonts w:hint="eastAsia" w:ascii="宋体" w:hAnsi="宋体" w:cs="宋体"/>
          <w:color w:val="auto"/>
          <w:sz w:val="24"/>
          <w:szCs w:val="24"/>
          <w:u w:val="single"/>
          <w:lang w:eastAsia="zh-CN"/>
        </w:rPr>
        <w:t>邹城市钢山街道办事处崇义家园楼梯间热力改造工程</w:t>
      </w:r>
      <w:r>
        <w:rPr>
          <w:rFonts w:hint="eastAsia" w:ascii="宋体" w:hAnsi="宋体" w:eastAsia="宋体" w:cs="宋体"/>
          <w:color w:val="auto"/>
          <w:sz w:val="24"/>
          <w:szCs w:val="24"/>
        </w:rPr>
        <w:t>；</w:t>
      </w:r>
    </w:p>
    <w:p w14:paraId="19B6A902">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(4)承包人增值税发票开票信息</w:t>
      </w:r>
    </w:p>
    <w:p w14:paraId="781095E9">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（1）公 司  名 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703F4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（2）纳税人识别号：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w:t>
      </w:r>
    </w:p>
    <w:p w14:paraId="4C5AB5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（3）开 户 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9879B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（4）开 户  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4CE22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（5）公 司  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DDD14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（6）公 司  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40AF3AA">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（7）公司电子邮箱：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771E3B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14:paraId="093F33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23420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4B0986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326BCD1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17.4质量保证金</w:t>
      </w:r>
    </w:p>
    <w:p w14:paraId="535693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免费质量包修期内，出现质量问题，承包人接到发包人维修通知后，未能在规定时间内进行维修，则视为授权发包人（或发包人指定的物业公司）组织维修，并由承包人承担所有费用和质量责任。上述费用在承包人质保金中直接双倍扣除后，若质保金额不足以支付以上费用，承包人负责补足质保金。</w:t>
      </w:r>
    </w:p>
    <w:p w14:paraId="1F0C00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在免费质量包修期内，出现质量问题，由于承包人原因，发包人（或发包人指定的物业公司）无法同承包人取得联系，按照上条执行。</w:t>
      </w:r>
    </w:p>
    <w:p w14:paraId="6F7515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质量问题后，发包人（或发包人指定的物业公司）是否与承包人指定的联系人取得联系及联系时间以发包人（或发包人指定的物业公司）联系记录为准，维修项目及费用以发包人、物业公司、实际施工方三方签字的资料为准。</w:t>
      </w:r>
    </w:p>
    <w:p w14:paraId="13D90C6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17.5竣工结算</w:t>
      </w:r>
    </w:p>
    <w:p w14:paraId="4315857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14:paraId="52AD0A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 xml:space="preserve">   贰份                              </w:t>
      </w:r>
      <w:r>
        <w:rPr>
          <w:rFonts w:hint="eastAsia" w:ascii="宋体" w:hAnsi="宋体" w:eastAsia="宋体" w:cs="宋体"/>
          <w:color w:val="auto"/>
          <w:sz w:val="24"/>
          <w:szCs w:val="24"/>
        </w:rPr>
        <w:t>。</w:t>
      </w:r>
    </w:p>
    <w:p w14:paraId="7CF12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 xml:space="preserve">  竣工验收合格后28天内              </w:t>
      </w:r>
      <w:r>
        <w:rPr>
          <w:rFonts w:hint="eastAsia" w:ascii="宋体" w:hAnsi="宋体" w:eastAsia="宋体" w:cs="宋体"/>
          <w:color w:val="auto"/>
          <w:sz w:val="24"/>
          <w:szCs w:val="24"/>
        </w:rPr>
        <w:t>。</w:t>
      </w:r>
    </w:p>
    <w:p w14:paraId="2EC0D2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14:paraId="4EE165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3E0672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zh-CN"/>
        </w:rPr>
        <w:t>工程结算总价</w:t>
      </w:r>
      <w:r>
        <w:rPr>
          <w:rFonts w:hint="eastAsia" w:ascii="宋体" w:hAnsi="宋体" w:eastAsia="宋体" w:cs="宋体"/>
          <w:color w:val="auto"/>
          <w:sz w:val="24"/>
          <w:szCs w:val="24"/>
          <w:u w:val="single"/>
        </w:rPr>
        <w:t>=确认的固定含税全费用综合单价×实测工程量</w:t>
      </w:r>
      <w:r>
        <w:rPr>
          <w:rFonts w:hint="eastAsia" w:ascii="宋体" w:hAnsi="宋体" w:eastAsia="宋体" w:cs="宋体"/>
          <w:color w:val="auto"/>
          <w:sz w:val="24"/>
          <w:szCs w:val="24"/>
          <w:u w:val="single"/>
          <w:lang w:val="zh-CN"/>
        </w:rPr>
        <w:t>+设计变更、洽商、签证＋依据本合同的增加项目-依据本合同的减少项目-违约金和（或）损失赔偿额；</w:t>
      </w:r>
      <w:r>
        <w:rPr>
          <w:rFonts w:hint="eastAsia" w:ascii="宋体" w:hAnsi="宋体" w:eastAsia="宋体" w:cs="宋体"/>
          <w:color w:val="auto"/>
          <w:sz w:val="24"/>
          <w:szCs w:val="24"/>
          <w:u w:val="single"/>
        </w:rPr>
        <w:t>结算资料需双方签字盖章方为有效，不符合条件的工程结算资料依据均属无效，双方不作为办理结算的依据。</w:t>
      </w:r>
    </w:p>
    <w:p w14:paraId="3F39578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不管通用合同条款17.5.2项如何约定，发包人和承包人应当在监理人颁发(出具)工程接收证书后90天内办清竣工结算和竣工付款。</w:t>
      </w:r>
    </w:p>
    <w:p w14:paraId="575F52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17.6最终结清</w:t>
      </w:r>
    </w:p>
    <w:p w14:paraId="5D62A2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14:paraId="3F55B6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   五份 </w:t>
      </w:r>
      <w:r>
        <w:rPr>
          <w:rFonts w:hint="eastAsia" w:ascii="宋体" w:hAnsi="宋体" w:eastAsia="宋体" w:cs="宋体"/>
          <w:color w:val="auto"/>
          <w:sz w:val="24"/>
          <w:szCs w:val="24"/>
        </w:rPr>
        <w:t>。</w:t>
      </w:r>
    </w:p>
    <w:p w14:paraId="35235A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 xml:space="preserve">  缺陷责任期终止证书签发后30天内   </w:t>
      </w:r>
      <w:r>
        <w:rPr>
          <w:rFonts w:hint="eastAsia" w:ascii="宋体" w:hAnsi="宋体" w:eastAsia="宋体" w:cs="宋体"/>
          <w:color w:val="auto"/>
          <w:sz w:val="24"/>
          <w:szCs w:val="24"/>
        </w:rPr>
        <w:t>。</w:t>
      </w:r>
    </w:p>
    <w:p w14:paraId="1977D4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18.竣工验收</w:t>
      </w:r>
    </w:p>
    <w:p w14:paraId="4717DC7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18.2竣工验收申请报告</w:t>
      </w:r>
    </w:p>
    <w:p w14:paraId="6CA16C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 xml:space="preserve">  按工程所在地建设行政主管部门和(或)城市建设档案管理机构对竣工验收资料内容的规定    </w:t>
      </w:r>
      <w:r>
        <w:rPr>
          <w:rFonts w:hint="eastAsia" w:ascii="宋体" w:hAnsi="宋体" w:eastAsia="宋体" w:cs="宋体"/>
          <w:color w:val="auto"/>
          <w:sz w:val="24"/>
          <w:szCs w:val="24"/>
        </w:rPr>
        <w:t>。</w:t>
      </w:r>
    </w:p>
    <w:p w14:paraId="7CB5EF3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w:t>
      </w:r>
      <w:r>
        <w:rPr>
          <w:rFonts w:hint="eastAsia" w:ascii="宋体" w:hAnsi="宋体" w:eastAsia="宋体" w:cs="宋体"/>
          <w:color w:val="auto"/>
          <w:sz w:val="24"/>
          <w:szCs w:val="24"/>
          <w:u w:val="single"/>
        </w:rPr>
        <w:t xml:space="preserve">按工程所在地建设行政主管部门和(或)城市建设档案管理机构的规定及发包人要求    </w:t>
      </w:r>
      <w:r>
        <w:rPr>
          <w:rFonts w:hint="eastAsia" w:ascii="宋体" w:hAnsi="宋体" w:eastAsia="宋体" w:cs="宋体"/>
          <w:color w:val="auto"/>
          <w:sz w:val="24"/>
          <w:szCs w:val="24"/>
        </w:rPr>
        <w:t>。</w:t>
      </w:r>
    </w:p>
    <w:p w14:paraId="1F7C85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 xml:space="preserve">  由承包人自行承担  </w:t>
      </w:r>
      <w:r>
        <w:rPr>
          <w:rFonts w:hint="eastAsia" w:ascii="宋体" w:hAnsi="宋体" w:eastAsia="宋体" w:cs="宋体"/>
          <w:color w:val="auto"/>
          <w:sz w:val="24"/>
          <w:szCs w:val="24"/>
        </w:rPr>
        <w:t>。</w:t>
      </w:r>
    </w:p>
    <w:p w14:paraId="09281F6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18.3验收</w:t>
      </w:r>
    </w:p>
    <w:p w14:paraId="3580521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14:paraId="53D43302">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18.5施工期运行</w:t>
      </w:r>
    </w:p>
    <w:p w14:paraId="5F3DB6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 xml:space="preserve">   根据实际情况按发包人要求  </w:t>
      </w:r>
      <w:r>
        <w:rPr>
          <w:rFonts w:hint="eastAsia" w:ascii="宋体" w:hAnsi="宋体" w:eastAsia="宋体" w:cs="宋体"/>
          <w:color w:val="auto"/>
          <w:sz w:val="24"/>
          <w:szCs w:val="24"/>
        </w:rPr>
        <w:t>。</w:t>
      </w:r>
    </w:p>
    <w:p w14:paraId="03F39F2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18.6试运行</w:t>
      </w:r>
    </w:p>
    <w:p w14:paraId="7904CA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14:paraId="3E24B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14:paraId="6BB8B7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14:paraId="750052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（3）投料试运行应在工程竣工验收后由发包人负责，如发包人要求在工程竣工验收前进行或需要承包人配合时，应征得承包人同意，另行签订补充协议。</w:t>
      </w:r>
    </w:p>
    <w:p w14:paraId="663C0DB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18.7竣工清场</w:t>
      </w:r>
    </w:p>
    <w:p w14:paraId="74B74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14:paraId="0B20DE7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18.8施工队伍的撤离</w:t>
      </w:r>
    </w:p>
    <w:p w14:paraId="1B7536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345E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 xml:space="preserve">缺陷责任期满时，承包人的人员和施工设备应全部撤离施工场地     </w:t>
      </w:r>
      <w:r>
        <w:rPr>
          <w:rFonts w:hint="eastAsia" w:ascii="宋体" w:hAnsi="宋体" w:eastAsia="宋体" w:cs="宋体"/>
          <w:color w:val="auto"/>
          <w:sz w:val="24"/>
          <w:szCs w:val="24"/>
        </w:rPr>
        <w:t>。</w:t>
      </w:r>
    </w:p>
    <w:p w14:paraId="504FE52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18.9中间验收</w:t>
      </w:r>
    </w:p>
    <w:p w14:paraId="0AEC64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r>
        <w:rPr>
          <w:rFonts w:hint="eastAsia" w:ascii="宋体" w:hAnsi="宋体" w:eastAsia="宋体" w:cs="宋体"/>
          <w:color w:val="auto"/>
          <w:sz w:val="24"/>
          <w:szCs w:val="24"/>
          <w:u w:val="single"/>
        </w:rPr>
        <w:t xml:space="preserve">                                                                                     </w:t>
      </w:r>
    </w:p>
    <w:p w14:paraId="457485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 xml:space="preserve"> 监理人要求的 </w:t>
      </w:r>
      <w:r>
        <w:rPr>
          <w:rFonts w:hint="eastAsia" w:ascii="宋体" w:hAnsi="宋体" w:eastAsia="宋体" w:cs="宋体"/>
          <w:color w:val="auto"/>
          <w:sz w:val="24"/>
          <w:szCs w:val="24"/>
        </w:rPr>
        <w:t>期限内进行修改后重新验收。</w:t>
      </w:r>
    </w:p>
    <w:p w14:paraId="2258CB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1DC3BB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14:paraId="3DA11A3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19.缺陷责任与保修责任</w:t>
      </w:r>
    </w:p>
    <w:p w14:paraId="0B4B501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19.7保修责任</w:t>
      </w:r>
    </w:p>
    <w:p w14:paraId="4F70E9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5A419C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444DF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007E6C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3D598F1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14:paraId="26A58A3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14:paraId="21BD8F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工程保险。投保工程保险时，险种为：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，并符合以下约定。</w:t>
      </w:r>
    </w:p>
    <w:p w14:paraId="5E138C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4D07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(2)投保内容：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2012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(3)保险费率：由投保人与合同双方同意的保险人商定。</w:t>
      </w:r>
    </w:p>
    <w:p w14:paraId="5D98E3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0833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98141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14:paraId="68946F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，保险费率由承包人与发包人同意的保险人商定，相关保险费由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14:paraId="582F365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14:paraId="0363AE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承包人应为其施工设备、进场材料和工程设备等办理的保险：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B16A22">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14:paraId="41F6E5FD">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20.6.1保险凭证</w:t>
      </w:r>
    </w:p>
    <w:p w14:paraId="4EFE1D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承包人向发包人提交各项保险生效的证据和保险单副本的期限：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9DEB4FE">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20.6.4保险金不足的补偿</w:t>
      </w:r>
    </w:p>
    <w:p w14:paraId="4D8F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保险金不足以补偿损失时，承包人和发包人负责补偿的责任分摊：</w:t>
      </w:r>
      <w:r>
        <w:rPr>
          <w:rFonts w:hint="eastAsia" w:ascii="宋体" w:hAnsi="宋体" w:eastAsia="宋体" w:cs="宋体"/>
          <w:color w:val="auto"/>
          <w:sz w:val="24"/>
          <w:szCs w:val="24"/>
          <w:highlight w:val="none"/>
          <w:u w:val="single"/>
        </w:rPr>
        <w:t xml:space="preserve">      。 </w:t>
      </w:r>
    </w:p>
    <w:p w14:paraId="20F5055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21.不可抗力</w:t>
      </w:r>
    </w:p>
    <w:p w14:paraId="3A64860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21.1不可抗力的确认</w:t>
      </w:r>
    </w:p>
    <w:p w14:paraId="3BA54C7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 xml:space="preserve">  按国家有关部门认定的标准。 </w:t>
      </w:r>
    </w:p>
    <w:p w14:paraId="1648D8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 xml:space="preserve">  发包人与承包人另行协商约定         。 </w:t>
      </w:r>
    </w:p>
    <w:p w14:paraId="2C0CE14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21.3不可抗力后果及其处理</w:t>
      </w:r>
    </w:p>
    <w:p w14:paraId="2A013DC3">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14:paraId="77C0F2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14:paraId="5A7E3A64">
      <w:pPr>
        <w:pStyle w:val="4"/>
        <w:widowControl w:val="0"/>
        <w:numPr>
          <w:ilvl w:val="0"/>
          <w:numId w:val="2"/>
        </w:numPr>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违约</w:t>
      </w:r>
    </w:p>
    <w:p w14:paraId="174F6E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第22.1.1条补充如下：</w:t>
      </w:r>
    </w:p>
    <w:p w14:paraId="6E054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所有特殊工种人员均应符合有关规定，获得上岗资格，持有有关部门颁发的资质证书或上岗证（且在有效期内），并在施工上岗之前提供给监理工程师审查，施工中持证上岗，并佩戴单位上岗证。在特殊工种的施工中，若发现不佩戴岗位证的人员，不持有资格证书施工，则按每发现一次，按照人民币1000元/人次向发包人支付违约金。累计10次则停工整顿。</w:t>
      </w:r>
    </w:p>
    <w:p w14:paraId="5F4E88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在工程施工过程中以及保修期内，由于承包人责任出现质量问题、劳资纠纷、拖欠工人工资或者其他原因，受到报纸、电视等媒体的曝光或上访、政府有关主管部门的通报批评，每次由承包人向发包人支付人民币5万元/次违约金，从承包人当期工程款项、结算款或质保金中扣除，不足部分以实际损失为限，由承包人补足。</w:t>
      </w:r>
    </w:p>
    <w:p w14:paraId="143F27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因承包人原因工程竣工资料（按档案馆要求，含相应的电子磁盘资料、声像资料）延误移交，每延误一天，承包人支付发包人违约金人民币5万元。此外因其工程竣工资料导致的竣工日期及交房日期延误，造成的一切经济损失由承包人承担。</w:t>
      </w:r>
    </w:p>
    <w:p w14:paraId="65AAB1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承包人员工或其分包人员到政府部门、发包人办公室、售楼处等处围攻、静坐等现象发生的，每发生一次承包人支付发包人违约金人民币2万元/次。</w:t>
      </w:r>
    </w:p>
    <w:p w14:paraId="4C00B0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承包人未在发包人或监理通知单规定时间内完成整改并回复的，罚款人民币1万元/次。且发包人有权指定其他单位代为实施，所发生费用（另加20%的管理费）及责任由承包人承担。</w:t>
      </w:r>
    </w:p>
    <w:p w14:paraId="62D149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发包人指令要求的销售配合工作，承包人需按双方确认的工期按时完成，延误销售开放的，每延期一天，承包人向发包人支付违约金人民币10,000元。</w:t>
      </w:r>
    </w:p>
    <w:p w14:paraId="7998CA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发包人、监理、承包人三方提前1个月约定分包的进场时间。经发包人、监理判定，若承包人不能及时按约定时间给分包提供进场条件，超过7天后承包人仍不能给分包提供进场条件，罚款人民币10,000元/日。</w:t>
      </w:r>
    </w:p>
    <w:p w14:paraId="2D28FD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承包人不按时参加相关会议，承包人应向发包人支付人民币500元/人.次的违约金。</w:t>
      </w:r>
    </w:p>
    <w:p w14:paraId="26B760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承包人延迟申报完成预结算资料或核对不配合，承包人应向发包人支付人民币1,000元/天的违约金。</w:t>
      </w:r>
    </w:p>
    <w:p w14:paraId="3BCC3B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因承包人原因工程质量达不到约定的质量标准，承包人应按本合同结算总价款的2﹪向发包人支付违约金。承包人的施工存在质量问题，经两次整改后仍不能合格的，发包人有权解除合同，将工程另行委托第三方完成，承包人须赔偿发包人的一切损失。承包人如违反工程施工质量管理相关要求，承包人应向发包人支付人民币1,000 元/次的违约金。</w:t>
      </w:r>
    </w:p>
    <w:p w14:paraId="6AF13A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(11)因承包人分项工程质量不符合本合同附件相关质量标准要求，发包人视质量问题严重程度，承包人应向发包人支付人民币500－10,000元/次的违约金。</w:t>
      </w:r>
    </w:p>
    <w:p w14:paraId="135FC9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承包人未按本合同约定期限完工、竣工或交付使用，每逾期一日,按合同签约总价的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‰向发包人支付违约金，并赔偿发包人因延误开工生产所造成的全部损失，逾期超过30天，发包人有权单方解除合同，并有权勒令停止承包人施工，将工程另行委托第三方完成，承包人须赔偿发包人的一切损失。</w:t>
      </w:r>
    </w:p>
    <w:p w14:paraId="07484D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承包人有义务对分包单位进行进度、质量、安全、文明施工的管理，提供临时水电源，挂表按相关单位收费标准收费。承包人不得故意刁难，收受不合理的费用，若出现分包单位举报，经落实事实确凿，每出现一次承包人向发包人支付违约金20000元。</w:t>
      </w:r>
    </w:p>
    <w:p w14:paraId="6EB5A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为确保工程施工质量和安全施工，本项目工程严禁违法转包、违法分包和挂靠，如出现违法转包、违法分包和挂靠现象，承包人承诺已施工完成的合格工程，按实际合格工程量的50%进行结算，承包人应无条件7日内全部人员及物料撤场，发包人有权解除合同。</w:t>
      </w:r>
    </w:p>
    <w:p w14:paraId="447357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承包人必须按设计施工图纸和发包人确认的工程设计变更施工，承包人承诺如出现不按图施工现象，承包人无条件拆除此部分工程，所产生的所有损失均由承包人承担，并向发包人支付违约金壹拾万元。回填土工程未按施工图和施工规范施工，一经发现承包人向发包人支付违约金贰拾万元。</w:t>
      </w:r>
    </w:p>
    <w:p w14:paraId="16646C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（16）承包人的其他违约行为，但未约定具体处罚金额的，发包人有权在人民币200-20,000元范围内要求承包人支付违约金，并赔偿因此给发包人造成的全部损失。</w:t>
      </w:r>
    </w:p>
    <w:p w14:paraId="24FBC7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承包人按邹城市相关企业收费标准挂表缴纳水电费。包干价中已包含施工用水电费用，若承包人自行打备用井用于施工，所发生的费用和相关政府主管部门所收取的费用、责任、关系协调及对应的相关违规责任均有承包人承担。</w:t>
      </w:r>
    </w:p>
    <w:p w14:paraId="4679B9C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（18）临时停水、停电、二次搬运、成品保护等所需措施的一切费用和工期承包人已充分考虑，并已考虑了各种可能因素影响施工所增加的费用，因此，发生上述情况，发包人不另行增加费用。</w:t>
      </w:r>
    </w:p>
    <w:p w14:paraId="6D289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承包人承担因违反以上各条而导致的一切责任和费用，且不得以任何理由停工和向发包人提出经济和工期补偿要求。确保不会因上述原因使发包人声誉受到不良影响。在工程施工过程中以及工程竣工保修期内，由于承包人责任出现质量问题、安全事故或者因其他原因，受到报纸、电视等媒体的曝光或被政府有关主管部门的通报批评，均会给本工程的社会形象造成损失，每次由承包人向发包人支付5万元违约金，从承包人工程进度款或保修款中扣除。</w:t>
      </w:r>
    </w:p>
    <w:p w14:paraId="69CFC3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（20）发包人发给承包人所有的文件、函件、资料、指令，承包人必须无条件接收，否则每拒收一次，发包人将给予处罚1000元，并视为已经送达。</w:t>
      </w:r>
    </w:p>
    <w:p w14:paraId="4F4D7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（21）因承包人原因导致合同提前解除的：</w:t>
      </w:r>
    </w:p>
    <w:p w14:paraId="77A089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a、发包人有权委托第三人对未完工程进行施工，由此导致发包人比由承包人按合同约定完成工程所增加的费用由承包人承担。</w:t>
      </w:r>
    </w:p>
    <w:p w14:paraId="6B1B2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在第三人未将剩余工程施工完毕、发包人与第三人未结算完毕前，承包人不得要求支付工程款。待发包人与第三人结算完毕后，发包人在扣除承包人应承担的违约金和各项费用以后，发包人向承包人支付剩余工程款。</w:t>
      </w:r>
    </w:p>
    <w:p w14:paraId="7173D8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C、承包人仍需对其已完成工程承担保修义务，且发包人有权将质量保修金提高至结算工程款的15%。</w:t>
      </w:r>
    </w:p>
    <w:p w14:paraId="593F7C0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24.争议的解决</w:t>
      </w:r>
    </w:p>
    <w:p w14:paraId="5A13071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24.1争议的解决方式</w:t>
      </w:r>
    </w:p>
    <w:p w14:paraId="46AC4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因本合同引起的或与本合同有关的任何争议，合同双方友好协商不成、不愿提请争议组评审或者不愿接受争议评审组意见的，向工程所在地有管辖权的人民法院提起诉讼。</w:t>
      </w:r>
    </w:p>
    <w:p w14:paraId="281F176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24.3争议评审</w:t>
      </w:r>
    </w:p>
    <w:p w14:paraId="539FF7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14:paraId="29A0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24.3.5争议评审组在调查会后作出争议评审意见的期限：</w:t>
      </w:r>
      <w:r>
        <w:rPr>
          <w:rFonts w:hint="eastAsia" w:ascii="宋体" w:hAnsi="宋体" w:eastAsia="宋体" w:cs="宋体"/>
          <w:color w:val="auto"/>
          <w:sz w:val="24"/>
          <w:szCs w:val="24"/>
          <w:u w:val="single"/>
        </w:rPr>
        <w:t xml:space="preserve">在调查会结束后的14天内。  </w:t>
      </w:r>
    </w:p>
    <w:p w14:paraId="0320C02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补充条款</w:t>
      </w:r>
    </w:p>
    <w:p w14:paraId="1AFBA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25.1施工期间的安全问题、地方关系或个体关系由承包人单位自行解决，发生费用包含在</w:t>
      </w:r>
      <w:r>
        <w:rPr>
          <w:rStyle w:val="50"/>
          <w:rFonts w:hint="eastAsia" w:ascii="宋体" w:hAnsi="宋体" w:eastAsia="宋体" w:cs="宋体"/>
          <w:color w:val="auto"/>
          <w:sz w:val="24"/>
          <w:szCs w:val="24"/>
          <w:lang w:val="en-US" w:eastAsia="zh-CN"/>
        </w:rPr>
        <w:t>固定含税</w:t>
      </w:r>
      <w:r>
        <w:rPr>
          <w:rFonts w:hint="eastAsia" w:ascii="宋体" w:hAnsi="宋体" w:eastAsia="宋体" w:cs="宋体"/>
          <w:color w:val="auto"/>
          <w:sz w:val="24"/>
          <w:szCs w:val="24"/>
          <w:lang w:val="en-US" w:eastAsia="zh-CN"/>
        </w:rPr>
        <w:t>全费用综合单价</w:t>
      </w:r>
      <w:r>
        <w:rPr>
          <w:rFonts w:hint="eastAsia" w:ascii="宋体" w:hAnsi="宋体" w:eastAsia="宋体" w:cs="宋体"/>
          <w:color w:val="auto"/>
          <w:sz w:val="24"/>
          <w:szCs w:val="24"/>
        </w:rPr>
        <w:t>内，不再另行计取。</w:t>
      </w:r>
    </w:p>
    <w:p w14:paraId="32C394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25.2承包人应无条件接受发包人及监理单位的现场指导，并保持与工程其他专业队伍的严密配合对接，因拒绝现场指导，配合不足造成其他专业进度延误以及经济损失等情况，一切责任及损失概由承包人承担。</w:t>
      </w:r>
    </w:p>
    <w:p w14:paraId="2741F3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25.3本招标文件技术标准和要求中第16.1条列出的图纸变更等因素已包括在合同固定含税全费用综合单价中。</w:t>
      </w:r>
    </w:p>
    <w:p w14:paraId="775041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25.4承诺能够按照设计要求、相关规范和发包人企业标准完成约定的内容，并提供良好的服务。</w:t>
      </w:r>
    </w:p>
    <w:p w14:paraId="658DA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25.5承包人应了解当地法规、政策，了解政府相关部门的管理规定，承诺能够在当前政策条件下完成约定内容，遵守法律、法规和政策，接受政府相关部门的管理。</w:t>
      </w:r>
    </w:p>
    <w:p w14:paraId="4894C2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25.6承包人应了解当地建筑材料及劳动力市场状况，承诺能够组织足够的建筑设备、材料及劳动力，并承诺农忙不减员、按时支付农民工工资等条件。</w:t>
      </w:r>
    </w:p>
    <w:p w14:paraId="4FE8F5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25.7承包人已充分了解工程所在地的天气状况和变化规律，承诺能够在现有自然条件下按照约定条款完成约定的工程内容。</w:t>
      </w:r>
    </w:p>
    <w:p w14:paraId="00902D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25.8竣工后的场地，承包人将该场地内平整至图纸标高。</w:t>
      </w:r>
    </w:p>
    <w:p w14:paraId="7AC67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25.9承包人基本税务信息</w:t>
      </w:r>
    </w:p>
    <w:p w14:paraId="2B76B1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承包人应依法纳税并开具合法有效的增值税发票</w:t>
      </w:r>
      <w:r>
        <w:rPr>
          <w:rFonts w:hint="eastAsia" w:ascii="宋体" w:hAnsi="宋体" w:eastAsia="宋体" w:cs="宋体"/>
          <w:color w:val="auto"/>
          <w:sz w:val="24"/>
          <w:szCs w:val="24"/>
        </w:rPr>
        <w:t>。</w:t>
      </w:r>
    </w:p>
    <w:p w14:paraId="3440C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25.10重要节点延误30天以上的，发包人有权单方解除合同，承包人无条件撤场。</w:t>
      </w:r>
    </w:p>
    <w:p w14:paraId="6FA6D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25.11发包人将从应付给承包人的最后一笔工程款中预留壹拾万元人民币作为档案押金，若承包人能按期移交工程档案，在获取发包人档案验收合格证后可返还所有档案押金(无息)。若承包人不能按期移交工程档案，承包人将按照施工承包合同承担违约责任，发包人按每拖交14日历天将扣除承包人工程档案押金的50％，即伍万元人民币。</w:t>
      </w:r>
    </w:p>
    <w:p w14:paraId="11EEF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25.12本工程可能涉及到的所有控制价中包含的、或实际施工过程中需发生的规费（如工程排污费、建筑安全生产监督费、建设工程社会保障费及住房公积金等），已经包含在投标总价及合同固定含税全费用综合单价中。即使明确规定由发包人名义缴纳的，也将由发包人代缴后，从承包人工程款中分四次等额代扣（代扣金额=代缴费用+缴纳过程中产生的税金及费用），首次代扣时间为第二次进度款支付时开始扣除。工程竣工后，由承包人向有关部门进行协调，办理可能的退款事宜（可能的退款金额由承包人自行协调解决）。</w:t>
      </w:r>
    </w:p>
    <w:p w14:paraId="71333A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25.13墙改、散装水泥及城建档案资料等保证金或押金由发包人负责缴纳，承包人接到发包人通知后15个日历天内提供符合发包人要求的合法发票及合格的资料。否则由于承包人原因造成有关保证金或押金未能全部退回的，扣除部分的保证金或押金由承包人负责，发包人有权从支付承包人的任何工程款项中扣除。</w:t>
      </w:r>
    </w:p>
    <w:p w14:paraId="797CED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25.14农民工工资专项条款</w:t>
      </w:r>
    </w:p>
    <w:p w14:paraId="3FBFCC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根据《济宁市住房和城乡建设局关于全面落实建筑领域农民工实名制和工资专用账户管理制度执行委托银行按月代发工资办法的实施意见》济建行发字【2018】8号文精神，甲乙双方确实做好农民工工资发放工作。</w:t>
      </w:r>
    </w:p>
    <w:p w14:paraId="70C0FB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如果承包人对工程进行分包的，承包人须于每月第5个工作日前，将上月农民工工资暂付款拨付到分包企业专用账户，以保障农民工工资按月支付。</w:t>
      </w:r>
    </w:p>
    <w:p w14:paraId="1BE56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承包人直接招用农民工，承包人须依法与农民工签订劳动合同，建立农民工个人工作银行卡名册，与监管银行签订农民工工资委托代发协议，并在监管银行为农民工办理个人工资银行卡。承包人应当制定内部工资支付方法，并告知本企业全体农民工。</w:t>
      </w:r>
    </w:p>
    <w:p w14:paraId="00862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确保本施工合同项下不因农民工工资未能按时足额发放到位而引发讨薪事件。</w:t>
      </w:r>
    </w:p>
    <w:p w14:paraId="556984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农民工工资月结月清，发包人将每次工程付款节点前承包人农民工工资支付清单作为拨付工程进度款的前置条件。在发包人支付每笔款项之前，承包人须提供有关农民工工资已按时发放的书面承诺函件及农民工身份证复印件，并且要有十个以上的农民工代表的签字、摁手印，否则，发包人有权拒绝付款。</w:t>
      </w:r>
    </w:p>
    <w:p w14:paraId="741CB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25.15承包人应按时足额支付农民工的工资和分包人的工程款，若发生因欠款情况导致民工或分包单位上访或媒体披露或诉讼及其它恶性事件的，发包人有权根据法院送达的《协助执行通知书》或政府主管部门的指令性通知，对承包人的违约行为可同时作如下处理，并保留进一步追诉的权利：</w:t>
      </w:r>
    </w:p>
    <w:p w14:paraId="528998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从上访事件及其它恶性事件发生当月起，暂扣当月发包人应付承包人工程款的50%，在承包人处理好拖欠农民工工资问题，并取得政府处理意见后，再支付暂扣工程款。当月没有处理完的，下次付款继续按照50%比例暂扣工程款。</w:t>
      </w:r>
    </w:p>
    <w:p w14:paraId="12C3B8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发包人按照政府主管部门的指令性通知文件或根据法院送达的《协助执行通知书》，在相关部门的见证下可直接向农民工、分包人、法院或政府主管部门支付承包人欠付的工资或工程款、材料款等各项欠款，且发包人有权从应付承包人的任何一笔工程款中扣除相应的金额。</w:t>
      </w:r>
    </w:p>
    <w:p w14:paraId="4ADF06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25.16项目安全生产的达标目标及相应事项的约定：除执行通用条款外，执行现行的济宁市建筑工地扬尘防治及施工现场标准。承包人承包的全部工程（含合同内工程及增加工程）之工程安全文明施工须达到标准，发生费用包含在固定含税全费用综合单价内，不再另行计取。若未达到标准，承包人向发包人按5元/平方米（建筑面积）支付违约金，并可在发包人向承包人的任意一次付款中予以扣除。</w:t>
      </w:r>
    </w:p>
    <w:p w14:paraId="0430FF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25.17施工机械设备保险</w:t>
      </w:r>
    </w:p>
    <w:p w14:paraId="6AA75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承包人所拥有或提供的机械设备，由承包人负责投保并承担费用。</w:t>
      </w:r>
    </w:p>
    <w:p w14:paraId="3D4451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25.18运输险及存仓保险</w:t>
      </w:r>
    </w:p>
    <w:p w14:paraId="6432AA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承包人应当负责其供应的材料及设备在运送途中直至运抵现场的安全；如果认为有需要，承包人应当自行购买有关保险。</w:t>
      </w:r>
    </w:p>
    <w:p w14:paraId="09FE8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25.19其他商业保险</w:t>
      </w:r>
    </w:p>
    <w:p w14:paraId="394D7A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承包人必须为从事危险作业的职工办理意外伤害保险，支付保险费。为了分散或降低风险，承包人可办理其他商业保险，其费用由承包人自行负担。</w:t>
      </w:r>
    </w:p>
    <w:p w14:paraId="53275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25.20保险事故发生时承包人应立即向保险公司报案并通知发包人，若承包人未能在 24 小时内向保险公司报案或未采取必要措施防止或减少损失，导致保险公司拒赔或者不能足额赔付，则由此发生的损失由承包人自行承担。</w:t>
      </w:r>
    </w:p>
    <w:p w14:paraId="2DB83E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25.21如果工程出现损失、损害或损坏、承包人须立即负责修复、补救及更换或维修任何受破坏或损坏之物料，清理及弃置任何残骸。所有由发包人或承包人按本条款获得有关本工程之保险赔偿须用于本工程之修复、重建、更换、维修或完成工作。除从保险获得之赔偿外，承包人将无权向发包人收取为修复受损工程、更换及维修任何物料或货物、以及为清理及弃置残骸而发生之费用。</w:t>
      </w:r>
    </w:p>
    <w:p w14:paraId="43D53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25.22在承保人赔偿未发放前，所有关于本工程的抢险费用均先由承包人支付。</w:t>
      </w:r>
    </w:p>
    <w:p w14:paraId="200C36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25.23施工企业外来从业人员保险</w:t>
      </w:r>
    </w:p>
    <w:p w14:paraId="648873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承包人应当按照邹城市关于外来从业人员保险的最新规定为外来从业人员购买相关保险，相关费用已包括在合同固定含税全费用综合单价内，如须发包人代缴，将从应付的中期付款中相应扣除。</w:t>
      </w:r>
    </w:p>
    <w:p w14:paraId="7CF942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25.24施工期间若出现任何安全事故及给第三者造成的安全事故均由承包人负责，与发包人无关，如给发包人造成损失，发包人有权向承包人追偿。</w:t>
      </w:r>
    </w:p>
    <w:p w14:paraId="510671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 工程结算流程</w:t>
      </w:r>
    </w:p>
    <w:p w14:paraId="09D0B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25.25.1 承包人上报施工图预算及竣工结算（含广联达算量图形及工程量计算式）、竣工图纸、变更签证等资料、验收合格证明等资料一次性上报齐全，发包人将进行社会审价或发包人内部审价，造价咨询公司审核并经发包人确认后的预算价为工程结算造价的一部分。在一审的预结算审核结果基础上，发包人有权进行二审，二审工作由二审咨询单位与一审咨询单位对接，承包人必须全力配合一审咨询公司的各项工作，经发包人审核确认后双方协商一致确定最终结算价。</w:t>
      </w:r>
    </w:p>
    <w:p w14:paraId="1341D5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工程结算总价</w:t>
      </w:r>
      <w:r>
        <w:rPr>
          <w:rFonts w:hint="eastAsia" w:ascii="宋体" w:hAnsi="宋体" w:eastAsia="宋体" w:cs="宋体"/>
          <w:color w:val="auto"/>
          <w:sz w:val="24"/>
          <w:szCs w:val="24"/>
        </w:rPr>
        <w:t>=确认的固定含税全费用综合单价×实测工程量</w:t>
      </w:r>
      <w:r>
        <w:rPr>
          <w:rFonts w:hint="eastAsia" w:ascii="宋体" w:hAnsi="宋体" w:eastAsia="宋体" w:cs="宋体"/>
          <w:color w:val="auto"/>
          <w:sz w:val="24"/>
          <w:szCs w:val="24"/>
          <w:lang w:val="zh-CN"/>
        </w:rPr>
        <w:t>+设计变更、洽商、签证＋依据本合同的增加项目-依据本合同的减少项目-违约金和（或）损失赔偿额；</w:t>
      </w:r>
      <w:r>
        <w:rPr>
          <w:rFonts w:hint="eastAsia" w:ascii="宋体" w:hAnsi="宋体" w:eastAsia="宋体" w:cs="宋体"/>
          <w:color w:val="auto"/>
          <w:sz w:val="24"/>
          <w:szCs w:val="24"/>
        </w:rPr>
        <w:t>结算资料需双方签字盖章方为有效，不符合条件的工程结算资料依据均属无效，双方不作为办理结算的依据。</w:t>
      </w:r>
    </w:p>
    <w:p w14:paraId="14B76C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报送的结算资料：承包人须及时向发包人报送完整的结算资料，否则发包人有权不予结算，并有权拒付工程款，结算资料包括但不限于：</w:t>
      </w:r>
    </w:p>
    <w:p w14:paraId="0DA8AE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（1）工程竣工验收报告</w:t>
      </w:r>
    </w:p>
    <w:p w14:paraId="3BED6F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（2）工程移交表   </w:t>
      </w:r>
    </w:p>
    <w:p w14:paraId="1710EA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（3）施工合同      </w:t>
      </w:r>
    </w:p>
    <w:p w14:paraId="0E9CF7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（4）开竣工报告</w:t>
      </w:r>
    </w:p>
    <w:p w14:paraId="6D952D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（5）结算报告</w:t>
      </w:r>
    </w:p>
    <w:p w14:paraId="74CA2A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（6）工程量计算书</w:t>
      </w:r>
    </w:p>
    <w:p w14:paraId="66E36B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（7）图纸会审记录 </w:t>
      </w:r>
    </w:p>
    <w:p w14:paraId="211226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（8）增加工程现场签证</w:t>
      </w:r>
    </w:p>
    <w:p w14:paraId="6A404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（10）设计变更通知单 </w:t>
      </w:r>
    </w:p>
    <w:p w14:paraId="6E0259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（11）单位工程验收记录</w:t>
      </w:r>
    </w:p>
    <w:p w14:paraId="57C3557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（12）相关设备和材料的协议书、购销合同、价格确认资料</w:t>
      </w:r>
    </w:p>
    <w:p w14:paraId="7051EA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（13）竣工图纸</w:t>
      </w:r>
    </w:p>
    <w:p w14:paraId="0E8981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（14）工程验收单</w:t>
      </w:r>
    </w:p>
    <w:p w14:paraId="1C3A00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（15）发包人或有关单位及部门要求的其他资料</w:t>
      </w:r>
    </w:p>
    <w:p w14:paraId="570D27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25.25.2结算资料需双方签字盖章方为有效，不符合条件的工程结算资料依据均属无效，双方不作为办理结算的依据。</w:t>
      </w:r>
    </w:p>
    <w:p w14:paraId="28D95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25.25.3工程经监理、发包人工程人员验收合格，承包人及时移交符合要求的工程施工资料并提交完整的工程结算资料。</w:t>
      </w:r>
    </w:p>
    <w:p w14:paraId="7D03E6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25.25.4 在二次结算审价过程中，不再增加任何结算资料（图纸、签证变更单、价格凭证等），送审的结算书中若有遗漏项目均作为让利给发包人，不作增加调整。</w:t>
      </w:r>
    </w:p>
    <w:p w14:paraId="0D7B06F9">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shd w:val="clear" w:color="auto" w:fill="auto"/>
        </w:rPr>
        <w:t>25.25.5 在结算审价过程中，审计人员对提供的结算资料（图纸、签证变更单、价格凭证等）有权提出质疑，承包人、监理人和发包人应积极配合询证。</w:t>
      </w:r>
    </w:p>
    <w:p w14:paraId="4B2375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25.26 对承包人高估冒算的处罚</w:t>
      </w:r>
    </w:p>
    <w:p w14:paraId="142017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25.26.1 承包人向发包人报送的所有计价文件，包括预算、变更签证、结算等，均不得高估冒算。如果承包人报送的计价文件的送审价超过发包人最终审定价的5%，即认为承包人存在高估冒算行为，承包人违约，承包人应承担相应的审价费及违约金；具体按如下约定执行：</w:t>
      </w:r>
    </w:p>
    <w:p w14:paraId="555470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 如果[承包人送审价-发包人审定价]/发包人审定价≤5%，承包人不支付任何审价违约金。</w:t>
      </w:r>
    </w:p>
    <w:p w14:paraId="090712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 如果[承包人送审价-发包人审定价]/发包人审定价&gt;5%，承包人向发包人支付按核减额的 5%审价违约金。</w:t>
      </w:r>
    </w:p>
    <w:p w14:paraId="2451B6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 如果[承包人送审价-发包人审定价]/发包人审定价&gt;8%,承包人除向发包人支付按核减额的 5%审价违约金外,另按[承包人送审价-发包人审定价*1.08]*10%向发包人支付违约金。</w:t>
      </w:r>
    </w:p>
    <w:p w14:paraId="708984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 发包人可以委托社会审价机构对承包人报送的预算、结算等计价文件进行审计，但社会审价机构出具的审计文件最终以发包人签字盖章认可为准。</w:t>
      </w:r>
    </w:p>
    <w:p w14:paraId="0BA418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 结算流程按发包人相关规定执行。</w:t>
      </w:r>
    </w:p>
    <w:p w14:paraId="20481A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 除发包人明确的单价外，其他清单中漏项、错项、少项的不再调整任何单价，均与发包人明确的单价。</w:t>
      </w:r>
    </w:p>
    <w:p w14:paraId="034632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25.27承包人应根据现场实际情况，制定有效安全防范、防护措施，安设醒目安全标志、警戒线，并安排专人负责。任何因承包人原因引起的交通、生产等安全问题均由承包人负责。 </w:t>
      </w:r>
    </w:p>
    <w:p w14:paraId="0AB78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25.28承包人应加强治安管理及现场管理，任何因承包人原因造成的扰民纠纷及其他纠纷均由承包人负责。</w:t>
      </w:r>
    </w:p>
    <w:p w14:paraId="07B2BB51">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shd w:val="clear" w:color="auto" w:fill="auto"/>
        </w:rPr>
        <w:t>25.29承包人在疫情防控期间，应严格贯彻落实各级部门的防控要求，产生的相关费用以及可能造成的窝工费等，承包人都应充分考虑在投标总报价中，不再另行计取。</w:t>
      </w:r>
    </w:p>
    <w:p w14:paraId="361E7CF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26.保修</w:t>
      </w:r>
    </w:p>
    <w:p w14:paraId="326689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26.1本工程质保期、苗木养护期均为两年，自承包人所有施工项目全部完成并经发包人及监理单位验收合格之日起开始计算。质保期、苗木养护期内的质量问题、苗木养护均由承包人负责，养护期内苗木出现非发包人原因自然死亡的，由承包人按合同清单内的苗木规格予以更换补种，相应费用由承包人承担。</w:t>
      </w:r>
    </w:p>
    <w:p w14:paraId="1FB8D4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在保修期内出现的故障，承包人承诺在接到发包人通知24小时内维修人员到达现场进行修复，先修复后划分责任。因逾期派员或逾期修复的，发包人有权另聘他人进行维修，维修费用发包人有权从承包人质保金中双倍扣除作为对发包人损失的赔偿，质保金不足，发包人有权继续向承包人追偿。</w:t>
      </w:r>
    </w:p>
    <w:p w14:paraId="1E25EC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26.3承包人维修过的部位，该部位的质量保修期自维修完工之日重新计算；连续维修的从最后一次维修完工之日起重新计算。</w:t>
      </w:r>
    </w:p>
    <w:p w14:paraId="45D712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26.4承包人根据本合同约定需支付违约金或赔偿金的，发包人有权从质量保证金及未支付的工程款中直接扣除，不足部分，由承包人另行支付。</w:t>
      </w:r>
    </w:p>
    <w:p w14:paraId="6C653B55">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48AB370F">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44547734">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DC232D4">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5346878">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78A7B1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64FBFD98">
      <w:pPr>
        <w:pStyle w:val="3"/>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bookmarkStart w:id="222" w:name="_Toc21212"/>
      <w:bookmarkStart w:id="223" w:name="_Toc330990565"/>
      <w:r>
        <w:rPr>
          <w:rFonts w:hint="eastAsia" w:ascii="宋体" w:hAnsi="宋体" w:eastAsia="宋体" w:cs="宋体"/>
          <w:color w:val="auto"/>
          <w:sz w:val="24"/>
          <w:szCs w:val="24"/>
        </w:rPr>
        <w:t>第三节  合同附件格式</w:t>
      </w:r>
      <w:bookmarkEnd w:id="222"/>
      <w:bookmarkEnd w:id="223"/>
    </w:p>
    <w:p w14:paraId="142A00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附件一：承包人提供的材料和工程设备一览表</w:t>
      </w:r>
    </w:p>
    <w:p w14:paraId="765DFC88">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p>
    <w:p w14:paraId="318081A4">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承包人提供的材料和工程设备一览表</w:t>
      </w:r>
    </w:p>
    <w:p w14:paraId="0F495F3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69B0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32208BB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75" w:type="dxa"/>
            <w:noWrap w:val="0"/>
            <w:vAlign w:val="center"/>
          </w:tcPr>
          <w:p w14:paraId="6D8DD74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4E136CB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1032" w:type="dxa"/>
            <w:noWrap w:val="0"/>
            <w:vAlign w:val="center"/>
          </w:tcPr>
          <w:p w14:paraId="369878C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5AD7CD25">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613" w:type="dxa"/>
            <w:noWrap w:val="0"/>
            <w:vAlign w:val="center"/>
          </w:tcPr>
          <w:p w14:paraId="673CB29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2D30FE8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613" w:type="dxa"/>
            <w:noWrap w:val="0"/>
            <w:vAlign w:val="center"/>
          </w:tcPr>
          <w:p w14:paraId="68CB8F00">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341156B9">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613" w:type="dxa"/>
            <w:noWrap w:val="0"/>
            <w:vAlign w:val="center"/>
          </w:tcPr>
          <w:p w14:paraId="7636C69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5C86966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900" w:type="dxa"/>
            <w:noWrap w:val="0"/>
            <w:vAlign w:val="center"/>
          </w:tcPr>
          <w:p w14:paraId="5738C42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D8B6876">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900" w:type="dxa"/>
            <w:noWrap w:val="0"/>
            <w:vAlign w:val="center"/>
          </w:tcPr>
          <w:p w14:paraId="7224F1A0">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7BF7ADE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900" w:type="dxa"/>
            <w:noWrap w:val="0"/>
            <w:vAlign w:val="center"/>
          </w:tcPr>
          <w:p w14:paraId="514EEF3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143C2E8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6669302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00" w:type="dxa"/>
            <w:noWrap w:val="0"/>
            <w:vAlign w:val="center"/>
          </w:tcPr>
          <w:p w14:paraId="0691F76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FF69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5C43B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2EE94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659C9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E829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9A5B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9A2A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4B3EC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C9454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6C0F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397949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3AC4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BDE2F2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61212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A32A5F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4015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8A22BE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B91E13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FA102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F43E5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AAAD4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1B975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D68D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7A2B7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65C0D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BD2CD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EB214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0A01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1729F4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81E6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F4467E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0191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332402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7A98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8159C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7EDB5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BB34BD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8649F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6B622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BFCA82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35E3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9CEC2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0843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6A422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FEC0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41C2A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D9903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DDE74E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E15EB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30013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E3D430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F3A21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7A5A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BEFD7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116E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2EF4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67E7F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8DAE6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3C2FC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49983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14320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DE17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3971F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74432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B767A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519B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ED70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DA48FB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DDA88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10DF2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EFD3C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D2DEE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3289A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49769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88D757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79B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7588C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3D6E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1AC07A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2578D2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2D7401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88B7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8D4F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7928C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043D6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1C50C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D5EA5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F578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42034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7AAC8B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741F9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09042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31BC3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3C86D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0038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22CF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DD7D7D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1629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7A89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A9BE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978A9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0B5D92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538BC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C3A4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24C6A0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555ECD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E7DA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223808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FD96A3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765C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499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29403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A7DFE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56717C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A85E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428F14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F177B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99F5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3393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CCE70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A18AC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7B38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A713A8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F42A1F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547605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E7C4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BEF4E7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3FA9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1F65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027D5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6583FA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6FB29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F2F1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B42D6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FD8BB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B236F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3DDB23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8A1FE3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63C92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3EA0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3AA0B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0EA4D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3789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8A0B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EFABB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B302B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7D362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7B3FB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05947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9F7BD5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64F54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BC40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63D16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21337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E162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E2D07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B9C1D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0CE5A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F3F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AB42D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F6DF8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5F370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F1818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6481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6820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CF11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63C3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4BF18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7076A4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E7C1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018CF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EE70B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F4DF3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3E2F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CAD2C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49273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6E67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8A5EB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8FF4F6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B190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DCDA78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B93B7B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2A2A6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989B3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1D9E2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532C2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65CEB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9C97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90D5A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88BF68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7B430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B9323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3C13AD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A0EC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6B5793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13B556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C1654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CA2B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04CD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88907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37D698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4319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621CA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AEFD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9C8D55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3E953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3D0C0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1FE2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92D95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038F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C0E1A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0B8ED0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3E5340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9A718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56120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9A2B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F4587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E974D0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7704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436D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9F95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AB877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7C4C9D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7473D1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A28AFC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885D3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CD01D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48D9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D57232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144B48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36C5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1E7E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B9BAC1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F0E27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00ECD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273E6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73F196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F410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8086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1AACB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6CCB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466A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EA3C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A219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55851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E2CA5F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6EE3B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97DC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B6E89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BFD7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23956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DAD7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0BCE9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24FE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1D168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2C4B2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C196A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8E71A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D0805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9382C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9D2E6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E6F56C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07B6C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2D7B2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3BA4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950949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5FAF232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64D3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C056EF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AF4F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F6DC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DD662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346437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C2BD61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491E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bl>
    <w:p w14:paraId="7855A454">
      <w:pPr>
        <w:widowControl w:val="0"/>
        <w:kinsoku/>
        <w:wordWrap/>
        <w:overflowPunct/>
        <w:topLinePunct w:val="0"/>
        <w:autoSpaceDE/>
        <w:autoSpaceDN/>
        <w:bidi w:val="0"/>
        <w:spacing w:after="72" w:afterLines="30" w:line="360" w:lineRule="auto"/>
        <w:textAlignment w:val="auto"/>
        <w:rPr>
          <w:rFonts w:hint="eastAsia" w:ascii="宋体" w:hAnsi="宋体" w:eastAsia="宋体" w:cs="宋体"/>
          <w:color w:val="auto"/>
          <w:sz w:val="24"/>
          <w:szCs w:val="24"/>
        </w:rPr>
      </w:pPr>
    </w:p>
    <w:p w14:paraId="117C95C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附件二：发包人提供的材料和工程设备一览表</w:t>
      </w:r>
    </w:p>
    <w:p w14:paraId="12E944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084EFB1D">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发包人提供的材料和工程设备一览表</w:t>
      </w: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137F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14:paraId="6BA3B66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75" w:type="dxa"/>
            <w:noWrap w:val="0"/>
            <w:vAlign w:val="center"/>
          </w:tcPr>
          <w:p w14:paraId="034D3F1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6E2B04D8">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1032" w:type="dxa"/>
            <w:noWrap w:val="0"/>
            <w:vAlign w:val="center"/>
          </w:tcPr>
          <w:p w14:paraId="0DB4D2C4">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20C9C04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613" w:type="dxa"/>
            <w:noWrap w:val="0"/>
            <w:vAlign w:val="center"/>
          </w:tcPr>
          <w:p w14:paraId="3410D13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3E52185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613" w:type="dxa"/>
            <w:noWrap w:val="0"/>
            <w:vAlign w:val="center"/>
          </w:tcPr>
          <w:p w14:paraId="6D98ABE6">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1AE81629">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613" w:type="dxa"/>
            <w:noWrap w:val="0"/>
            <w:vAlign w:val="center"/>
          </w:tcPr>
          <w:p w14:paraId="7D74B273">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1AC2AC8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900" w:type="dxa"/>
            <w:noWrap w:val="0"/>
            <w:vAlign w:val="center"/>
          </w:tcPr>
          <w:p w14:paraId="12C5EA0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F3A910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900" w:type="dxa"/>
            <w:noWrap w:val="0"/>
            <w:vAlign w:val="center"/>
          </w:tcPr>
          <w:p w14:paraId="458466C3">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0E1A7BD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900" w:type="dxa"/>
            <w:noWrap w:val="0"/>
            <w:vAlign w:val="center"/>
          </w:tcPr>
          <w:p w14:paraId="3A28C1F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540F395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05FF4C5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00" w:type="dxa"/>
            <w:noWrap w:val="0"/>
            <w:vAlign w:val="center"/>
          </w:tcPr>
          <w:p w14:paraId="4C985C3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4EF82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37ED6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7B69C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3ADC8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34642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9A0D2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02BA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B1FC8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D69D3F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FB41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4D9C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1F8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8F0282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C646F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3A3053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B2C7FE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53867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D345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8986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2709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ABE6C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85E3ED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4029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A9BA2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86742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6055A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DA5F5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25EED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4E6C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409E6F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1D43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E95C7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2A69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38E1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485DC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8C3AB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D0FBD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29976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A75C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BB07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4A02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BC3E1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8249B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6C0F5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9FE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8EFBE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398D3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9B04E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7375E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A58D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A55ED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98CE0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FDA12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351E8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ED296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FA2B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27D54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87390D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4EAB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E252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906CF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526824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47420B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6160E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49416C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6103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F1A7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3CD4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AF8E9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8837B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D33FD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8FF9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6BA026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8D1E45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2AE139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79816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D4EFC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D56B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08B11B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3D2FE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0605A7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1944B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8F12D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9D482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16B0F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BD77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44D7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58585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4C5E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C40DB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3458E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D19C4E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796ED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B0756D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97245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0D93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38D2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1C1DB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A2CC4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DFE4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7391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D8E39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F76DA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4C1BF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AB50EE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928F29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33CD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05D9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72E91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27FE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AD13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7D16A4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43F2D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35F30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662C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DF5700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1F996A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F3E9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C83B4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1D527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8C1B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849D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2867AB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1048DB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8227A5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1BFB1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265BDE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6D2166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42CE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3B63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74D167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B13C7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1FD7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EB3F1D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089179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F615B5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EC59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601881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11803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852A57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DECC7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4DF62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CED0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46FB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25E3C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49E9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55569A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B1574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2EA18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F169D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D14EF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8FF4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F6C33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11E3D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DF61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7CF6F1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91AA16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9BFFA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16A55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3109DD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F710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B4513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F6D0D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5786E3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D0801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49A33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9C73C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DE64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6FACE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0BBFB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0A470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046A0A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B8896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C740CC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94B72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9DEBA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5D10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86411C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70B62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4BBCE9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F15C1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053E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C815E1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054AF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382EA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2BD2B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DD05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F56F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A945EA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D1E158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CAE9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2CAAE7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16DB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D2EBB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EED4A3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28614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A5F6B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D34B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3790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B9AA8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115C4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855992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C7DE8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9AFC0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B05DFE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E1B99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1186CE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EC918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EEA41A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A6E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0A16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5F499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627B6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226E53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08393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495E0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8F8A8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5C21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F371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F6B32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5E7F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F36B96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EAF28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78FF0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6C39E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DB978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EB851D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F5CE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C5E5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13EAD5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0873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E201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0149E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AF602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C1F56D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85F9D1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8EE7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8A38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E27E7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ED34B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284687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F97D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B970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605EEF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F049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45900E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0CF56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2BD8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C6DBF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2C379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BD6CC7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D33B4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D2C04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F4C6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55869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86130E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4D7FA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DE638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57C213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C5A4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D026F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95EC3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4820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92D01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8C71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5CCD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C6A31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CF84F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C1662A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768DF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5E5DC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80BCA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C9DB2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71B6B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91736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CF55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1AE788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C5E4CF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0C491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0AA989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7F205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91D00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F9B9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F161B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AA396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3E0B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53FA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A3138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4F9F7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2162B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A5555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8D09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85AEF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AA79F7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79A68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DBFC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54716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77D3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962129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25CC8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92C837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C60EB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7B217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9232B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D321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B194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E4302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D8A9B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bl>
    <w:p w14:paraId="4BD2C2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备注：除合同另有约定外，本表所列发包人供应材料和工程设备的数量不考虑施工损耗，施工损耗被认为已经包括在承包人的投标价格中。</w:t>
      </w:r>
    </w:p>
    <w:p w14:paraId="062CC4EA">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sectPr>
          <w:footerReference r:id="rId13" w:type="default"/>
          <w:pgSz w:w="11906" w:h="16838"/>
          <w:pgMar w:top="1418" w:right="1418" w:bottom="1304" w:left="1418" w:header="851" w:footer="851" w:gutter="0"/>
          <w:pgNumType w:fmt="decimal"/>
          <w:cols w:space="720" w:num="1"/>
          <w:docGrid w:linePitch="312" w:charSpace="0"/>
        </w:sectPr>
      </w:pPr>
    </w:p>
    <w:p w14:paraId="09A7634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附件三：质量保修书格式</w:t>
      </w:r>
    </w:p>
    <w:p w14:paraId="0490483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p>
    <w:p w14:paraId="1CE32D4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房屋建筑工程质量保修书</w:t>
      </w:r>
    </w:p>
    <w:p w14:paraId="27997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邹城市钢山街道崇义庄村村民委员会</w:t>
      </w:r>
      <w:r>
        <w:rPr>
          <w:rFonts w:hint="eastAsia" w:ascii="宋体" w:hAnsi="宋体" w:eastAsia="宋体" w:cs="宋体"/>
          <w:color w:val="auto"/>
          <w:sz w:val="24"/>
          <w:szCs w:val="24"/>
          <w:u w:val="single"/>
        </w:rPr>
        <w:t xml:space="preserve">                 </w:t>
      </w:r>
    </w:p>
    <w:p w14:paraId="2F3EB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p>
    <w:p w14:paraId="254F83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发包人、承包人根据《中华人民共和国建筑法》、《建设工程质量管理条例》和《房屋建筑工程质量保修办法》，经协商一致，对</w:t>
      </w:r>
      <w:r>
        <w:rPr>
          <w:rFonts w:hint="eastAsia" w:ascii="宋体" w:hAnsi="宋体" w:cs="宋体"/>
          <w:color w:val="auto"/>
          <w:sz w:val="24"/>
          <w:szCs w:val="24"/>
          <w:u w:val="single"/>
          <w:lang w:eastAsia="zh-CN"/>
        </w:rPr>
        <w:t>邹城市钢山街道办事处崇义家园楼梯间热力改造工程</w:t>
      </w:r>
      <w:r>
        <w:rPr>
          <w:rFonts w:hint="eastAsia" w:ascii="宋体" w:hAnsi="宋体" w:eastAsia="宋体" w:cs="宋体"/>
          <w:color w:val="auto"/>
          <w:sz w:val="24"/>
          <w:szCs w:val="24"/>
          <w:u w:val="single"/>
        </w:rPr>
        <w:t xml:space="preserve">施工 </w:t>
      </w:r>
      <w:r>
        <w:rPr>
          <w:rFonts w:hint="eastAsia" w:ascii="宋体" w:hAnsi="宋体" w:eastAsia="宋体" w:cs="宋体"/>
          <w:color w:val="auto"/>
          <w:sz w:val="24"/>
          <w:szCs w:val="24"/>
        </w:rPr>
        <w:t>(工程名称)签订保修书。</w:t>
      </w:r>
    </w:p>
    <w:p w14:paraId="1FC914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14:paraId="1AE102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承包人在保修期内，按照有关法律、法规、规章的管理规定和双方约定，承担本工程保修责任。</w:t>
      </w:r>
    </w:p>
    <w:p w14:paraId="2DD677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C0EFB3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承包人施工的室外所有项目。                                                                           </w:t>
      </w:r>
    </w:p>
    <w:p w14:paraId="3CE838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542845A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38FF75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002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14:paraId="103C6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双方根据《建设工程质量管理条例》及有关规定，约定本工程的保修期如下：</w:t>
      </w:r>
    </w:p>
    <w:p w14:paraId="29BB6B69">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1、地基基础工程和主体结构工程为设计文件规定的该工程合理使用年限；</w:t>
      </w:r>
    </w:p>
    <w:p w14:paraId="5D10F184">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2、屋面防水工程、有防水要求的卫生间、房间和外墙面的防渗漏为</w:t>
      </w:r>
      <w:r>
        <w:rPr>
          <w:rFonts w:hint="eastAsia" w:ascii="宋体" w:hAnsi="宋体" w:eastAsia="宋体" w:cs="宋体"/>
          <w:color w:val="auto"/>
          <w:sz w:val="24"/>
          <w:szCs w:val="24"/>
          <w:u w:val="single"/>
        </w:rPr>
        <w:t xml:space="preserve"> 五 </w:t>
      </w:r>
      <w:r>
        <w:rPr>
          <w:rFonts w:hint="eastAsia" w:ascii="宋体" w:hAnsi="宋体" w:eastAsia="宋体" w:cs="宋体"/>
          <w:color w:val="auto"/>
          <w:sz w:val="24"/>
          <w:szCs w:val="24"/>
        </w:rPr>
        <w:t>年；</w:t>
      </w:r>
    </w:p>
    <w:p w14:paraId="158B8061">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年；</w:t>
      </w:r>
    </w:p>
    <w:p w14:paraId="3C912915">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年；</w:t>
      </w:r>
    </w:p>
    <w:p w14:paraId="232A0A0B">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个采暖期、供冷期；</w:t>
      </w:r>
    </w:p>
    <w:p w14:paraId="3F48B6A9">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6、其他项目保修期限约定如下：</w:t>
      </w:r>
    </w:p>
    <w:p w14:paraId="05867E2E">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承包人施工的室外所有项目保修期为二年</w:t>
      </w:r>
      <w:r>
        <w:rPr>
          <w:rFonts w:hint="eastAsia" w:ascii="宋体" w:hAnsi="宋体" w:cs="宋体"/>
          <w:color w:val="auto"/>
          <w:sz w:val="24"/>
          <w:szCs w:val="24"/>
          <w:u w:val="single"/>
          <w:lang w:eastAsia="zh-CN"/>
        </w:rPr>
        <w:t>，其中涉及以上保修期约定的，按上述约定执行</w:t>
      </w:r>
      <w:r>
        <w:rPr>
          <w:rFonts w:hint="eastAsia" w:ascii="宋体" w:hAnsi="宋体" w:eastAsia="宋体" w:cs="宋体"/>
          <w:color w:val="auto"/>
          <w:sz w:val="24"/>
          <w:szCs w:val="24"/>
        </w:rPr>
        <w:t>。</w:t>
      </w:r>
    </w:p>
    <w:p w14:paraId="3C350C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14:paraId="40B257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14:paraId="5390AA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14:paraId="661A62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229A4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2EDF5F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14:paraId="4AA470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014638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14:paraId="4365A4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14:paraId="2E3E36A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220BC8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1366961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08873D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FCE97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14:paraId="156F85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p>
    <w:p w14:paraId="20C4E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p>
    <w:p w14:paraId="483D70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(公章)</w:t>
      </w:r>
    </w:p>
    <w:p w14:paraId="5E0D1E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法定地址：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9EF50D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228170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(签字)</w:t>
      </w:r>
    </w:p>
    <w:p w14:paraId="42F4E2F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6B671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14:paraId="042C9B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电子邮箱：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893E44F">
      <w:pPr>
        <w:widowControl w:val="0"/>
        <w:kinsoku/>
        <w:wordWrap/>
        <w:overflowPunct/>
        <w:topLinePunct w:val="0"/>
        <w:autoSpaceDE/>
        <w:autoSpaceDN/>
        <w:bidi w:val="0"/>
        <w:spacing w:line="360" w:lineRule="auto"/>
        <w:ind w:left="5880" w:hanging="6720" w:hangingChars="28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w w:val="90"/>
          <w:sz w:val="24"/>
          <w:szCs w:val="24"/>
        </w:rPr>
        <w:t>：</w:t>
      </w:r>
      <w:r>
        <w:rPr>
          <w:rFonts w:hint="eastAsia" w:ascii="宋体" w:hAnsi="宋体" w:eastAsia="宋体" w:cs="宋体"/>
          <w:color w:val="auto"/>
          <w:w w:val="90"/>
          <w:sz w:val="24"/>
          <w:szCs w:val="24"/>
          <w:u w:val="single"/>
          <w:lang w:val="en-US" w:eastAsia="zh-CN"/>
        </w:rPr>
        <w:t xml:space="preserve">         </w:t>
      </w:r>
    </w:p>
    <w:p w14:paraId="2DF9E7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帐号：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帐号：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520217C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ADFD181">
      <w:pPr>
        <w:spacing w:line="360" w:lineRule="auto"/>
        <w:rPr>
          <w:rFonts w:ascii="宋体" w:hAnsi="宋体" w:cs="宋体"/>
          <w:b/>
          <w:bCs/>
          <w:color w:val="auto"/>
          <w:szCs w:val="21"/>
        </w:rPr>
      </w:pPr>
    </w:p>
    <w:p w14:paraId="16D30DD7">
      <w:pPr>
        <w:spacing w:line="360" w:lineRule="auto"/>
        <w:rPr>
          <w:rFonts w:ascii="宋体" w:hAnsi="宋体" w:cs="宋体"/>
          <w:b/>
          <w:bCs/>
          <w:color w:val="auto"/>
          <w:szCs w:val="21"/>
        </w:rPr>
      </w:pPr>
    </w:p>
    <w:p w14:paraId="66F7985D">
      <w:pPr>
        <w:spacing w:line="360" w:lineRule="auto"/>
        <w:rPr>
          <w:rFonts w:ascii="宋体" w:hAnsi="宋体" w:cs="宋体"/>
          <w:b/>
          <w:bCs/>
          <w:color w:val="auto"/>
          <w:szCs w:val="21"/>
        </w:rPr>
      </w:pPr>
    </w:p>
    <w:p w14:paraId="4458DB53">
      <w:pPr>
        <w:spacing w:line="360" w:lineRule="auto"/>
        <w:rPr>
          <w:rFonts w:ascii="宋体" w:hAnsi="宋体" w:cs="宋体"/>
          <w:b/>
          <w:bCs/>
          <w:color w:val="auto"/>
          <w:szCs w:val="21"/>
        </w:rPr>
      </w:pPr>
    </w:p>
    <w:p w14:paraId="015FFCFE">
      <w:pPr>
        <w:spacing w:line="360" w:lineRule="auto"/>
        <w:rPr>
          <w:rFonts w:ascii="宋体" w:hAnsi="宋体" w:cs="宋体"/>
          <w:b/>
          <w:bCs/>
          <w:color w:val="auto"/>
          <w:szCs w:val="21"/>
        </w:rPr>
      </w:pPr>
    </w:p>
    <w:p w14:paraId="3F372C71">
      <w:pPr>
        <w:spacing w:line="360" w:lineRule="auto"/>
        <w:rPr>
          <w:rFonts w:hint="eastAsia" w:ascii="宋体" w:hAnsi="宋体" w:cs="宋体"/>
          <w:b/>
          <w:bCs/>
          <w:color w:val="auto"/>
          <w:szCs w:val="21"/>
        </w:rPr>
      </w:pPr>
    </w:p>
    <w:p w14:paraId="42707CE1">
      <w:pPr>
        <w:spacing w:line="560" w:lineRule="exact"/>
        <w:jc w:val="center"/>
        <w:outlineLvl w:val="9"/>
        <w:rPr>
          <w:rFonts w:hint="eastAsia" w:ascii="宋体" w:hAnsi="宋体" w:cs="宋体"/>
          <w:b/>
          <w:color w:val="auto"/>
          <w:sz w:val="48"/>
          <w:szCs w:val="32"/>
        </w:rPr>
      </w:pPr>
    </w:p>
    <w:p w14:paraId="324FE131">
      <w:pPr>
        <w:spacing w:line="560" w:lineRule="exact"/>
        <w:jc w:val="center"/>
        <w:outlineLvl w:val="9"/>
        <w:rPr>
          <w:rFonts w:hint="eastAsia" w:ascii="宋体" w:hAnsi="宋体" w:cs="宋体"/>
          <w:b/>
          <w:color w:val="auto"/>
          <w:sz w:val="48"/>
          <w:szCs w:val="32"/>
        </w:rPr>
      </w:pPr>
    </w:p>
    <w:p w14:paraId="6F58750C">
      <w:pPr>
        <w:spacing w:line="560" w:lineRule="exact"/>
        <w:jc w:val="center"/>
        <w:outlineLvl w:val="9"/>
        <w:rPr>
          <w:rFonts w:hint="eastAsia" w:ascii="宋体" w:hAnsi="宋体" w:cs="宋体"/>
          <w:b/>
          <w:color w:val="auto"/>
          <w:sz w:val="48"/>
          <w:szCs w:val="32"/>
        </w:rPr>
      </w:pPr>
    </w:p>
    <w:p w14:paraId="78AE9322">
      <w:pPr>
        <w:spacing w:line="560" w:lineRule="exact"/>
        <w:jc w:val="center"/>
        <w:outlineLvl w:val="9"/>
        <w:rPr>
          <w:rFonts w:hint="eastAsia" w:ascii="宋体" w:hAnsi="宋体" w:cs="宋体"/>
          <w:b/>
          <w:color w:val="auto"/>
          <w:sz w:val="48"/>
          <w:szCs w:val="32"/>
        </w:rPr>
      </w:pPr>
    </w:p>
    <w:p w14:paraId="29431203">
      <w:pPr>
        <w:spacing w:line="560" w:lineRule="exact"/>
        <w:jc w:val="center"/>
        <w:outlineLvl w:val="9"/>
        <w:rPr>
          <w:rFonts w:hint="eastAsia" w:ascii="宋体" w:hAnsi="宋体" w:cs="宋体"/>
          <w:b/>
          <w:color w:val="auto"/>
          <w:sz w:val="48"/>
          <w:szCs w:val="32"/>
        </w:rPr>
      </w:pPr>
    </w:p>
    <w:p w14:paraId="584C9AC6">
      <w:pPr>
        <w:spacing w:line="560" w:lineRule="exact"/>
        <w:jc w:val="center"/>
        <w:outlineLvl w:val="9"/>
        <w:rPr>
          <w:rFonts w:hint="eastAsia" w:ascii="宋体" w:hAnsi="宋体" w:cs="宋体"/>
          <w:b/>
          <w:color w:val="auto"/>
          <w:sz w:val="48"/>
          <w:szCs w:val="32"/>
        </w:rPr>
      </w:pPr>
    </w:p>
    <w:p w14:paraId="0BD1B3B0">
      <w:pPr>
        <w:spacing w:line="560" w:lineRule="exact"/>
        <w:jc w:val="center"/>
        <w:outlineLvl w:val="9"/>
        <w:rPr>
          <w:rFonts w:hint="eastAsia" w:ascii="宋体" w:hAnsi="宋体" w:cs="宋体"/>
          <w:b/>
          <w:color w:val="auto"/>
          <w:sz w:val="48"/>
          <w:szCs w:val="32"/>
        </w:rPr>
      </w:pPr>
    </w:p>
    <w:p w14:paraId="1E5D6784">
      <w:pPr>
        <w:spacing w:line="560" w:lineRule="exact"/>
        <w:jc w:val="center"/>
        <w:outlineLvl w:val="9"/>
        <w:rPr>
          <w:rFonts w:hint="eastAsia" w:ascii="宋体" w:hAnsi="宋体" w:cs="宋体"/>
          <w:b/>
          <w:color w:val="auto"/>
          <w:sz w:val="48"/>
          <w:szCs w:val="32"/>
        </w:rPr>
      </w:pPr>
    </w:p>
    <w:p w14:paraId="54E672F3">
      <w:pPr>
        <w:spacing w:line="560" w:lineRule="exact"/>
        <w:jc w:val="center"/>
        <w:outlineLvl w:val="9"/>
        <w:rPr>
          <w:rFonts w:hint="eastAsia" w:ascii="宋体" w:hAnsi="宋体" w:cs="宋体"/>
          <w:b/>
          <w:color w:val="auto"/>
          <w:sz w:val="48"/>
          <w:szCs w:val="32"/>
        </w:rPr>
      </w:pPr>
    </w:p>
    <w:p w14:paraId="5A658CA8">
      <w:pPr>
        <w:spacing w:line="560" w:lineRule="exact"/>
        <w:jc w:val="center"/>
        <w:outlineLvl w:val="9"/>
        <w:rPr>
          <w:rFonts w:hint="eastAsia" w:ascii="宋体" w:hAnsi="宋体" w:cs="宋体"/>
          <w:b/>
          <w:color w:val="auto"/>
          <w:sz w:val="48"/>
          <w:szCs w:val="32"/>
        </w:rPr>
      </w:pPr>
    </w:p>
    <w:p w14:paraId="2B879571">
      <w:pPr>
        <w:spacing w:line="560" w:lineRule="exact"/>
        <w:jc w:val="center"/>
        <w:outlineLvl w:val="9"/>
        <w:rPr>
          <w:rFonts w:hint="eastAsia" w:ascii="宋体" w:hAnsi="宋体" w:cs="宋体"/>
          <w:b/>
          <w:color w:val="auto"/>
          <w:sz w:val="48"/>
          <w:szCs w:val="32"/>
        </w:rPr>
      </w:pPr>
    </w:p>
    <w:p w14:paraId="0B6CF498">
      <w:pPr>
        <w:pStyle w:val="3"/>
        <w:bidi w:val="0"/>
        <w:jc w:val="center"/>
        <w:outlineLvl w:val="0"/>
        <w:rPr>
          <w:rFonts w:hint="eastAsia" w:ascii="宋体" w:hAnsi="宋体" w:eastAsia="宋体" w:cs="宋体"/>
          <w:color w:val="auto"/>
          <w:sz w:val="24"/>
          <w:szCs w:val="24"/>
        </w:rPr>
      </w:pPr>
      <w:bookmarkStart w:id="224" w:name="_Toc30486"/>
      <w:r>
        <w:rPr>
          <w:rFonts w:hint="eastAsia" w:ascii="宋体" w:hAnsi="宋体" w:eastAsia="宋体" w:cs="宋体"/>
          <w:color w:val="auto"/>
          <w:sz w:val="24"/>
          <w:szCs w:val="24"/>
        </w:rPr>
        <w:t>第六部分  响应文件格式</w:t>
      </w:r>
      <w:bookmarkEnd w:id="224"/>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14:paraId="3DC9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1C8D1522">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14:paraId="633953FD">
      <w:pPr>
        <w:spacing w:line="560" w:lineRule="exact"/>
        <w:jc w:val="left"/>
        <w:rPr>
          <w:rFonts w:hint="eastAsia" w:ascii="宋体" w:hAnsi="宋体" w:eastAsia="宋体"/>
          <w:color w:val="auto"/>
          <w:lang w:eastAsia="zh-CN"/>
        </w:rPr>
      </w:pPr>
    </w:p>
    <w:p w14:paraId="48D89002">
      <w:pPr>
        <w:spacing w:line="360" w:lineRule="auto"/>
        <w:ind w:firstLine="1205" w:firstLineChars="300"/>
        <w:rPr>
          <w:rFonts w:hint="eastAsia" w:ascii="宋体" w:hAnsi="宋体"/>
          <w:b/>
          <w:color w:val="auto"/>
          <w:sz w:val="40"/>
          <w:u w:val="single"/>
        </w:rPr>
      </w:pPr>
    </w:p>
    <w:p w14:paraId="6516DF97">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14:paraId="64D01620">
      <w:pPr>
        <w:spacing w:line="360" w:lineRule="auto"/>
        <w:ind w:firstLine="480" w:firstLineChars="200"/>
        <w:rPr>
          <w:rFonts w:ascii="宋体" w:hAnsi="宋体"/>
          <w:color w:val="auto"/>
          <w:sz w:val="24"/>
        </w:rPr>
      </w:pPr>
    </w:p>
    <w:p w14:paraId="0034B309">
      <w:pPr>
        <w:spacing w:line="360" w:lineRule="auto"/>
        <w:ind w:firstLine="482" w:firstLineChars="200"/>
        <w:rPr>
          <w:rFonts w:ascii="宋体" w:hAnsi="宋体"/>
          <w:b/>
          <w:bCs/>
          <w:color w:val="auto"/>
          <w:sz w:val="24"/>
        </w:rPr>
      </w:pPr>
    </w:p>
    <w:p w14:paraId="6B4862BB">
      <w:pPr>
        <w:spacing w:line="360" w:lineRule="auto"/>
        <w:jc w:val="center"/>
        <w:rPr>
          <w:rFonts w:ascii="宋体" w:hAnsi="宋体"/>
          <w:b/>
          <w:color w:val="auto"/>
          <w:sz w:val="56"/>
        </w:rPr>
      </w:pPr>
      <w:r>
        <w:rPr>
          <w:rFonts w:hint="eastAsia" w:ascii="宋体" w:hAnsi="宋体"/>
          <w:b/>
          <w:bCs/>
          <w:color w:val="auto"/>
          <w:sz w:val="56"/>
        </w:rPr>
        <w:t>响应文件</w:t>
      </w:r>
    </w:p>
    <w:p w14:paraId="3D3FC67B">
      <w:pPr>
        <w:spacing w:line="360" w:lineRule="auto"/>
        <w:ind w:firstLine="480" w:firstLineChars="200"/>
        <w:rPr>
          <w:rFonts w:ascii="宋体" w:hAnsi="宋体"/>
          <w:color w:val="auto"/>
          <w:sz w:val="24"/>
        </w:rPr>
      </w:pPr>
    </w:p>
    <w:p w14:paraId="54DA1637">
      <w:pPr>
        <w:spacing w:line="360" w:lineRule="auto"/>
        <w:ind w:firstLine="480" w:firstLineChars="200"/>
        <w:rPr>
          <w:rFonts w:ascii="宋体" w:hAnsi="宋体"/>
          <w:color w:val="auto"/>
          <w:sz w:val="24"/>
        </w:rPr>
      </w:pPr>
    </w:p>
    <w:p w14:paraId="4A662E5F">
      <w:pPr>
        <w:spacing w:line="360" w:lineRule="auto"/>
        <w:ind w:firstLine="480" w:firstLineChars="200"/>
        <w:rPr>
          <w:rFonts w:ascii="宋体" w:hAnsi="宋体"/>
          <w:color w:val="auto"/>
          <w:sz w:val="24"/>
        </w:rPr>
      </w:pPr>
    </w:p>
    <w:p w14:paraId="65578B4D">
      <w:pPr>
        <w:spacing w:line="360" w:lineRule="auto"/>
        <w:ind w:firstLine="480" w:firstLineChars="200"/>
        <w:rPr>
          <w:rFonts w:ascii="宋体" w:hAnsi="宋体"/>
          <w:color w:val="auto"/>
          <w:sz w:val="24"/>
        </w:rPr>
      </w:pPr>
    </w:p>
    <w:p w14:paraId="5E9B3A2E">
      <w:pPr>
        <w:spacing w:line="360" w:lineRule="auto"/>
        <w:ind w:firstLine="480" w:firstLineChars="200"/>
        <w:rPr>
          <w:rFonts w:ascii="宋体" w:hAnsi="宋体"/>
          <w:color w:val="auto"/>
          <w:sz w:val="24"/>
        </w:rPr>
      </w:pPr>
    </w:p>
    <w:p w14:paraId="2DAA6AD5">
      <w:pPr>
        <w:spacing w:line="360" w:lineRule="auto"/>
        <w:ind w:firstLine="480" w:firstLineChars="200"/>
        <w:rPr>
          <w:rFonts w:ascii="宋体" w:hAnsi="宋体"/>
          <w:color w:val="auto"/>
          <w:sz w:val="24"/>
        </w:rPr>
      </w:pPr>
    </w:p>
    <w:p w14:paraId="17C0D7A9">
      <w:pPr>
        <w:pStyle w:val="10"/>
        <w:rPr>
          <w:rFonts w:ascii="宋体" w:hAnsi="宋体"/>
          <w:color w:val="auto"/>
          <w:szCs w:val="21"/>
        </w:rPr>
      </w:pPr>
    </w:p>
    <w:p w14:paraId="022A1E9F">
      <w:pPr>
        <w:rPr>
          <w:rFonts w:ascii="宋体" w:hAnsi="宋体"/>
          <w:color w:val="auto"/>
          <w:szCs w:val="21"/>
        </w:rPr>
      </w:pPr>
    </w:p>
    <w:p w14:paraId="4ADA30CE">
      <w:pPr>
        <w:rPr>
          <w:rFonts w:ascii="宋体" w:hAnsi="宋体"/>
          <w:color w:val="auto"/>
          <w:szCs w:val="21"/>
        </w:rPr>
      </w:pPr>
    </w:p>
    <w:p w14:paraId="36DC4433">
      <w:pPr>
        <w:spacing w:line="360" w:lineRule="auto"/>
        <w:rPr>
          <w:rFonts w:ascii="宋体" w:hAnsi="宋体"/>
          <w:color w:val="auto"/>
          <w:sz w:val="24"/>
        </w:rPr>
      </w:pPr>
    </w:p>
    <w:p w14:paraId="206D9516">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14:paraId="347B8E1A">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14:paraId="37371C56">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14:paraId="03C678DF">
      <w:pPr>
        <w:pStyle w:val="36"/>
        <w:snapToGrid w:val="0"/>
        <w:spacing w:line="360" w:lineRule="auto"/>
        <w:ind w:left="578"/>
        <w:jc w:val="left"/>
        <w:rPr>
          <w:rFonts w:ascii="宋体" w:hAnsi="宋体" w:cs="宋体"/>
          <w:b/>
          <w:color w:val="auto"/>
          <w:sz w:val="30"/>
          <w:szCs w:val="30"/>
        </w:rPr>
        <w:sectPr>
          <w:headerReference r:id="rId14" w:type="first"/>
          <w:footerReference r:id="rId16" w:type="first"/>
          <w:footerReference r:id="rId15" w:type="default"/>
          <w:pgSz w:w="11906" w:h="16838"/>
          <w:pgMar w:top="1440" w:right="1080" w:bottom="1440" w:left="1080" w:header="851" w:footer="992" w:gutter="0"/>
          <w:pgNumType w:fmt="decimal"/>
          <w:cols w:space="720" w:num="1"/>
          <w:titlePg/>
          <w:docGrid w:type="lines" w:linePitch="286" w:charSpace="0"/>
        </w:sectPr>
      </w:pPr>
    </w:p>
    <w:p w14:paraId="5BD03554">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14:paraId="0DBB9FE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60B727C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0C6FE54D">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60A2E7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649949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5E9173EF">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2508CBE8">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2890D2F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03D2E8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62312E8B">
      <w:pPr>
        <w:spacing w:line="360" w:lineRule="auto"/>
        <w:jc w:val="left"/>
        <w:outlineLvl w:val="9"/>
        <w:rPr>
          <w:rFonts w:ascii="宋体" w:hAnsi="宋体"/>
          <w:b/>
          <w:color w:val="auto"/>
          <w:sz w:val="24"/>
        </w:rPr>
      </w:pPr>
    </w:p>
    <w:p w14:paraId="4332554F">
      <w:pPr>
        <w:spacing w:line="360" w:lineRule="auto"/>
        <w:jc w:val="left"/>
        <w:outlineLvl w:val="9"/>
        <w:rPr>
          <w:rFonts w:ascii="宋体" w:hAnsi="宋体"/>
          <w:b/>
          <w:color w:val="auto"/>
          <w:sz w:val="24"/>
        </w:rPr>
      </w:pPr>
    </w:p>
    <w:p w14:paraId="4B1E6C90">
      <w:pPr>
        <w:widowControl/>
        <w:shd w:val="clear" w:color="auto" w:fill="FFFFFF"/>
        <w:spacing w:line="560" w:lineRule="exact"/>
        <w:jc w:val="left"/>
        <w:rPr>
          <w:rFonts w:hint="eastAsia" w:ascii="宋体" w:hAnsi="宋体"/>
          <w:color w:val="auto"/>
          <w:sz w:val="24"/>
        </w:rPr>
      </w:pPr>
      <w:bookmarkStart w:id="225" w:name="_Toc300901193"/>
      <w:bookmarkStart w:id="226" w:name="_Toc374107067"/>
      <w:bookmarkStart w:id="227" w:name="_Toc323641999"/>
    </w:p>
    <w:p w14:paraId="0865B448">
      <w:pPr>
        <w:pStyle w:val="10"/>
        <w:rPr>
          <w:rFonts w:hint="eastAsia" w:ascii="宋体" w:hAnsi="宋体"/>
          <w:color w:val="auto"/>
          <w:sz w:val="24"/>
        </w:rPr>
      </w:pPr>
    </w:p>
    <w:p w14:paraId="5E576F67">
      <w:pPr>
        <w:rPr>
          <w:rFonts w:hint="eastAsia" w:ascii="宋体" w:hAnsi="宋体"/>
          <w:color w:val="auto"/>
          <w:sz w:val="24"/>
        </w:rPr>
      </w:pPr>
    </w:p>
    <w:p w14:paraId="6B61202C">
      <w:pPr>
        <w:pStyle w:val="10"/>
        <w:rPr>
          <w:rFonts w:hint="eastAsia"/>
          <w:color w:val="auto"/>
        </w:rPr>
      </w:pPr>
    </w:p>
    <w:p w14:paraId="63AF583D">
      <w:pPr>
        <w:widowControl/>
        <w:shd w:val="clear" w:color="auto" w:fill="FFFFFF"/>
        <w:spacing w:line="560" w:lineRule="exact"/>
        <w:jc w:val="left"/>
        <w:rPr>
          <w:rFonts w:hint="eastAsia" w:ascii="宋体" w:hAnsi="宋体"/>
          <w:color w:val="auto"/>
          <w:sz w:val="24"/>
        </w:rPr>
      </w:pPr>
    </w:p>
    <w:p w14:paraId="34773B81">
      <w:pPr>
        <w:widowControl/>
        <w:shd w:val="clear" w:color="auto" w:fill="FFFFFF"/>
        <w:spacing w:line="560" w:lineRule="exact"/>
        <w:jc w:val="left"/>
        <w:rPr>
          <w:rFonts w:hint="eastAsia" w:ascii="宋体" w:hAnsi="宋体"/>
          <w:color w:val="auto"/>
          <w:sz w:val="24"/>
        </w:rPr>
      </w:pPr>
    </w:p>
    <w:p w14:paraId="37774F21">
      <w:pPr>
        <w:widowControl/>
        <w:shd w:val="clear" w:color="auto" w:fill="FFFFFF"/>
        <w:spacing w:line="560" w:lineRule="exact"/>
        <w:jc w:val="left"/>
        <w:rPr>
          <w:rFonts w:hint="eastAsia" w:ascii="宋体" w:hAnsi="宋体" w:eastAsia="宋体"/>
          <w:color w:val="auto"/>
          <w:sz w:val="24"/>
          <w:szCs w:val="24"/>
        </w:rPr>
      </w:pPr>
    </w:p>
    <w:p w14:paraId="1CDF57BB">
      <w:pPr>
        <w:widowControl/>
        <w:shd w:val="clear" w:color="auto" w:fill="FFFFFF"/>
        <w:spacing w:line="560" w:lineRule="exact"/>
        <w:jc w:val="left"/>
        <w:rPr>
          <w:rFonts w:hint="eastAsia" w:ascii="宋体" w:hAnsi="宋体" w:eastAsia="宋体"/>
          <w:color w:val="auto"/>
          <w:sz w:val="24"/>
          <w:szCs w:val="24"/>
        </w:rPr>
      </w:pPr>
    </w:p>
    <w:p w14:paraId="28CDE42B">
      <w:pPr>
        <w:widowControl/>
        <w:shd w:val="clear" w:color="auto" w:fill="FFFFFF"/>
        <w:spacing w:line="560" w:lineRule="exact"/>
        <w:jc w:val="left"/>
        <w:rPr>
          <w:rFonts w:hint="eastAsia" w:ascii="宋体" w:hAnsi="宋体" w:eastAsia="宋体"/>
          <w:color w:val="auto"/>
          <w:sz w:val="24"/>
          <w:szCs w:val="24"/>
        </w:rPr>
      </w:pPr>
    </w:p>
    <w:p w14:paraId="35380ECC">
      <w:pPr>
        <w:widowControl/>
        <w:shd w:val="clear" w:color="auto" w:fill="FFFFFF"/>
        <w:spacing w:line="560" w:lineRule="exact"/>
        <w:jc w:val="left"/>
        <w:rPr>
          <w:rFonts w:hint="eastAsia" w:ascii="宋体" w:hAnsi="宋体" w:eastAsia="宋体"/>
          <w:color w:val="auto"/>
          <w:sz w:val="24"/>
          <w:szCs w:val="24"/>
        </w:rPr>
      </w:pPr>
    </w:p>
    <w:p w14:paraId="363668EC">
      <w:pPr>
        <w:pStyle w:val="54"/>
        <w:rPr>
          <w:rFonts w:hint="eastAsia" w:ascii="宋体" w:hAnsi="宋体" w:eastAsia="宋体"/>
          <w:color w:val="auto"/>
          <w:sz w:val="24"/>
          <w:szCs w:val="24"/>
        </w:rPr>
      </w:pPr>
    </w:p>
    <w:p w14:paraId="159A0CCD">
      <w:pPr>
        <w:pStyle w:val="54"/>
        <w:rPr>
          <w:rFonts w:hint="eastAsia" w:ascii="宋体" w:hAnsi="宋体" w:eastAsia="宋体"/>
          <w:color w:val="auto"/>
          <w:sz w:val="24"/>
          <w:szCs w:val="24"/>
        </w:rPr>
      </w:pPr>
    </w:p>
    <w:p w14:paraId="1DD083F6">
      <w:pPr>
        <w:spacing w:line="360" w:lineRule="auto"/>
        <w:jc w:val="both"/>
        <w:rPr>
          <w:rFonts w:hint="eastAsia" w:ascii="宋体" w:hAnsi="宋体" w:cs="宋体"/>
          <w:b/>
          <w:color w:val="auto"/>
          <w:kern w:val="0"/>
          <w:sz w:val="24"/>
        </w:rPr>
      </w:pPr>
    </w:p>
    <w:p w14:paraId="6B9231D5">
      <w:pPr>
        <w:pStyle w:val="10"/>
        <w:rPr>
          <w:rFonts w:hint="eastAsia"/>
          <w:color w:val="auto"/>
        </w:rPr>
      </w:pPr>
    </w:p>
    <w:p w14:paraId="70553304">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14:paraId="1F935BB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14:paraId="2136133C">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三</w:t>
      </w:r>
      <w:r>
        <w:rPr>
          <w:rFonts w:hint="eastAsia" w:ascii="宋体" w:hAnsi="宋体" w:cs="宋体"/>
          <w:color w:val="auto"/>
          <w:kern w:val="0"/>
          <w:sz w:val="24"/>
          <w:szCs w:val="24"/>
        </w:rPr>
        <w:t>份。</w:t>
      </w:r>
    </w:p>
    <w:p w14:paraId="2E080AF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14:paraId="35528427">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2BECCFC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6045B19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14:paraId="3041699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14:paraId="6029558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14:paraId="3E039229">
      <w:pPr>
        <w:widowControl/>
        <w:spacing w:line="480" w:lineRule="auto"/>
        <w:ind w:firstLine="480" w:firstLineChars="200"/>
        <w:rPr>
          <w:rFonts w:hint="eastAsia" w:ascii="宋体" w:hAnsi="宋体" w:cs="宋体"/>
          <w:color w:val="auto"/>
          <w:kern w:val="0"/>
          <w:sz w:val="24"/>
          <w:szCs w:val="24"/>
        </w:rPr>
      </w:pPr>
    </w:p>
    <w:p w14:paraId="58D05391">
      <w:pPr>
        <w:widowControl/>
        <w:spacing w:line="360" w:lineRule="auto"/>
        <w:ind w:firstLine="480" w:firstLineChars="200"/>
        <w:rPr>
          <w:rFonts w:hint="eastAsia" w:ascii="宋体" w:hAnsi="宋体" w:cs="宋体"/>
          <w:color w:val="auto"/>
          <w:kern w:val="0"/>
          <w:sz w:val="24"/>
          <w:szCs w:val="24"/>
        </w:rPr>
      </w:pPr>
    </w:p>
    <w:p w14:paraId="34E6EFD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14:paraId="6E58330D">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14:paraId="0F0FD6BA">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4BE10475">
      <w:pPr>
        <w:widowControl/>
        <w:jc w:val="left"/>
        <w:rPr>
          <w:rFonts w:ascii="宋体" w:hAnsi="宋体"/>
          <w:b/>
          <w:bCs/>
          <w:color w:val="auto"/>
          <w:sz w:val="24"/>
        </w:rPr>
      </w:pPr>
      <w:r>
        <w:rPr>
          <w:rFonts w:ascii="宋体" w:hAnsi="宋体"/>
          <w:color w:val="auto"/>
          <w:sz w:val="24"/>
        </w:rPr>
        <w:br w:type="page"/>
      </w:r>
    </w:p>
    <w:p w14:paraId="7E80C86E">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225"/>
      <w:bookmarkEnd w:id="226"/>
      <w:bookmarkEnd w:id="227"/>
    </w:p>
    <w:p w14:paraId="08295007">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14:paraId="56480274">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14:paraId="1C127C06">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390483FB">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757CB09">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53918743">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7043ABE0">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4C4D8BFA">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14:paraId="696644B3">
      <w:pPr>
        <w:spacing w:line="360" w:lineRule="auto"/>
        <w:rPr>
          <w:rFonts w:ascii="宋体" w:hAnsi="宋体"/>
          <w:color w:val="auto"/>
          <w:sz w:val="24"/>
        </w:rPr>
      </w:pPr>
      <w:r>
        <w:rPr>
          <w:rFonts w:hint="eastAsia" w:ascii="宋体" w:hAnsi="宋体"/>
          <w:color w:val="auto"/>
          <w:sz w:val="24"/>
        </w:rPr>
        <w:t>特此证明。</w:t>
      </w:r>
    </w:p>
    <w:p w14:paraId="6045B98C">
      <w:pPr>
        <w:spacing w:line="500" w:lineRule="exact"/>
        <w:jc w:val="left"/>
        <w:rPr>
          <w:rFonts w:ascii="宋体" w:hAnsi="宋体"/>
          <w:color w:val="auto"/>
          <w:sz w:val="24"/>
        </w:rPr>
      </w:pPr>
      <w:r>
        <w:rPr>
          <w:rFonts w:hint="eastAsia" w:ascii="宋体" w:hAnsi="宋体"/>
          <w:color w:val="auto"/>
          <w:sz w:val="24"/>
        </w:rPr>
        <w:t>附：法定代表人身份证明</w:t>
      </w:r>
    </w:p>
    <w:p w14:paraId="67D4FE07">
      <w:pPr>
        <w:spacing w:line="500" w:lineRule="exact"/>
        <w:jc w:val="right"/>
        <w:rPr>
          <w:rFonts w:ascii="宋体" w:hAnsi="宋体"/>
          <w:color w:val="auto"/>
          <w:sz w:val="24"/>
        </w:rPr>
      </w:pPr>
    </w:p>
    <w:p w14:paraId="692145D6">
      <w:pPr>
        <w:pStyle w:val="10"/>
        <w:rPr>
          <w:rFonts w:ascii="宋体" w:hAnsi="宋体"/>
          <w:color w:val="auto"/>
          <w:sz w:val="24"/>
        </w:rPr>
      </w:pPr>
    </w:p>
    <w:p w14:paraId="2F242C8E">
      <w:pPr>
        <w:rPr>
          <w:rFonts w:ascii="宋体" w:hAnsi="宋体"/>
          <w:color w:val="auto"/>
          <w:sz w:val="24"/>
        </w:rPr>
      </w:pPr>
    </w:p>
    <w:p w14:paraId="5F53836E">
      <w:pPr>
        <w:pStyle w:val="10"/>
        <w:rPr>
          <w:rFonts w:ascii="宋体" w:hAnsi="宋体"/>
          <w:color w:val="auto"/>
          <w:sz w:val="24"/>
        </w:rPr>
      </w:pPr>
    </w:p>
    <w:p w14:paraId="4DCA7CB6">
      <w:pPr>
        <w:rPr>
          <w:rFonts w:ascii="宋体" w:hAnsi="宋体"/>
          <w:color w:val="auto"/>
          <w:sz w:val="24"/>
        </w:rPr>
      </w:pPr>
    </w:p>
    <w:p w14:paraId="5B843442">
      <w:pPr>
        <w:pStyle w:val="10"/>
        <w:rPr>
          <w:color w:val="auto"/>
        </w:rPr>
      </w:pPr>
    </w:p>
    <w:p w14:paraId="15615AD7">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6A569942">
      <w:pPr>
        <w:widowControl/>
        <w:jc w:val="right"/>
        <w:rPr>
          <w:rFonts w:ascii="宋体" w:hAnsi="宋体"/>
          <w:color w:val="auto"/>
          <w:sz w:val="24"/>
        </w:rPr>
      </w:pPr>
      <w:r>
        <w:rPr>
          <w:rFonts w:hint="eastAsia" w:ascii="宋体" w:hAnsi="宋体"/>
          <w:color w:val="auto"/>
          <w:sz w:val="24"/>
        </w:rPr>
        <w:t xml:space="preserve">         </w:t>
      </w:r>
    </w:p>
    <w:p w14:paraId="3B1D86BC">
      <w:pPr>
        <w:widowControl/>
        <w:jc w:val="right"/>
        <w:rPr>
          <w:rFonts w:ascii="宋体" w:hAnsi="宋体"/>
          <w:color w:val="auto"/>
          <w:sz w:val="24"/>
        </w:rPr>
      </w:pPr>
      <w:r>
        <w:rPr>
          <w:rFonts w:hint="eastAsia" w:ascii="宋体" w:hAnsi="宋体"/>
          <w:color w:val="auto"/>
          <w:sz w:val="24"/>
        </w:rPr>
        <w:t xml:space="preserve">年        月       日  </w:t>
      </w:r>
    </w:p>
    <w:p w14:paraId="7FCC3BDF">
      <w:pPr>
        <w:spacing w:line="360" w:lineRule="auto"/>
        <w:jc w:val="right"/>
        <w:rPr>
          <w:rFonts w:ascii="宋体" w:hAnsi="宋体"/>
          <w:color w:val="auto"/>
          <w:sz w:val="24"/>
        </w:rPr>
      </w:pPr>
    </w:p>
    <w:p w14:paraId="55D14A9D">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14:paraId="728C0977">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14:paraId="34FD430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14:paraId="7FFDE55F">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14:paraId="3B1F7562">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14:paraId="24647DAD">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14:paraId="25107FED">
      <w:pPr>
        <w:pStyle w:val="10"/>
        <w:rPr>
          <w:rFonts w:hint="eastAsia" w:ascii="宋体" w:hAnsi="宋体"/>
          <w:color w:val="auto"/>
          <w:sz w:val="24"/>
        </w:rPr>
      </w:pPr>
    </w:p>
    <w:p w14:paraId="63F84AC0">
      <w:pPr>
        <w:rPr>
          <w:rFonts w:hint="eastAsia" w:ascii="宋体" w:hAnsi="宋体"/>
          <w:color w:val="auto"/>
          <w:sz w:val="24"/>
        </w:rPr>
      </w:pPr>
    </w:p>
    <w:p w14:paraId="2BFA78A8">
      <w:pPr>
        <w:pStyle w:val="10"/>
        <w:rPr>
          <w:color w:val="auto"/>
        </w:rPr>
      </w:pPr>
    </w:p>
    <w:p w14:paraId="1724C4E2">
      <w:pPr>
        <w:rPr>
          <w:color w:val="auto"/>
        </w:rPr>
      </w:pPr>
    </w:p>
    <w:p w14:paraId="0A546E2A">
      <w:pPr>
        <w:pStyle w:val="10"/>
        <w:rPr>
          <w:color w:val="auto"/>
        </w:rPr>
      </w:pPr>
    </w:p>
    <w:p w14:paraId="2C482DFF">
      <w:pPr>
        <w:rPr>
          <w:color w:val="auto"/>
        </w:rPr>
      </w:pPr>
    </w:p>
    <w:p w14:paraId="3CE5F2AC">
      <w:pPr>
        <w:pStyle w:val="10"/>
        <w:rPr>
          <w:color w:val="auto"/>
        </w:rPr>
      </w:pPr>
    </w:p>
    <w:p w14:paraId="31BC785A">
      <w:pPr>
        <w:rPr>
          <w:color w:val="auto"/>
        </w:rPr>
      </w:pPr>
    </w:p>
    <w:p w14:paraId="7DE58675">
      <w:pPr>
        <w:spacing w:line="560" w:lineRule="exact"/>
        <w:rPr>
          <w:rFonts w:ascii="宋体" w:hAnsi="宋体"/>
          <w:color w:val="auto"/>
          <w:sz w:val="24"/>
        </w:rPr>
      </w:pPr>
    </w:p>
    <w:p w14:paraId="064B8173">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14:paraId="5C6E452F">
      <w:pPr>
        <w:spacing w:line="400" w:lineRule="exact"/>
        <w:ind w:firstLine="4080" w:firstLineChars="1700"/>
        <w:jc w:val="left"/>
        <w:rPr>
          <w:rFonts w:ascii="宋体" w:hAnsi="宋体" w:cs="宋体"/>
          <w:color w:val="auto"/>
          <w:sz w:val="24"/>
        </w:rPr>
      </w:pPr>
    </w:p>
    <w:p w14:paraId="0A61C054">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32E0D5BE">
      <w:pPr>
        <w:spacing w:line="400" w:lineRule="exact"/>
        <w:ind w:firstLine="4080" w:firstLineChars="1700"/>
        <w:jc w:val="left"/>
        <w:rPr>
          <w:rFonts w:ascii="宋体" w:hAnsi="宋体" w:cs="宋体"/>
          <w:color w:val="auto"/>
          <w:sz w:val="24"/>
        </w:rPr>
      </w:pPr>
    </w:p>
    <w:p w14:paraId="45E4662C">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79AB755">
      <w:pPr>
        <w:spacing w:line="400" w:lineRule="exact"/>
        <w:ind w:firstLine="4080" w:firstLineChars="1700"/>
        <w:jc w:val="left"/>
        <w:rPr>
          <w:rFonts w:ascii="宋体" w:hAnsi="宋体" w:cs="宋体"/>
          <w:color w:val="auto"/>
          <w:sz w:val="24"/>
          <w:u w:val="single"/>
        </w:rPr>
      </w:pPr>
    </w:p>
    <w:p w14:paraId="5848A95D">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2E85AFE5">
      <w:pPr>
        <w:spacing w:line="400" w:lineRule="exact"/>
        <w:ind w:firstLine="4080" w:firstLineChars="1700"/>
        <w:jc w:val="left"/>
        <w:rPr>
          <w:rFonts w:ascii="宋体" w:hAnsi="宋体" w:cs="宋体"/>
          <w:color w:val="auto"/>
          <w:sz w:val="24"/>
        </w:rPr>
      </w:pPr>
    </w:p>
    <w:p w14:paraId="64092784">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45B2DC60">
      <w:pPr>
        <w:spacing w:line="400" w:lineRule="exact"/>
        <w:ind w:firstLine="4080" w:firstLineChars="1700"/>
        <w:jc w:val="left"/>
        <w:rPr>
          <w:rFonts w:ascii="宋体" w:hAnsi="宋体" w:cs="宋体"/>
          <w:color w:val="auto"/>
          <w:sz w:val="24"/>
        </w:rPr>
      </w:pPr>
    </w:p>
    <w:p w14:paraId="27057B1F">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D095740">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14:paraId="091A6440">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14:paraId="1DD90960">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3FE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639AAA5B">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14:paraId="2BC0E5B0">
            <w:pPr>
              <w:spacing w:line="360" w:lineRule="auto"/>
              <w:jc w:val="center"/>
              <w:rPr>
                <w:rFonts w:ascii="宋体" w:hAnsi="宋体"/>
                <w:color w:val="auto"/>
                <w:sz w:val="24"/>
              </w:rPr>
            </w:pPr>
          </w:p>
        </w:tc>
      </w:tr>
      <w:tr w14:paraId="001F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18E4D3FD">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71C48D21">
            <w:pPr>
              <w:spacing w:line="360" w:lineRule="auto"/>
              <w:jc w:val="center"/>
              <w:rPr>
                <w:rFonts w:ascii="宋体" w:hAnsi="宋体"/>
                <w:color w:val="auto"/>
                <w:sz w:val="24"/>
              </w:rPr>
            </w:pPr>
          </w:p>
        </w:tc>
      </w:tr>
      <w:tr w14:paraId="108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05D21986">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736F9211">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7190C913">
            <w:pPr>
              <w:pStyle w:val="54"/>
              <w:rPr>
                <w:rFonts w:hint="eastAsia"/>
                <w:color w:val="auto"/>
                <w:lang w:eastAsia="zh-CN"/>
              </w:rPr>
            </w:pPr>
          </w:p>
          <w:p w14:paraId="5F2AE897">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14:paraId="7D14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52BA63DE">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681073E9">
            <w:pPr>
              <w:spacing w:line="360" w:lineRule="auto"/>
              <w:jc w:val="center"/>
              <w:rPr>
                <w:rFonts w:ascii="宋体" w:hAnsi="宋体"/>
                <w:color w:val="auto"/>
                <w:sz w:val="24"/>
              </w:rPr>
            </w:pPr>
          </w:p>
        </w:tc>
      </w:tr>
      <w:tr w14:paraId="6D8F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7BC383F6">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3E1CE60F">
            <w:pPr>
              <w:spacing w:line="360" w:lineRule="auto"/>
              <w:jc w:val="center"/>
              <w:rPr>
                <w:rFonts w:ascii="宋体" w:hAnsi="宋体"/>
                <w:color w:val="auto"/>
                <w:w w:val="110"/>
                <w:sz w:val="24"/>
                <w:szCs w:val="24"/>
              </w:rPr>
            </w:pPr>
          </w:p>
        </w:tc>
      </w:tr>
      <w:tr w14:paraId="7FF9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27D79E00">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14:paraId="7302ECDA">
            <w:pPr>
              <w:spacing w:line="360" w:lineRule="auto"/>
              <w:jc w:val="center"/>
              <w:rPr>
                <w:rFonts w:ascii="宋体" w:hAnsi="宋体"/>
                <w:color w:val="auto"/>
                <w:w w:val="110"/>
                <w:sz w:val="24"/>
                <w:szCs w:val="24"/>
              </w:rPr>
            </w:pPr>
          </w:p>
        </w:tc>
      </w:tr>
      <w:tr w14:paraId="1578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14:paraId="00226C2B">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14:paraId="0BE89E44">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030025CD">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2A707BB2">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14:paraId="6528268E">
      <w:pPr>
        <w:spacing w:line="360" w:lineRule="auto"/>
        <w:ind w:right="420"/>
        <w:rPr>
          <w:rFonts w:hint="eastAsia" w:ascii="宋体" w:hAnsi="宋体"/>
          <w:color w:val="auto"/>
          <w:sz w:val="24"/>
        </w:rPr>
      </w:pPr>
      <w:r>
        <w:rPr>
          <w:rFonts w:hint="eastAsia" w:ascii="宋体" w:hAnsi="宋体"/>
          <w:color w:val="auto"/>
          <w:sz w:val="24"/>
        </w:rPr>
        <w:t xml:space="preserve">     </w:t>
      </w:r>
    </w:p>
    <w:p w14:paraId="7F3D39E2">
      <w:pPr>
        <w:spacing w:line="360" w:lineRule="auto"/>
        <w:ind w:right="420"/>
        <w:rPr>
          <w:rFonts w:ascii="宋体" w:hAnsi="宋体"/>
          <w:color w:val="auto"/>
          <w:sz w:val="24"/>
        </w:rPr>
      </w:pPr>
      <w:r>
        <w:rPr>
          <w:rFonts w:hint="eastAsia" w:ascii="宋体" w:hAnsi="宋体"/>
          <w:color w:val="auto"/>
          <w:sz w:val="24"/>
        </w:rPr>
        <w:t xml:space="preserve">                                                     </w:t>
      </w:r>
    </w:p>
    <w:p w14:paraId="023A6B9F">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37D49226">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14:paraId="16F70F05">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E903AF9">
      <w:pPr>
        <w:pStyle w:val="54"/>
        <w:rPr>
          <w:rFonts w:hint="eastAsia" w:ascii="宋体" w:hAnsi="宋体" w:cs="宋体"/>
          <w:color w:val="auto"/>
          <w:sz w:val="24"/>
        </w:rPr>
      </w:pPr>
    </w:p>
    <w:p w14:paraId="0E95859B">
      <w:pPr>
        <w:pStyle w:val="54"/>
        <w:rPr>
          <w:rFonts w:hint="eastAsia" w:ascii="宋体" w:hAnsi="宋体" w:cs="宋体"/>
          <w:color w:val="auto"/>
          <w:sz w:val="24"/>
        </w:rPr>
      </w:pPr>
    </w:p>
    <w:p w14:paraId="40A7D626">
      <w:pPr>
        <w:pStyle w:val="54"/>
        <w:rPr>
          <w:rFonts w:hint="eastAsia" w:ascii="宋体" w:hAnsi="宋体" w:cs="宋体"/>
          <w:color w:val="auto"/>
          <w:sz w:val="24"/>
        </w:rPr>
      </w:pPr>
    </w:p>
    <w:p w14:paraId="4C2FE628">
      <w:pPr>
        <w:pStyle w:val="54"/>
        <w:rPr>
          <w:rFonts w:hint="eastAsia" w:ascii="宋体" w:hAnsi="宋体" w:cs="宋体"/>
          <w:color w:val="auto"/>
          <w:sz w:val="24"/>
        </w:rPr>
      </w:pPr>
    </w:p>
    <w:p w14:paraId="64EE42E1">
      <w:pPr>
        <w:pStyle w:val="54"/>
        <w:rPr>
          <w:rFonts w:hint="eastAsia" w:ascii="宋体" w:hAnsi="宋体" w:cs="宋体"/>
          <w:color w:val="auto"/>
          <w:sz w:val="24"/>
        </w:rPr>
      </w:pPr>
    </w:p>
    <w:p w14:paraId="61A95A7C">
      <w:pPr>
        <w:pStyle w:val="54"/>
        <w:ind w:left="0" w:leftChars="0" w:firstLine="0" w:firstLineChars="0"/>
        <w:rPr>
          <w:rFonts w:hint="eastAsia" w:ascii="宋体" w:hAnsi="宋体" w:cs="宋体"/>
          <w:color w:val="auto"/>
          <w:sz w:val="24"/>
        </w:rPr>
      </w:pPr>
    </w:p>
    <w:p w14:paraId="79E48C2C">
      <w:pPr>
        <w:pStyle w:val="10"/>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14:paraId="4AB652D2">
      <w:pPr>
        <w:keepNext w:val="0"/>
        <w:keepLines w:val="0"/>
        <w:pageBreakBefore w:val="0"/>
        <w:widowControl w:val="0"/>
        <w:kinsoku/>
        <w:wordWrap/>
        <w:overflowPunct/>
        <w:topLinePunct w:val="0"/>
        <w:autoSpaceDE/>
        <w:autoSpaceDN/>
        <w:bidi w:val="0"/>
        <w:adjustRightInd/>
        <w:snapToGrid/>
        <w:spacing w:after="624" w:afterLines="200" w:line="360" w:lineRule="auto"/>
        <w:ind w:firstLine="880" w:firstLineChars="200"/>
        <w:jc w:val="center"/>
        <w:textAlignment w:val="auto"/>
        <w:rPr>
          <w:rFonts w:hint="eastAsia" w:ascii="宋体" w:hAnsi="宋体" w:eastAsia="宋体" w:cs="宋体"/>
          <w:color w:val="auto"/>
          <w:spacing w:val="20"/>
          <w:sz w:val="40"/>
          <w:szCs w:val="40"/>
          <w:highlight w:val="none"/>
        </w:rPr>
      </w:pPr>
      <w:r>
        <w:rPr>
          <w:rFonts w:hint="eastAsia" w:ascii="宋体" w:hAnsi="宋体" w:cs="宋体"/>
          <w:color w:val="auto"/>
          <w:spacing w:val="20"/>
          <w:sz w:val="40"/>
          <w:szCs w:val="40"/>
          <w:highlight w:val="none"/>
          <w:lang w:eastAsia="zh-CN"/>
        </w:rPr>
        <w:t>初次报价</w:t>
      </w:r>
      <w:r>
        <w:rPr>
          <w:rFonts w:hint="eastAsia" w:ascii="宋体" w:hAnsi="宋体" w:eastAsia="宋体" w:cs="宋体"/>
          <w:color w:val="auto"/>
          <w:spacing w:val="20"/>
          <w:sz w:val="40"/>
          <w:szCs w:val="40"/>
          <w:highlight w:val="none"/>
        </w:rPr>
        <w:t>总价</w:t>
      </w:r>
    </w:p>
    <w:p w14:paraId="26FD22C1">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lang w:eastAsia="zh-CN"/>
        </w:rPr>
        <w:t>采</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购</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E7C544C">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工程名称：</w:t>
      </w:r>
      <w:r>
        <w:rPr>
          <w:rFonts w:hint="eastAsia" w:ascii="宋体" w:hAnsi="宋体" w:eastAsia="宋体" w:cs="宋体"/>
          <w:color w:val="auto"/>
          <w:sz w:val="28"/>
          <w:szCs w:val="28"/>
          <w:highlight w:val="none"/>
          <w:u w:val="single"/>
          <w:lang w:val="en-US" w:eastAsia="zh-CN"/>
        </w:rPr>
        <w:t xml:space="preserve">                                          </w:t>
      </w:r>
    </w:p>
    <w:p w14:paraId="6E300735">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初次报价</w:t>
      </w:r>
      <w:r>
        <w:rPr>
          <w:rFonts w:hint="eastAsia" w:ascii="宋体" w:hAnsi="宋体" w:eastAsia="宋体" w:cs="宋体"/>
          <w:color w:val="auto"/>
          <w:sz w:val="28"/>
          <w:szCs w:val="28"/>
          <w:highlight w:val="none"/>
        </w:rPr>
        <w:t>总价(小写)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17C9510C">
      <w:pPr>
        <w:keepNext w:val="0"/>
        <w:keepLines w:val="0"/>
        <w:pageBreakBefore w:val="0"/>
        <w:widowControl w:val="0"/>
        <w:kinsoku/>
        <w:wordWrap/>
        <w:overflowPunct/>
        <w:topLinePunct w:val="0"/>
        <w:autoSpaceDE/>
        <w:autoSpaceDN/>
        <w:bidi w:val="0"/>
        <w:adjustRightInd/>
        <w:snapToGrid/>
        <w:spacing w:line="600" w:lineRule="auto"/>
        <w:ind w:firstLine="2240" w:firstLineChars="8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(大写)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2FD4875F">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color w:val="auto"/>
          <w:sz w:val="28"/>
          <w:szCs w:val="28"/>
          <w:highlight w:val="none"/>
        </w:rPr>
      </w:pPr>
    </w:p>
    <w:p w14:paraId="24390D4A">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color w:val="auto"/>
          <w:sz w:val="28"/>
          <w:szCs w:val="28"/>
          <w:highlight w:val="none"/>
        </w:rPr>
      </w:pPr>
    </w:p>
    <w:p w14:paraId="195FBF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eastAsia="zh-CN"/>
        </w:rPr>
        <w:t>供应商名称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781D8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(单位盖章)</w:t>
      </w:r>
    </w:p>
    <w:p w14:paraId="3C2911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p>
    <w:p w14:paraId="31DB2474">
      <w:pPr>
        <w:keepNext w:val="0"/>
        <w:keepLines w:val="0"/>
        <w:pageBreakBefore w:val="0"/>
        <w:widowControl w:val="0"/>
        <w:kinsoku/>
        <w:wordWrap/>
        <w:overflowPunct/>
        <w:topLinePunct w:val="0"/>
        <w:autoSpaceDE/>
        <w:autoSpaceDN/>
        <w:bidi w:val="0"/>
        <w:adjustRightInd/>
        <w:snapToGrid/>
        <w:spacing w:after="93" w:afterLines="30"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p w14:paraId="4D1279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或其授权人：</w:t>
      </w:r>
      <w:r>
        <w:rPr>
          <w:rFonts w:hint="eastAsia" w:ascii="宋体" w:hAnsi="宋体" w:eastAsia="宋体" w:cs="宋体"/>
          <w:color w:val="auto"/>
          <w:sz w:val="28"/>
          <w:szCs w:val="28"/>
          <w:highlight w:val="none"/>
          <w:u w:val="single"/>
        </w:rPr>
        <w:t xml:space="preserve">                                                               </w:t>
      </w:r>
    </w:p>
    <w:p w14:paraId="125C88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(签字或盖章)</w:t>
      </w:r>
    </w:p>
    <w:p w14:paraId="3EADF567">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color w:val="auto"/>
          <w:sz w:val="28"/>
          <w:szCs w:val="28"/>
          <w:highlight w:val="none"/>
        </w:rPr>
      </w:pPr>
    </w:p>
    <w:p w14:paraId="3FD0C2D2">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color w:val="auto"/>
          <w:sz w:val="28"/>
          <w:szCs w:val="28"/>
          <w:highlight w:val="none"/>
        </w:rPr>
      </w:pPr>
    </w:p>
    <w:p w14:paraId="73875A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编制人：</w:t>
      </w:r>
      <w:r>
        <w:rPr>
          <w:rFonts w:hint="eastAsia" w:ascii="宋体" w:hAnsi="宋体" w:eastAsia="宋体" w:cs="宋体"/>
          <w:color w:val="auto"/>
          <w:sz w:val="28"/>
          <w:szCs w:val="28"/>
          <w:highlight w:val="none"/>
          <w:u w:val="single"/>
        </w:rPr>
        <w:t xml:space="preserve">                                                               </w:t>
      </w:r>
    </w:p>
    <w:p w14:paraId="6A159A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(造价人员签字</w:t>
      </w:r>
      <w:r>
        <w:rPr>
          <w:rFonts w:hint="eastAsia" w:ascii="宋体" w:hAnsi="宋体" w:cs="宋体"/>
          <w:color w:val="auto"/>
          <w:sz w:val="28"/>
          <w:szCs w:val="28"/>
          <w:highlight w:val="none"/>
          <w:lang w:eastAsia="zh-CN"/>
        </w:rPr>
        <w:t>或</w:t>
      </w:r>
      <w:r>
        <w:rPr>
          <w:rFonts w:hint="eastAsia" w:ascii="宋体" w:hAnsi="宋体" w:eastAsia="宋体" w:cs="宋体"/>
          <w:color w:val="auto"/>
          <w:sz w:val="28"/>
          <w:szCs w:val="28"/>
          <w:highlight w:val="none"/>
        </w:rPr>
        <w:t>盖专用章)</w:t>
      </w:r>
    </w:p>
    <w:p w14:paraId="7E164F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p>
    <w:p w14:paraId="0080164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编制时间：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p>
    <w:p w14:paraId="2EF819B6">
      <w:pPr>
        <w:spacing w:line="360" w:lineRule="auto"/>
        <w:ind w:firstLine="560" w:firstLineChars="200"/>
        <w:rPr>
          <w:rFonts w:hint="eastAsia" w:ascii="宋体" w:hAnsi="宋体" w:eastAsia="宋体" w:cs="宋体"/>
          <w:color w:val="auto"/>
          <w:sz w:val="28"/>
          <w:szCs w:val="28"/>
          <w:highlight w:val="none"/>
        </w:rPr>
      </w:pPr>
    </w:p>
    <w:p w14:paraId="48EBE918">
      <w:pPr>
        <w:rPr>
          <w:color w:val="auto"/>
        </w:rPr>
      </w:pPr>
    </w:p>
    <w:p w14:paraId="60D490BC">
      <w:pPr>
        <w:rPr>
          <w:rFonts w:ascii="宋体" w:hAnsi="宋体"/>
          <w:color w:val="auto"/>
          <w:sz w:val="24"/>
        </w:rPr>
      </w:pPr>
      <w:r>
        <w:rPr>
          <w:rFonts w:ascii="宋体" w:hAnsi="宋体"/>
          <w:color w:val="auto"/>
          <w:sz w:val="24"/>
        </w:rPr>
        <w:br w:type="page"/>
      </w:r>
    </w:p>
    <w:p w14:paraId="2BC7C386">
      <w:pPr>
        <w:spacing w:line="360" w:lineRule="auto"/>
        <w:jc w:val="center"/>
        <w:rPr>
          <w:rFonts w:hint="eastAsia" w:ascii="宋体" w:hAnsi="宋体" w:eastAsia="宋体"/>
          <w:b/>
          <w:color w:val="auto"/>
          <w:sz w:val="24"/>
          <w:szCs w:val="24"/>
          <w:lang w:eastAsia="zh-CN"/>
        </w:rPr>
      </w:pPr>
      <w:bookmarkStart w:id="228" w:name="_Toc374107074"/>
      <w:bookmarkStart w:id="229" w:name="_Toc323642005"/>
      <w:bookmarkStart w:id="230" w:name="_Toc300901200"/>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14:paraId="5B6171F0">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14:paraId="58B7570A">
        <w:tblPrEx>
          <w:tblCellMar>
            <w:top w:w="0" w:type="dxa"/>
            <w:left w:w="108" w:type="dxa"/>
            <w:bottom w:w="0" w:type="dxa"/>
            <w:right w:w="108" w:type="dxa"/>
          </w:tblCellMar>
        </w:tblPrEx>
        <w:trPr>
          <w:trHeight w:val="600" w:hRule="atLeast"/>
          <w:jc w:val="center"/>
        </w:trPr>
        <w:tc>
          <w:tcPr>
            <w:tcW w:w="9505" w:type="dxa"/>
          </w:tcPr>
          <w:p w14:paraId="434E1D5B">
            <w:pPr>
              <w:rPr>
                <w:rFonts w:ascii="宋体" w:hAnsi="宋体"/>
                <w:color w:val="auto"/>
                <w:sz w:val="24"/>
              </w:rPr>
            </w:pPr>
            <w:r>
              <w:rPr>
                <w:rFonts w:hint="eastAsia" w:ascii="宋体" w:hAnsi="宋体"/>
                <w:color w:val="auto"/>
                <w:sz w:val="24"/>
              </w:rPr>
              <w:t>1.针对项目特点内容规范完整性和整体编制水平</w:t>
            </w:r>
          </w:p>
        </w:tc>
      </w:tr>
      <w:tr w14:paraId="36DFA86C">
        <w:tblPrEx>
          <w:tblCellMar>
            <w:top w:w="0" w:type="dxa"/>
            <w:left w:w="108" w:type="dxa"/>
            <w:bottom w:w="0" w:type="dxa"/>
            <w:right w:w="108" w:type="dxa"/>
          </w:tblCellMar>
        </w:tblPrEx>
        <w:trPr>
          <w:trHeight w:val="600" w:hRule="atLeast"/>
          <w:jc w:val="center"/>
        </w:trPr>
        <w:tc>
          <w:tcPr>
            <w:tcW w:w="9505" w:type="dxa"/>
          </w:tcPr>
          <w:p w14:paraId="74A507BB">
            <w:pPr>
              <w:rPr>
                <w:rFonts w:ascii="宋体" w:hAnsi="宋体"/>
                <w:color w:val="auto"/>
                <w:sz w:val="24"/>
              </w:rPr>
            </w:pPr>
            <w:r>
              <w:rPr>
                <w:rFonts w:hint="eastAsia" w:ascii="宋体" w:hAnsi="宋体"/>
                <w:color w:val="auto"/>
                <w:sz w:val="24"/>
              </w:rPr>
              <w:t>2.施工方案与技术措施</w:t>
            </w:r>
          </w:p>
        </w:tc>
      </w:tr>
      <w:tr w14:paraId="01D107B6">
        <w:tblPrEx>
          <w:tblCellMar>
            <w:top w:w="0" w:type="dxa"/>
            <w:left w:w="108" w:type="dxa"/>
            <w:bottom w:w="0" w:type="dxa"/>
            <w:right w:w="108" w:type="dxa"/>
          </w:tblCellMar>
        </w:tblPrEx>
        <w:trPr>
          <w:trHeight w:val="600" w:hRule="atLeast"/>
          <w:jc w:val="center"/>
        </w:trPr>
        <w:tc>
          <w:tcPr>
            <w:tcW w:w="9505" w:type="dxa"/>
          </w:tcPr>
          <w:p w14:paraId="4578255C">
            <w:pPr>
              <w:rPr>
                <w:rFonts w:ascii="宋体" w:hAnsi="宋体"/>
                <w:color w:val="auto"/>
                <w:sz w:val="24"/>
              </w:rPr>
            </w:pPr>
            <w:r>
              <w:rPr>
                <w:rFonts w:hint="eastAsia" w:ascii="宋体" w:hAnsi="宋体"/>
                <w:color w:val="auto"/>
                <w:sz w:val="24"/>
              </w:rPr>
              <w:t>3.质量管理体系与措施</w:t>
            </w:r>
          </w:p>
        </w:tc>
      </w:tr>
      <w:tr w14:paraId="16476704">
        <w:tblPrEx>
          <w:tblCellMar>
            <w:top w:w="0" w:type="dxa"/>
            <w:left w:w="108" w:type="dxa"/>
            <w:bottom w:w="0" w:type="dxa"/>
            <w:right w:w="108" w:type="dxa"/>
          </w:tblCellMar>
        </w:tblPrEx>
        <w:trPr>
          <w:trHeight w:val="600" w:hRule="atLeast"/>
          <w:jc w:val="center"/>
        </w:trPr>
        <w:tc>
          <w:tcPr>
            <w:tcW w:w="9505" w:type="dxa"/>
          </w:tcPr>
          <w:p w14:paraId="58BFA8A9">
            <w:pPr>
              <w:rPr>
                <w:rFonts w:ascii="宋体" w:hAnsi="宋体"/>
                <w:color w:val="auto"/>
                <w:sz w:val="24"/>
              </w:rPr>
            </w:pPr>
            <w:r>
              <w:rPr>
                <w:rFonts w:hint="eastAsia" w:ascii="宋体" w:hAnsi="宋体"/>
                <w:color w:val="auto"/>
                <w:sz w:val="24"/>
              </w:rPr>
              <w:t>4.安全管理体系与措施</w:t>
            </w:r>
          </w:p>
        </w:tc>
      </w:tr>
      <w:tr w14:paraId="470005A9">
        <w:tblPrEx>
          <w:tblCellMar>
            <w:top w:w="0" w:type="dxa"/>
            <w:left w:w="108" w:type="dxa"/>
            <w:bottom w:w="0" w:type="dxa"/>
            <w:right w:w="108" w:type="dxa"/>
          </w:tblCellMar>
        </w:tblPrEx>
        <w:trPr>
          <w:trHeight w:val="600" w:hRule="atLeast"/>
          <w:jc w:val="center"/>
        </w:trPr>
        <w:tc>
          <w:tcPr>
            <w:tcW w:w="9505" w:type="dxa"/>
          </w:tcPr>
          <w:p w14:paraId="36E9E7B5">
            <w:pPr>
              <w:rPr>
                <w:rFonts w:ascii="宋体" w:hAnsi="宋体"/>
                <w:color w:val="auto"/>
                <w:sz w:val="24"/>
              </w:rPr>
            </w:pPr>
            <w:r>
              <w:rPr>
                <w:rFonts w:hint="eastAsia" w:ascii="宋体" w:hAnsi="宋体"/>
                <w:color w:val="auto"/>
                <w:sz w:val="24"/>
              </w:rPr>
              <w:t>5.工程进度计划与措施</w:t>
            </w:r>
          </w:p>
        </w:tc>
      </w:tr>
      <w:tr w14:paraId="35123409">
        <w:tblPrEx>
          <w:tblCellMar>
            <w:top w:w="0" w:type="dxa"/>
            <w:left w:w="108" w:type="dxa"/>
            <w:bottom w:w="0" w:type="dxa"/>
            <w:right w:w="108" w:type="dxa"/>
          </w:tblCellMar>
        </w:tblPrEx>
        <w:trPr>
          <w:trHeight w:val="600" w:hRule="atLeast"/>
          <w:jc w:val="center"/>
        </w:trPr>
        <w:tc>
          <w:tcPr>
            <w:tcW w:w="9505" w:type="dxa"/>
          </w:tcPr>
          <w:p w14:paraId="2EEBB12F">
            <w:pPr>
              <w:rPr>
                <w:rFonts w:ascii="宋体" w:hAnsi="宋体"/>
                <w:color w:val="auto"/>
                <w:sz w:val="24"/>
              </w:rPr>
            </w:pPr>
            <w:r>
              <w:rPr>
                <w:rFonts w:hint="eastAsia" w:ascii="宋体" w:hAnsi="宋体"/>
                <w:color w:val="auto"/>
                <w:sz w:val="24"/>
              </w:rPr>
              <w:t>6.环保管理体系与措施</w:t>
            </w:r>
          </w:p>
        </w:tc>
      </w:tr>
      <w:tr w14:paraId="51C37F9C">
        <w:tblPrEx>
          <w:tblCellMar>
            <w:top w:w="0" w:type="dxa"/>
            <w:left w:w="108" w:type="dxa"/>
            <w:bottom w:w="0" w:type="dxa"/>
            <w:right w:w="108" w:type="dxa"/>
          </w:tblCellMar>
        </w:tblPrEx>
        <w:trPr>
          <w:trHeight w:val="600" w:hRule="atLeast"/>
          <w:jc w:val="center"/>
        </w:trPr>
        <w:tc>
          <w:tcPr>
            <w:tcW w:w="9505" w:type="dxa"/>
          </w:tcPr>
          <w:p w14:paraId="598C0D5B">
            <w:pPr>
              <w:rPr>
                <w:rFonts w:ascii="宋体" w:hAnsi="宋体"/>
                <w:color w:val="auto"/>
                <w:sz w:val="24"/>
              </w:rPr>
            </w:pPr>
            <w:r>
              <w:rPr>
                <w:rFonts w:hint="eastAsia" w:ascii="宋体" w:hAnsi="宋体"/>
                <w:color w:val="auto"/>
                <w:sz w:val="24"/>
              </w:rPr>
              <w:t>7.文明管理体系与措施</w:t>
            </w:r>
          </w:p>
        </w:tc>
      </w:tr>
      <w:tr w14:paraId="4A682B82">
        <w:tblPrEx>
          <w:tblCellMar>
            <w:top w:w="0" w:type="dxa"/>
            <w:left w:w="108" w:type="dxa"/>
            <w:bottom w:w="0" w:type="dxa"/>
            <w:right w:w="108" w:type="dxa"/>
          </w:tblCellMar>
        </w:tblPrEx>
        <w:trPr>
          <w:trHeight w:val="600" w:hRule="atLeast"/>
          <w:jc w:val="center"/>
        </w:trPr>
        <w:tc>
          <w:tcPr>
            <w:tcW w:w="9505" w:type="dxa"/>
          </w:tcPr>
          <w:p w14:paraId="77254917">
            <w:pPr>
              <w:rPr>
                <w:rFonts w:ascii="宋体" w:hAnsi="宋体"/>
                <w:color w:val="auto"/>
                <w:sz w:val="24"/>
              </w:rPr>
            </w:pPr>
            <w:r>
              <w:rPr>
                <w:rFonts w:hint="eastAsia" w:ascii="宋体" w:hAnsi="宋体"/>
                <w:color w:val="auto"/>
                <w:sz w:val="24"/>
              </w:rPr>
              <w:t>8.施工管理及措施</w:t>
            </w:r>
          </w:p>
        </w:tc>
      </w:tr>
      <w:tr w14:paraId="05938FFF">
        <w:tblPrEx>
          <w:tblCellMar>
            <w:top w:w="0" w:type="dxa"/>
            <w:left w:w="108" w:type="dxa"/>
            <w:bottom w:w="0" w:type="dxa"/>
            <w:right w:w="108" w:type="dxa"/>
          </w:tblCellMar>
        </w:tblPrEx>
        <w:trPr>
          <w:trHeight w:val="600" w:hRule="atLeast"/>
          <w:jc w:val="center"/>
        </w:trPr>
        <w:tc>
          <w:tcPr>
            <w:tcW w:w="9505" w:type="dxa"/>
          </w:tcPr>
          <w:p w14:paraId="64875CDD">
            <w:pPr>
              <w:rPr>
                <w:rFonts w:ascii="宋体" w:hAnsi="宋体"/>
                <w:color w:val="auto"/>
                <w:sz w:val="24"/>
              </w:rPr>
            </w:pPr>
            <w:r>
              <w:rPr>
                <w:rFonts w:hint="eastAsia" w:ascii="宋体" w:hAnsi="宋体"/>
                <w:color w:val="auto"/>
                <w:sz w:val="24"/>
              </w:rPr>
              <w:t>9.资源配备计划及措施</w:t>
            </w:r>
          </w:p>
        </w:tc>
      </w:tr>
      <w:tr w14:paraId="1A49DAAA">
        <w:tblPrEx>
          <w:tblCellMar>
            <w:top w:w="0" w:type="dxa"/>
            <w:left w:w="108" w:type="dxa"/>
            <w:bottom w:w="0" w:type="dxa"/>
            <w:right w:w="108" w:type="dxa"/>
          </w:tblCellMar>
        </w:tblPrEx>
        <w:trPr>
          <w:trHeight w:val="600" w:hRule="atLeast"/>
          <w:jc w:val="center"/>
        </w:trPr>
        <w:tc>
          <w:tcPr>
            <w:tcW w:w="9505" w:type="dxa"/>
          </w:tcPr>
          <w:p w14:paraId="66934E34">
            <w:pPr>
              <w:rPr>
                <w:rFonts w:ascii="宋体" w:hAnsi="宋体"/>
                <w:color w:val="auto"/>
                <w:sz w:val="24"/>
              </w:rPr>
            </w:pPr>
            <w:r>
              <w:rPr>
                <w:rFonts w:hint="eastAsia" w:ascii="宋体" w:hAnsi="宋体"/>
                <w:color w:val="auto"/>
                <w:sz w:val="24"/>
              </w:rPr>
              <w:t>10.施工关键部位、材料采购要点的控制及措施</w:t>
            </w:r>
          </w:p>
        </w:tc>
      </w:tr>
    </w:tbl>
    <w:p w14:paraId="03479950">
      <w:pPr>
        <w:spacing w:line="360" w:lineRule="auto"/>
        <w:rPr>
          <w:rFonts w:ascii="宋体" w:hAnsi="宋体"/>
          <w:color w:val="auto"/>
          <w:sz w:val="24"/>
        </w:rPr>
      </w:pPr>
    </w:p>
    <w:p w14:paraId="4EC38D2A">
      <w:pPr>
        <w:pStyle w:val="86"/>
        <w:tabs>
          <w:tab w:val="left" w:pos="9638"/>
        </w:tabs>
        <w:spacing w:line="360" w:lineRule="auto"/>
        <w:ind w:right="-82" w:firstLine="470" w:firstLineChars="196"/>
        <w:jc w:val="center"/>
        <w:rPr>
          <w:rFonts w:ascii="宋体" w:hAnsi="宋体"/>
          <w:b/>
          <w:color w:val="auto"/>
          <w:sz w:val="24"/>
          <w:szCs w:val="24"/>
        </w:rPr>
      </w:pPr>
      <w:r>
        <w:rPr>
          <w:rFonts w:hint="eastAsia" w:ascii="宋体" w:hAnsi="宋体"/>
          <w:color w:val="auto"/>
          <w:sz w:val="24"/>
        </w:rPr>
        <w:br w:type="page"/>
      </w:r>
      <w:r>
        <w:rPr>
          <w:rFonts w:hint="eastAsia" w:ascii="宋体" w:hAnsi="宋体"/>
          <w:b/>
          <w:color w:val="auto"/>
          <w:sz w:val="24"/>
          <w:szCs w:val="24"/>
        </w:rPr>
        <w:t>六、项目管理机构</w:t>
      </w:r>
    </w:p>
    <w:p w14:paraId="227E9096">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821"/>
        <w:gridCol w:w="2151"/>
      </w:tblGrid>
      <w:tr w14:paraId="4A35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Merge w:val="restart"/>
            <w:vAlign w:val="center"/>
          </w:tcPr>
          <w:p w14:paraId="3A2C2ABB">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序号</w:t>
            </w:r>
          </w:p>
        </w:tc>
        <w:tc>
          <w:tcPr>
            <w:tcW w:w="1251" w:type="pct"/>
            <w:vMerge w:val="restart"/>
            <w:vAlign w:val="center"/>
          </w:tcPr>
          <w:p w14:paraId="35EB4285">
            <w:pPr>
              <w:spacing w:line="360" w:lineRule="auto"/>
              <w:jc w:val="center"/>
              <w:rPr>
                <w:rFonts w:ascii="宋体" w:hAnsi="宋体"/>
                <w:color w:val="auto"/>
                <w:sz w:val="24"/>
              </w:rPr>
            </w:pPr>
            <w:r>
              <w:rPr>
                <w:rFonts w:hint="eastAsia" w:ascii="宋体" w:hAnsi="宋体"/>
                <w:color w:val="auto"/>
                <w:sz w:val="24"/>
              </w:rPr>
              <w:t>姓名</w:t>
            </w:r>
          </w:p>
        </w:tc>
        <w:tc>
          <w:tcPr>
            <w:tcW w:w="1416" w:type="pct"/>
            <w:vMerge w:val="restart"/>
            <w:vAlign w:val="center"/>
          </w:tcPr>
          <w:p w14:paraId="5BE7299C">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拟在本项目担任的职务</w:t>
            </w:r>
          </w:p>
        </w:tc>
        <w:tc>
          <w:tcPr>
            <w:tcW w:w="1080" w:type="pct"/>
            <w:vMerge w:val="restart"/>
            <w:vAlign w:val="center"/>
          </w:tcPr>
          <w:p w14:paraId="44DB4425">
            <w:pPr>
              <w:spacing w:line="360" w:lineRule="auto"/>
              <w:jc w:val="center"/>
              <w:rPr>
                <w:rFonts w:ascii="宋体" w:hAnsi="宋体"/>
                <w:color w:val="auto"/>
                <w:sz w:val="24"/>
              </w:rPr>
            </w:pPr>
            <w:r>
              <w:rPr>
                <w:rFonts w:hint="eastAsia" w:ascii="宋体" w:hAnsi="宋体"/>
                <w:color w:val="auto"/>
                <w:sz w:val="24"/>
              </w:rPr>
              <w:t>备注</w:t>
            </w:r>
          </w:p>
        </w:tc>
      </w:tr>
      <w:tr w14:paraId="1C0C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Merge w:val="continue"/>
            <w:vAlign w:val="center"/>
          </w:tcPr>
          <w:p w14:paraId="7198DCE6">
            <w:pPr>
              <w:spacing w:line="360" w:lineRule="auto"/>
              <w:jc w:val="center"/>
              <w:rPr>
                <w:rFonts w:ascii="宋体" w:hAnsi="宋体"/>
                <w:color w:val="auto"/>
                <w:sz w:val="24"/>
              </w:rPr>
            </w:pPr>
          </w:p>
        </w:tc>
        <w:tc>
          <w:tcPr>
            <w:tcW w:w="1251" w:type="pct"/>
            <w:vMerge w:val="continue"/>
            <w:vAlign w:val="center"/>
          </w:tcPr>
          <w:p w14:paraId="417FE132">
            <w:pPr>
              <w:spacing w:line="360" w:lineRule="auto"/>
              <w:jc w:val="center"/>
              <w:rPr>
                <w:rFonts w:ascii="宋体" w:hAnsi="宋体"/>
                <w:color w:val="auto"/>
                <w:sz w:val="24"/>
              </w:rPr>
            </w:pPr>
          </w:p>
        </w:tc>
        <w:tc>
          <w:tcPr>
            <w:tcW w:w="1416" w:type="pct"/>
            <w:vMerge w:val="continue"/>
            <w:vAlign w:val="center"/>
          </w:tcPr>
          <w:p w14:paraId="6BA38AD2">
            <w:pPr>
              <w:spacing w:line="360" w:lineRule="auto"/>
              <w:jc w:val="center"/>
              <w:rPr>
                <w:rFonts w:ascii="宋体" w:hAnsi="宋体"/>
                <w:color w:val="auto"/>
                <w:sz w:val="24"/>
              </w:rPr>
            </w:pPr>
          </w:p>
        </w:tc>
        <w:tc>
          <w:tcPr>
            <w:tcW w:w="1080" w:type="pct"/>
            <w:vMerge w:val="continue"/>
            <w:vAlign w:val="center"/>
          </w:tcPr>
          <w:p w14:paraId="3D550076">
            <w:pPr>
              <w:spacing w:line="360" w:lineRule="auto"/>
              <w:jc w:val="center"/>
              <w:rPr>
                <w:rFonts w:ascii="宋体" w:hAnsi="宋体"/>
                <w:color w:val="auto"/>
                <w:sz w:val="24"/>
              </w:rPr>
            </w:pPr>
          </w:p>
        </w:tc>
      </w:tr>
      <w:tr w14:paraId="2CE6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2AF5650E">
            <w:pPr>
              <w:spacing w:line="360" w:lineRule="auto"/>
              <w:jc w:val="center"/>
              <w:rPr>
                <w:rFonts w:ascii="宋体" w:hAnsi="宋体"/>
                <w:color w:val="auto"/>
                <w:sz w:val="24"/>
              </w:rPr>
            </w:pPr>
          </w:p>
        </w:tc>
        <w:tc>
          <w:tcPr>
            <w:tcW w:w="1251" w:type="pct"/>
            <w:vAlign w:val="center"/>
          </w:tcPr>
          <w:p w14:paraId="62D92C89">
            <w:pPr>
              <w:spacing w:line="360" w:lineRule="auto"/>
              <w:jc w:val="center"/>
              <w:rPr>
                <w:rFonts w:ascii="宋体" w:hAnsi="宋体"/>
                <w:color w:val="auto"/>
                <w:sz w:val="24"/>
              </w:rPr>
            </w:pPr>
          </w:p>
        </w:tc>
        <w:tc>
          <w:tcPr>
            <w:tcW w:w="1416" w:type="pct"/>
            <w:vAlign w:val="center"/>
          </w:tcPr>
          <w:p w14:paraId="435B2AC5">
            <w:pPr>
              <w:spacing w:line="360" w:lineRule="auto"/>
              <w:jc w:val="center"/>
              <w:rPr>
                <w:rFonts w:ascii="宋体" w:hAnsi="宋体"/>
                <w:color w:val="auto"/>
                <w:sz w:val="24"/>
              </w:rPr>
            </w:pPr>
          </w:p>
        </w:tc>
        <w:tc>
          <w:tcPr>
            <w:tcW w:w="1080" w:type="pct"/>
            <w:vAlign w:val="center"/>
          </w:tcPr>
          <w:p w14:paraId="6EA392CD">
            <w:pPr>
              <w:spacing w:line="360" w:lineRule="auto"/>
              <w:jc w:val="center"/>
              <w:rPr>
                <w:rFonts w:ascii="宋体" w:hAnsi="宋体"/>
                <w:color w:val="auto"/>
                <w:sz w:val="24"/>
              </w:rPr>
            </w:pPr>
          </w:p>
        </w:tc>
      </w:tr>
      <w:tr w14:paraId="72FB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5BF6E992">
            <w:pPr>
              <w:spacing w:line="360" w:lineRule="auto"/>
              <w:jc w:val="center"/>
              <w:rPr>
                <w:rFonts w:ascii="宋体" w:hAnsi="宋体"/>
                <w:color w:val="auto"/>
                <w:sz w:val="24"/>
              </w:rPr>
            </w:pPr>
          </w:p>
        </w:tc>
        <w:tc>
          <w:tcPr>
            <w:tcW w:w="1251" w:type="pct"/>
            <w:vAlign w:val="center"/>
          </w:tcPr>
          <w:p w14:paraId="7D1F70BC">
            <w:pPr>
              <w:spacing w:line="360" w:lineRule="auto"/>
              <w:jc w:val="center"/>
              <w:rPr>
                <w:rFonts w:ascii="宋体" w:hAnsi="宋体"/>
                <w:color w:val="auto"/>
                <w:sz w:val="24"/>
              </w:rPr>
            </w:pPr>
          </w:p>
        </w:tc>
        <w:tc>
          <w:tcPr>
            <w:tcW w:w="1416" w:type="pct"/>
            <w:vAlign w:val="center"/>
          </w:tcPr>
          <w:p w14:paraId="116E6535">
            <w:pPr>
              <w:spacing w:line="360" w:lineRule="auto"/>
              <w:jc w:val="center"/>
              <w:rPr>
                <w:rFonts w:ascii="宋体" w:hAnsi="宋体"/>
                <w:color w:val="auto"/>
                <w:sz w:val="24"/>
              </w:rPr>
            </w:pPr>
          </w:p>
        </w:tc>
        <w:tc>
          <w:tcPr>
            <w:tcW w:w="1080" w:type="pct"/>
            <w:vAlign w:val="center"/>
          </w:tcPr>
          <w:p w14:paraId="13890000">
            <w:pPr>
              <w:spacing w:line="360" w:lineRule="auto"/>
              <w:jc w:val="center"/>
              <w:rPr>
                <w:rFonts w:ascii="宋体" w:hAnsi="宋体"/>
                <w:color w:val="auto"/>
                <w:sz w:val="24"/>
              </w:rPr>
            </w:pPr>
          </w:p>
        </w:tc>
      </w:tr>
      <w:tr w14:paraId="7383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33D30EB">
            <w:pPr>
              <w:spacing w:line="360" w:lineRule="auto"/>
              <w:jc w:val="center"/>
              <w:rPr>
                <w:rFonts w:ascii="宋体" w:hAnsi="宋体"/>
                <w:color w:val="auto"/>
                <w:sz w:val="24"/>
              </w:rPr>
            </w:pPr>
          </w:p>
        </w:tc>
        <w:tc>
          <w:tcPr>
            <w:tcW w:w="1251" w:type="pct"/>
            <w:vAlign w:val="center"/>
          </w:tcPr>
          <w:p w14:paraId="65EF1A2F">
            <w:pPr>
              <w:spacing w:line="360" w:lineRule="auto"/>
              <w:jc w:val="center"/>
              <w:rPr>
                <w:rFonts w:ascii="宋体" w:hAnsi="宋体"/>
                <w:color w:val="auto"/>
                <w:sz w:val="24"/>
              </w:rPr>
            </w:pPr>
          </w:p>
        </w:tc>
        <w:tc>
          <w:tcPr>
            <w:tcW w:w="1416" w:type="pct"/>
            <w:vAlign w:val="center"/>
          </w:tcPr>
          <w:p w14:paraId="2B2C6A7F">
            <w:pPr>
              <w:spacing w:line="360" w:lineRule="auto"/>
              <w:jc w:val="center"/>
              <w:rPr>
                <w:rFonts w:ascii="宋体" w:hAnsi="宋体"/>
                <w:color w:val="auto"/>
                <w:sz w:val="24"/>
              </w:rPr>
            </w:pPr>
          </w:p>
        </w:tc>
        <w:tc>
          <w:tcPr>
            <w:tcW w:w="1080" w:type="pct"/>
            <w:vAlign w:val="center"/>
          </w:tcPr>
          <w:p w14:paraId="227A9061">
            <w:pPr>
              <w:spacing w:line="360" w:lineRule="auto"/>
              <w:jc w:val="center"/>
              <w:rPr>
                <w:rFonts w:ascii="宋体" w:hAnsi="宋体"/>
                <w:color w:val="auto"/>
                <w:sz w:val="24"/>
              </w:rPr>
            </w:pPr>
          </w:p>
        </w:tc>
      </w:tr>
      <w:tr w14:paraId="537D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6B57B7E">
            <w:pPr>
              <w:spacing w:line="360" w:lineRule="auto"/>
              <w:jc w:val="center"/>
              <w:rPr>
                <w:rFonts w:ascii="宋体" w:hAnsi="宋体"/>
                <w:color w:val="auto"/>
                <w:sz w:val="24"/>
              </w:rPr>
            </w:pPr>
          </w:p>
        </w:tc>
        <w:tc>
          <w:tcPr>
            <w:tcW w:w="1251" w:type="pct"/>
            <w:vAlign w:val="center"/>
          </w:tcPr>
          <w:p w14:paraId="5BD3A779">
            <w:pPr>
              <w:spacing w:line="360" w:lineRule="auto"/>
              <w:jc w:val="center"/>
              <w:rPr>
                <w:rFonts w:ascii="宋体" w:hAnsi="宋体"/>
                <w:color w:val="auto"/>
                <w:sz w:val="24"/>
              </w:rPr>
            </w:pPr>
          </w:p>
        </w:tc>
        <w:tc>
          <w:tcPr>
            <w:tcW w:w="1416" w:type="pct"/>
            <w:vAlign w:val="center"/>
          </w:tcPr>
          <w:p w14:paraId="6FA9AF72">
            <w:pPr>
              <w:spacing w:line="360" w:lineRule="auto"/>
              <w:jc w:val="center"/>
              <w:rPr>
                <w:rFonts w:ascii="宋体" w:hAnsi="宋体"/>
                <w:color w:val="auto"/>
                <w:sz w:val="24"/>
              </w:rPr>
            </w:pPr>
          </w:p>
        </w:tc>
        <w:tc>
          <w:tcPr>
            <w:tcW w:w="1080" w:type="pct"/>
            <w:vAlign w:val="center"/>
          </w:tcPr>
          <w:p w14:paraId="65D14B31">
            <w:pPr>
              <w:spacing w:line="360" w:lineRule="auto"/>
              <w:jc w:val="center"/>
              <w:rPr>
                <w:rFonts w:ascii="宋体" w:hAnsi="宋体"/>
                <w:color w:val="auto"/>
                <w:sz w:val="24"/>
              </w:rPr>
            </w:pPr>
          </w:p>
        </w:tc>
      </w:tr>
      <w:tr w14:paraId="564D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0809040D">
            <w:pPr>
              <w:spacing w:line="360" w:lineRule="auto"/>
              <w:jc w:val="center"/>
              <w:rPr>
                <w:rFonts w:ascii="宋体" w:hAnsi="宋体"/>
                <w:color w:val="auto"/>
                <w:sz w:val="24"/>
              </w:rPr>
            </w:pPr>
          </w:p>
        </w:tc>
        <w:tc>
          <w:tcPr>
            <w:tcW w:w="1251" w:type="pct"/>
            <w:vAlign w:val="center"/>
          </w:tcPr>
          <w:p w14:paraId="59792653">
            <w:pPr>
              <w:spacing w:line="360" w:lineRule="auto"/>
              <w:jc w:val="center"/>
              <w:rPr>
                <w:rFonts w:ascii="宋体" w:hAnsi="宋体"/>
                <w:color w:val="auto"/>
                <w:sz w:val="24"/>
              </w:rPr>
            </w:pPr>
          </w:p>
        </w:tc>
        <w:tc>
          <w:tcPr>
            <w:tcW w:w="1416" w:type="pct"/>
            <w:vAlign w:val="center"/>
          </w:tcPr>
          <w:p w14:paraId="1C5E4E2A">
            <w:pPr>
              <w:spacing w:line="360" w:lineRule="auto"/>
              <w:jc w:val="center"/>
              <w:rPr>
                <w:rFonts w:ascii="宋体" w:hAnsi="宋体"/>
                <w:color w:val="auto"/>
                <w:sz w:val="24"/>
              </w:rPr>
            </w:pPr>
          </w:p>
        </w:tc>
        <w:tc>
          <w:tcPr>
            <w:tcW w:w="1080" w:type="pct"/>
            <w:vAlign w:val="center"/>
          </w:tcPr>
          <w:p w14:paraId="1CD9EF84">
            <w:pPr>
              <w:spacing w:line="360" w:lineRule="auto"/>
              <w:jc w:val="center"/>
              <w:rPr>
                <w:rFonts w:ascii="宋体" w:hAnsi="宋体"/>
                <w:color w:val="auto"/>
                <w:sz w:val="24"/>
              </w:rPr>
            </w:pPr>
          </w:p>
        </w:tc>
      </w:tr>
      <w:tr w14:paraId="6FF5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4AB2CC20">
            <w:pPr>
              <w:spacing w:line="360" w:lineRule="auto"/>
              <w:jc w:val="center"/>
              <w:rPr>
                <w:rFonts w:ascii="宋体" w:hAnsi="宋体"/>
                <w:color w:val="auto"/>
                <w:sz w:val="24"/>
              </w:rPr>
            </w:pPr>
          </w:p>
        </w:tc>
        <w:tc>
          <w:tcPr>
            <w:tcW w:w="1251" w:type="pct"/>
            <w:vAlign w:val="center"/>
          </w:tcPr>
          <w:p w14:paraId="05A44039">
            <w:pPr>
              <w:spacing w:line="360" w:lineRule="auto"/>
              <w:jc w:val="center"/>
              <w:rPr>
                <w:rFonts w:ascii="宋体" w:hAnsi="宋体"/>
                <w:color w:val="auto"/>
                <w:sz w:val="24"/>
              </w:rPr>
            </w:pPr>
          </w:p>
        </w:tc>
        <w:tc>
          <w:tcPr>
            <w:tcW w:w="1416" w:type="pct"/>
            <w:vAlign w:val="center"/>
          </w:tcPr>
          <w:p w14:paraId="2A78F551">
            <w:pPr>
              <w:spacing w:line="360" w:lineRule="auto"/>
              <w:jc w:val="center"/>
              <w:rPr>
                <w:rFonts w:ascii="宋体" w:hAnsi="宋体"/>
                <w:color w:val="auto"/>
                <w:sz w:val="24"/>
              </w:rPr>
            </w:pPr>
          </w:p>
        </w:tc>
        <w:tc>
          <w:tcPr>
            <w:tcW w:w="1080" w:type="pct"/>
            <w:vAlign w:val="center"/>
          </w:tcPr>
          <w:p w14:paraId="69011840">
            <w:pPr>
              <w:spacing w:line="360" w:lineRule="auto"/>
              <w:jc w:val="center"/>
              <w:rPr>
                <w:rFonts w:ascii="宋体" w:hAnsi="宋体"/>
                <w:color w:val="auto"/>
                <w:sz w:val="24"/>
              </w:rPr>
            </w:pPr>
          </w:p>
        </w:tc>
      </w:tr>
      <w:tr w14:paraId="4DAF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2CB2BB17">
            <w:pPr>
              <w:spacing w:line="360" w:lineRule="auto"/>
              <w:jc w:val="center"/>
              <w:rPr>
                <w:rFonts w:ascii="宋体" w:hAnsi="宋体"/>
                <w:color w:val="auto"/>
                <w:sz w:val="24"/>
              </w:rPr>
            </w:pPr>
          </w:p>
        </w:tc>
        <w:tc>
          <w:tcPr>
            <w:tcW w:w="1251" w:type="pct"/>
            <w:vAlign w:val="center"/>
          </w:tcPr>
          <w:p w14:paraId="2F9BE8C5">
            <w:pPr>
              <w:spacing w:line="360" w:lineRule="auto"/>
              <w:jc w:val="center"/>
              <w:rPr>
                <w:rFonts w:ascii="宋体" w:hAnsi="宋体"/>
                <w:color w:val="auto"/>
                <w:sz w:val="24"/>
              </w:rPr>
            </w:pPr>
          </w:p>
        </w:tc>
        <w:tc>
          <w:tcPr>
            <w:tcW w:w="1416" w:type="pct"/>
            <w:vAlign w:val="center"/>
          </w:tcPr>
          <w:p w14:paraId="5C7843E5">
            <w:pPr>
              <w:spacing w:line="360" w:lineRule="auto"/>
              <w:jc w:val="center"/>
              <w:rPr>
                <w:rFonts w:ascii="宋体" w:hAnsi="宋体"/>
                <w:color w:val="auto"/>
                <w:sz w:val="24"/>
              </w:rPr>
            </w:pPr>
          </w:p>
        </w:tc>
        <w:tc>
          <w:tcPr>
            <w:tcW w:w="1080" w:type="pct"/>
            <w:vAlign w:val="center"/>
          </w:tcPr>
          <w:p w14:paraId="265D253D">
            <w:pPr>
              <w:spacing w:line="360" w:lineRule="auto"/>
              <w:jc w:val="center"/>
              <w:rPr>
                <w:rFonts w:ascii="宋体" w:hAnsi="宋体"/>
                <w:color w:val="auto"/>
                <w:sz w:val="24"/>
              </w:rPr>
            </w:pPr>
          </w:p>
        </w:tc>
      </w:tr>
      <w:tr w14:paraId="318F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5E9408AE">
            <w:pPr>
              <w:spacing w:line="360" w:lineRule="auto"/>
              <w:jc w:val="center"/>
              <w:rPr>
                <w:rFonts w:ascii="宋体" w:hAnsi="宋体"/>
                <w:color w:val="auto"/>
                <w:sz w:val="24"/>
              </w:rPr>
            </w:pPr>
          </w:p>
        </w:tc>
        <w:tc>
          <w:tcPr>
            <w:tcW w:w="1251" w:type="pct"/>
            <w:vAlign w:val="center"/>
          </w:tcPr>
          <w:p w14:paraId="097E565D">
            <w:pPr>
              <w:spacing w:line="360" w:lineRule="auto"/>
              <w:jc w:val="center"/>
              <w:rPr>
                <w:rFonts w:ascii="宋体" w:hAnsi="宋体"/>
                <w:color w:val="auto"/>
                <w:sz w:val="24"/>
              </w:rPr>
            </w:pPr>
          </w:p>
        </w:tc>
        <w:tc>
          <w:tcPr>
            <w:tcW w:w="1416" w:type="pct"/>
            <w:vAlign w:val="center"/>
          </w:tcPr>
          <w:p w14:paraId="38F9EE50">
            <w:pPr>
              <w:spacing w:line="360" w:lineRule="auto"/>
              <w:jc w:val="center"/>
              <w:rPr>
                <w:rFonts w:ascii="宋体" w:hAnsi="宋体"/>
                <w:color w:val="auto"/>
                <w:sz w:val="24"/>
              </w:rPr>
            </w:pPr>
          </w:p>
        </w:tc>
        <w:tc>
          <w:tcPr>
            <w:tcW w:w="1080" w:type="pct"/>
            <w:vAlign w:val="center"/>
          </w:tcPr>
          <w:p w14:paraId="1AF76954">
            <w:pPr>
              <w:spacing w:line="360" w:lineRule="auto"/>
              <w:jc w:val="center"/>
              <w:rPr>
                <w:rFonts w:ascii="宋体" w:hAnsi="宋体"/>
                <w:color w:val="auto"/>
                <w:sz w:val="24"/>
              </w:rPr>
            </w:pPr>
          </w:p>
        </w:tc>
      </w:tr>
      <w:tr w14:paraId="45F7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46F7FEFD">
            <w:pPr>
              <w:spacing w:line="360" w:lineRule="auto"/>
              <w:jc w:val="center"/>
              <w:rPr>
                <w:rFonts w:ascii="宋体" w:hAnsi="宋体"/>
                <w:color w:val="auto"/>
                <w:sz w:val="24"/>
              </w:rPr>
            </w:pPr>
          </w:p>
        </w:tc>
        <w:tc>
          <w:tcPr>
            <w:tcW w:w="1251" w:type="pct"/>
            <w:vAlign w:val="center"/>
          </w:tcPr>
          <w:p w14:paraId="44DF88C0">
            <w:pPr>
              <w:spacing w:line="360" w:lineRule="auto"/>
              <w:jc w:val="center"/>
              <w:rPr>
                <w:rFonts w:ascii="宋体" w:hAnsi="宋体"/>
                <w:color w:val="auto"/>
                <w:sz w:val="24"/>
              </w:rPr>
            </w:pPr>
          </w:p>
        </w:tc>
        <w:tc>
          <w:tcPr>
            <w:tcW w:w="1416" w:type="pct"/>
            <w:vAlign w:val="center"/>
          </w:tcPr>
          <w:p w14:paraId="16543D80">
            <w:pPr>
              <w:spacing w:line="360" w:lineRule="auto"/>
              <w:jc w:val="center"/>
              <w:rPr>
                <w:rFonts w:ascii="宋体" w:hAnsi="宋体"/>
                <w:color w:val="auto"/>
                <w:sz w:val="24"/>
              </w:rPr>
            </w:pPr>
          </w:p>
        </w:tc>
        <w:tc>
          <w:tcPr>
            <w:tcW w:w="1080" w:type="pct"/>
            <w:vAlign w:val="center"/>
          </w:tcPr>
          <w:p w14:paraId="629E3874">
            <w:pPr>
              <w:spacing w:line="360" w:lineRule="auto"/>
              <w:jc w:val="center"/>
              <w:rPr>
                <w:rFonts w:ascii="宋体" w:hAnsi="宋体"/>
                <w:color w:val="auto"/>
                <w:sz w:val="24"/>
              </w:rPr>
            </w:pPr>
          </w:p>
        </w:tc>
      </w:tr>
      <w:tr w14:paraId="2F6B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50C2D436">
            <w:pPr>
              <w:spacing w:line="360" w:lineRule="auto"/>
              <w:jc w:val="center"/>
              <w:rPr>
                <w:rFonts w:ascii="宋体" w:hAnsi="宋体"/>
                <w:color w:val="auto"/>
                <w:sz w:val="24"/>
              </w:rPr>
            </w:pPr>
          </w:p>
        </w:tc>
        <w:tc>
          <w:tcPr>
            <w:tcW w:w="1251" w:type="pct"/>
            <w:vAlign w:val="center"/>
          </w:tcPr>
          <w:p w14:paraId="4BBE7EE5">
            <w:pPr>
              <w:spacing w:line="360" w:lineRule="auto"/>
              <w:jc w:val="center"/>
              <w:rPr>
                <w:rFonts w:ascii="宋体" w:hAnsi="宋体"/>
                <w:color w:val="auto"/>
                <w:sz w:val="24"/>
              </w:rPr>
            </w:pPr>
          </w:p>
        </w:tc>
        <w:tc>
          <w:tcPr>
            <w:tcW w:w="1416" w:type="pct"/>
            <w:vAlign w:val="center"/>
          </w:tcPr>
          <w:p w14:paraId="083E238E">
            <w:pPr>
              <w:spacing w:line="360" w:lineRule="auto"/>
              <w:jc w:val="center"/>
              <w:rPr>
                <w:rFonts w:ascii="宋体" w:hAnsi="宋体"/>
                <w:color w:val="auto"/>
                <w:sz w:val="24"/>
              </w:rPr>
            </w:pPr>
          </w:p>
        </w:tc>
        <w:tc>
          <w:tcPr>
            <w:tcW w:w="1080" w:type="pct"/>
            <w:vAlign w:val="center"/>
          </w:tcPr>
          <w:p w14:paraId="4EF76ED9">
            <w:pPr>
              <w:spacing w:line="360" w:lineRule="auto"/>
              <w:jc w:val="center"/>
              <w:rPr>
                <w:rFonts w:ascii="宋体" w:hAnsi="宋体"/>
                <w:color w:val="auto"/>
                <w:sz w:val="24"/>
              </w:rPr>
            </w:pPr>
          </w:p>
        </w:tc>
      </w:tr>
      <w:tr w14:paraId="40B6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376D7E5B">
            <w:pPr>
              <w:spacing w:line="360" w:lineRule="auto"/>
              <w:jc w:val="center"/>
              <w:rPr>
                <w:rFonts w:ascii="宋体" w:hAnsi="宋体"/>
                <w:color w:val="auto"/>
                <w:sz w:val="24"/>
              </w:rPr>
            </w:pPr>
          </w:p>
        </w:tc>
        <w:tc>
          <w:tcPr>
            <w:tcW w:w="1251" w:type="pct"/>
            <w:vAlign w:val="center"/>
          </w:tcPr>
          <w:p w14:paraId="25B3BA5D">
            <w:pPr>
              <w:spacing w:line="360" w:lineRule="auto"/>
              <w:jc w:val="center"/>
              <w:rPr>
                <w:rFonts w:ascii="宋体" w:hAnsi="宋体"/>
                <w:color w:val="auto"/>
                <w:sz w:val="24"/>
              </w:rPr>
            </w:pPr>
          </w:p>
        </w:tc>
        <w:tc>
          <w:tcPr>
            <w:tcW w:w="1416" w:type="pct"/>
            <w:vAlign w:val="center"/>
          </w:tcPr>
          <w:p w14:paraId="5DF70354">
            <w:pPr>
              <w:spacing w:line="360" w:lineRule="auto"/>
              <w:jc w:val="center"/>
              <w:rPr>
                <w:rFonts w:ascii="宋体" w:hAnsi="宋体"/>
                <w:color w:val="auto"/>
                <w:sz w:val="24"/>
              </w:rPr>
            </w:pPr>
          </w:p>
        </w:tc>
        <w:tc>
          <w:tcPr>
            <w:tcW w:w="1080" w:type="pct"/>
            <w:vAlign w:val="center"/>
          </w:tcPr>
          <w:p w14:paraId="4BFB2433">
            <w:pPr>
              <w:spacing w:line="360" w:lineRule="auto"/>
              <w:jc w:val="center"/>
              <w:rPr>
                <w:rFonts w:ascii="宋体" w:hAnsi="宋体"/>
                <w:color w:val="auto"/>
                <w:sz w:val="24"/>
              </w:rPr>
            </w:pPr>
          </w:p>
        </w:tc>
      </w:tr>
      <w:tr w14:paraId="1A4E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61A5FF51">
            <w:pPr>
              <w:spacing w:line="360" w:lineRule="auto"/>
              <w:jc w:val="center"/>
              <w:rPr>
                <w:rFonts w:ascii="宋体" w:hAnsi="宋体"/>
                <w:color w:val="auto"/>
                <w:sz w:val="24"/>
              </w:rPr>
            </w:pPr>
          </w:p>
        </w:tc>
        <w:tc>
          <w:tcPr>
            <w:tcW w:w="1251" w:type="pct"/>
            <w:vAlign w:val="center"/>
          </w:tcPr>
          <w:p w14:paraId="14BF34A9">
            <w:pPr>
              <w:spacing w:line="360" w:lineRule="auto"/>
              <w:jc w:val="center"/>
              <w:rPr>
                <w:rFonts w:ascii="宋体" w:hAnsi="宋体"/>
                <w:color w:val="auto"/>
                <w:sz w:val="24"/>
              </w:rPr>
            </w:pPr>
          </w:p>
        </w:tc>
        <w:tc>
          <w:tcPr>
            <w:tcW w:w="1416" w:type="pct"/>
            <w:vAlign w:val="center"/>
          </w:tcPr>
          <w:p w14:paraId="364DA1EC">
            <w:pPr>
              <w:spacing w:line="360" w:lineRule="auto"/>
              <w:jc w:val="center"/>
              <w:rPr>
                <w:rFonts w:ascii="宋体" w:hAnsi="宋体"/>
                <w:color w:val="auto"/>
                <w:sz w:val="24"/>
              </w:rPr>
            </w:pPr>
          </w:p>
        </w:tc>
        <w:tc>
          <w:tcPr>
            <w:tcW w:w="1080" w:type="pct"/>
            <w:vAlign w:val="center"/>
          </w:tcPr>
          <w:p w14:paraId="0F88212D">
            <w:pPr>
              <w:spacing w:line="360" w:lineRule="auto"/>
              <w:jc w:val="center"/>
              <w:rPr>
                <w:rFonts w:ascii="宋体" w:hAnsi="宋体"/>
                <w:color w:val="auto"/>
                <w:sz w:val="24"/>
              </w:rPr>
            </w:pPr>
          </w:p>
        </w:tc>
      </w:tr>
      <w:tr w14:paraId="049E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34DE233">
            <w:pPr>
              <w:spacing w:line="360" w:lineRule="auto"/>
              <w:jc w:val="center"/>
              <w:rPr>
                <w:rFonts w:ascii="宋体" w:hAnsi="宋体"/>
                <w:color w:val="auto"/>
                <w:sz w:val="24"/>
              </w:rPr>
            </w:pPr>
          </w:p>
        </w:tc>
        <w:tc>
          <w:tcPr>
            <w:tcW w:w="1251" w:type="pct"/>
            <w:vAlign w:val="center"/>
          </w:tcPr>
          <w:p w14:paraId="0EDBE750">
            <w:pPr>
              <w:spacing w:line="360" w:lineRule="auto"/>
              <w:jc w:val="center"/>
              <w:rPr>
                <w:rFonts w:ascii="宋体" w:hAnsi="宋体"/>
                <w:color w:val="auto"/>
                <w:sz w:val="24"/>
              </w:rPr>
            </w:pPr>
          </w:p>
        </w:tc>
        <w:tc>
          <w:tcPr>
            <w:tcW w:w="1416" w:type="pct"/>
            <w:vAlign w:val="center"/>
          </w:tcPr>
          <w:p w14:paraId="7CD8517E">
            <w:pPr>
              <w:spacing w:line="360" w:lineRule="auto"/>
              <w:jc w:val="center"/>
              <w:rPr>
                <w:rFonts w:ascii="宋体" w:hAnsi="宋体"/>
                <w:color w:val="auto"/>
                <w:sz w:val="24"/>
              </w:rPr>
            </w:pPr>
          </w:p>
        </w:tc>
        <w:tc>
          <w:tcPr>
            <w:tcW w:w="1080" w:type="pct"/>
            <w:vAlign w:val="center"/>
          </w:tcPr>
          <w:p w14:paraId="0131F746">
            <w:pPr>
              <w:spacing w:line="360" w:lineRule="auto"/>
              <w:jc w:val="center"/>
              <w:rPr>
                <w:rFonts w:ascii="宋体" w:hAnsi="宋体"/>
                <w:color w:val="auto"/>
                <w:sz w:val="24"/>
              </w:rPr>
            </w:pPr>
          </w:p>
        </w:tc>
      </w:tr>
    </w:tbl>
    <w:p w14:paraId="1E2DB7E6">
      <w:pPr>
        <w:spacing w:line="360" w:lineRule="auto"/>
        <w:rPr>
          <w:rFonts w:hint="eastAsia" w:ascii="宋体" w:hAnsi="宋体" w:eastAsia="宋体"/>
          <w:color w:val="auto"/>
          <w:sz w:val="24"/>
          <w:lang w:val="en-US" w:eastAsia="zh-CN"/>
        </w:rPr>
      </w:pPr>
      <w:r>
        <w:rPr>
          <w:rFonts w:hint="eastAsia" w:ascii="宋体" w:hAnsi="宋体"/>
          <w:color w:val="auto"/>
          <w:sz w:val="24"/>
          <w:lang w:eastAsia="zh-CN"/>
        </w:rPr>
        <w:t>注：本表格后附（</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项目经理建造师注册证书、安全生产考核合格证书（B证）</w:t>
      </w: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项目管理班子</w:t>
      </w:r>
      <w:r>
        <w:rPr>
          <w:rFonts w:hint="eastAsia" w:ascii="宋体" w:hAnsi="宋体"/>
          <w:color w:val="auto"/>
          <w:sz w:val="24"/>
          <w:lang w:eastAsia="zh-CN"/>
        </w:rPr>
        <w:t>成员岗位证书（如有）</w:t>
      </w:r>
      <w:r>
        <w:rPr>
          <w:rFonts w:hint="eastAsia" w:ascii="宋体" w:hAnsi="宋体"/>
          <w:color w:val="auto"/>
          <w:sz w:val="24"/>
          <w:lang w:val="en-US" w:eastAsia="zh-CN"/>
        </w:rPr>
        <w:t>。</w:t>
      </w:r>
    </w:p>
    <w:p w14:paraId="2E6807D3">
      <w:pPr>
        <w:spacing w:before="286" w:beforeLines="100" w:after="286" w:afterLines="100" w:line="360" w:lineRule="auto"/>
        <w:jc w:val="left"/>
        <w:rPr>
          <w:rFonts w:hint="eastAsia" w:ascii="宋体" w:hAnsi="宋体"/>
          <w:color w:val="auto"/>
          <w:sz w:val="24"/>
          <w:lang w:eastAsia="zh-CN"/>
        </w:rPr>
      </w:pPr>
    </w:p>
    <w:p w14:paraId="1CA9F213">
      <w:pPr>
        <w:spacing w:before="286" w:beforeLines="100" w:after="286" w:afterLines="100" w:line="360" w:lineRule="auto"/>
        <w:jc w:val="left"/>
        <w:rPr>
          <w:rFonts w:hint="eastAsia" w:ascii="宋体" w:hAnsi="宋体"/>
          <w:color w:val="auto"/>
          <w:sz w:val="24"/>
          <w:lang w:eastAsia="zh-CN"/>
        </w:rPr>
      </w:pPr>
    </w:p>
    <w:p w14:paraId="42E06589">
      <w:pPr>
        <w:spacing w:before="286" w:beforeLines="100" w:after="286" w:afterLines="100" w:line="360" w:lineRule="auto"/>
        <w:jc w:val="left"/>
        <w:rPr>
          <w:rFonts w:hint="eastAsia" w:ascii="宋体" w:hAnsi="宋体"/>
          <w:color w:val="auto"/>
          <w:sz w:val="24"/>
          <w:lang w:eastAsia="zh-CN"/>
        </w:rPr>
      </w:pPr>
    </w:p>
    <w:p w14:paraId="055FE3D8">
      <w:pPr>
        <w:spacing w:before="286" w:beforeLines="100" w:after="286" w:afterLines="100" w:line="360" w:lineRule="auto"/>
        <w:jc w:val="left"/>
        <w:rPr>
          <w:rFonts w:ascii="宋体" w:hAnsi="宋体"/>
          <w:color w:val="auto"/>
          <w:sz w:val="24"/>
        </w:rPr>
      </w:pPr>
      <w:r>
        <w:rPr>
          <w:rFonts w:hint="eastAsia" w:ascii="宋体" w:hAnsi="宋体"/>
          <w:color w:val="auto"/>
          <w:sz w:val="24"/>
          <w:lang w:eastAsia="zh-CN"/>
        </w:rPr>
        <w:t>（二）</w:t>
      </w:r>
      <w:r>
        <w:rPr>
          <w:rFonts w:hint="eastAsia" w:ascii="宋体" w:hAnsi="宋体"/>
          <w:color w:val="auto"/>
          <w:sz w:val="24"/>
        </w:rPr>
        <w:t>：承诺书</w:t>
      </w:r>
    </w:p>
    <w:p w14:paraId="3B2BD9D9">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14:paraId="09D78279">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14:paraId="43726F32">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14:paraId="5F9D4D69">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356ECB3F">
      <w:pPr>
        <w:spacing w:line="360" w:lineRule="auto"/>
        <w:ind w:firstLine="480" w:firstLineChars="200"/>
        <w:rPr>
          <w:rFonts w:ascii="宋体" w:hAnsi="宋体"/>
          <w:color w:val="auto"/>
          <w:sz w:val="24"/>
        </w:rPr>
      </w:pPr>
    </w:p>
    <w:p w14:paraId="4DB441AA">
      <w:pPr>
        <w:spacing w:line="360" w:lineRule="auto"/>
        <w:ind w:firstLine="480" w:firstLineChars="200"/>
        <w:rPr>
          <w:rFonts w:ascii="宋体" w:hAnsi="宋体"/>
          <w:color w:val="auto"/>
          <w:sz w:val="24"/>
        </w:rPr>
      </w:pPr>
    </w:p>
    <w:p w14:paraId="175B6607">
      <w:pPr>
        <w:spacing w:line="360" w:lineRule="auto"/>
        <w:ind w:firstLine="480" w:firstLineChars="200"/>
        <w:rPr>
          <w:rFonts w:ascii="宋体" w:hAnsi="宋体"/>
          <w:color w:val="auto"/>
          <w:sz w:val="24"/>
        </w:rPr>
      </w:pPr>
      <w:r>
        <w:rPr>
          <w:rFonts w:hint="eastAsia" w:ascii="宋体" w:hAnsi="宋体"/>
          <w:color w:val="auto"/>
          <w:sz w:val="24"/>
        </w:rPr>
        <w:t>特此承诺。</w:t>
      </w:r>
    </w:p>
    <w:p w14:paraId="11C97508">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14:paraId="1D6B8FDB">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14:paraId="0A978955">
      <w:pPr>
        <w:pStyle w:val="3"/>
        <w:numPr>
          <w:ilvl w:val="0"/>
          <w:numId w:val="0"/>
        </w:numPr>
        <w:spacing w:line="360" w:lineRule="auto"/>
        <w:jc w:val="both"/>
        <w:outlineLvl w:val="9"/>
        <w:rPr>
          <w:rFonts w:hint="eastAsia" w:ascii="宋体" w:hAnsi="宋体"/>
          <w:b/>
          <w:color w:val="auto"/>
          <w:sz w:val="24"/>
          <w:szCs w:val="24"/>
          <w:lang w:eastAsia="zh-CN"/>
        </w:rPr>
      </w:pPr>
    </w:p>
    <w:p w14:paraId="698E7446">
      <w:pPr>
        <w:rPr>
          <w:rFonts w:hint="eastAsia" w:ascii="宋体" w:hAnsi="宋体"/>
          <w:b/>
          <w:color w:val="auto"/>
          <w:sz w:val="24"/>
          <w:szCs w:val="24"/>
          <w:lang w:eastAsia="zh-CN"/>
        </w:rPr>
      </w:pPr>
    </w:p>
    <w:p w14:paraId="16A71FA9">
      <w:pPr>
        <w:pStyle w:val="10"/>
        <w:rPr>
          <w:rFonts w:hint="eastAsia" w:ascii="宋体" w:hAnsi="宋体"/>
          <w:b/>
          <w:color w:val="auto"/>
          <w:sz w:val="24"/>
          <w:szCs w:val="24"/>
          <w:lang w:eastAsia="zh-CN"/>
        </w:rPr>
      </w:pPr>
    </w:p>
    <w:p w14:paraId="73F39AF8">
      <w:pPr>
        <w:rPr>
          <w:rFonts w:hint="eastAsia" w:ascii="宋体" w:hAnsi="宋体"/>
          <w:b/>
          <w:color w:val="auto"/>
          <w:sz w:val="24"/>
          <w:szCs w:val="24"/>
          <w:lang w:eastAsia="zh-CN"/>
        </w:rPr>
      </w:pPr>
    </w:p>
    <w:p w14:paraId="681D3220">
      <w:pPr>
        <w:pStyle w:val="10"/>
        <w:rPr>
          <w:rFonts w:hint="eastAsia" w:ascii="宋体" w:hAnsi="宋体"/>
          <w:b/>
          <w:color w:val="auto"/>
          <w:sz w:val="24"/>
          <w:szCs w:val="24"/>
          <w:lang w:eastAsia="zh-CN"/>
        </w:rPr>
      </w:pPr>
    </w:p>
    <w:p w14:paraId="0232BC2A">
      <w:pPr>
        <w:rPr>
          <w:rFonts w:hint="eastAsia" w:ascii="宋体" w:hAnsi="宋体"/>
          <w:b/>
          <w:color w:val="auto"/>
          <w:sz w:val="24"/>
          <w:szCs w:val="24"/>
          <w:lang w:eastAsia="zh-CN"/>
        </w:rPr>
      </w:pPr>
    </w:p>
    <w:p w14:paraId="2EB5D37E">
      <w:pPr>
        <w:pStyle w:val="10"/>
        <w:rPr>
          <w:rFonts w:hint="eastAsia" w:ascii="宋体" w:hAnsi="宋体"/>
          <w:b/>
          <w:color w:val="auto"/>
          <w:sz w:val="24"/>
          <w:szCs w:val="24"/>
          <w:lang w:eastAsia="zh-CN"/>
        </w:rPr>
      </w:pPr>
    </w:p>
    <w:p w14:paraId="19F88C97">
      <w:pPr>
        <w:rPr>
          <w:rFonts w:hint="eastAsia" w:ascii="宋体" w:hAnsi="宋体"/>
          <w:b/>
          <w:color w:val="auto"/>
          <w:sz w:val="24"/>
          <w:szCs w:val="24"/>
          <w:lang w:eastAsia="zh-CN"/>
        </w:rPr>
      </w:pPr>
    </w:p>
    <w:p w14:paraId="417F77ED">
      <w:pPr>
        <w:pStyle w:val="10"/>
        <w:rPr>
          <w:rFonts w:hint="eastAsia"/>
          <w:color w:val="auto"/>
          <w:lang w:eastAsia="zh-CN"/>
        </w:rPr>
      </w:pPr>
    </w:p>
    <w:p w14:paraId="50BBB360">
      <w:pPr>
        <w:numPr>
          <w:ilvl w:val="0"/>
          <w:numId w:val="0"/>
        </w:numPr>
        <w:rPr>
          <w:rFonts w:hint="eastAsia"/>
          <w:color w:val="auto"/>
          <w:lang w:eastAsia="zh-CN"/>
        </w:rPr>
      </w:pPr>
    </w:p>
    <w:p w14:paraId="7FA55327">
      <w:pPr>
        <w:pStyle w:val="3"/>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228"/>
      <w:bookmarkEnd w:id="229"/>
      <w:bookmarkEnd w:id="230"/>
    </w:p>
    <w:p w14:paraId="6FA863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（一）营业执照</w:t>
      </w:r>
    </w:p>
    <w:p w14:paraId="36A68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eastAsia="zh-CN"/>
        </w:rPr>
      </w:pPr>
      <w:r>
        <w:rPr>
          <w:rFonts w:hint="eastAsia"/>
          <w:color w:val="auto"/>
          <w:sz w:val="24"/>
          <w:szCs w:val="24"/>
          <w:lang w:eastAsia="zh-CN"/>
        </w:rPr>
        <w:t>附加盖公章的营业执照复印件或扫描件</w:t>
      </w:r>
    </w:p>
    <w:p w14:paraId="7A6C9D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（二）资质证书</w:t>
      </w:r>
    </w:p>
    <w:p w14:paraId="607D6A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eastAsia="zh-CN"/>
        </w:rPr>
      </w:pPr>
      <w:r>
        <w:rPr>
          <w:rFonts w:hint="eastAsia"/>
          <w:color w:val="auto"/>
          <w:sz w:val="24"/>
          <w:szCs w:val="24"/>
          <w:lang w:eastAsia="zh-CN"/>
        </w:rPr>
        <w:t>附加盖公章的营业执照复印件或扫描件</w:t>
      </w:r>
    </w:p>
    <w:p w14:paraId="3F2465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lang w:eastAsia="zh-CN"/>
        </w:rPr>
      </w:pPr>
    </w:p>
    <w:p w14:paraId="23B00B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（三）安全生产许可证</w:t>
      </w:r>
    </w:p>
    <w:p w14:paraId="3C8C24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eastAsia="zh-CN"/>
        </w:rPr>
      </w:pPr>
      <w:r>
        <w:rPr>
          <w:rFonts w:hint="eastAsia"/>
          <w:color w:val="auto"/>
          <w:sz w:val="24"/>
          <w:szCs w:val="24"/>
          <w:lang w:eastAsia="zh-CN"/>
        </w:rPr>
        <w:t>附加盖公章的营业执照复印件或扫描件</w:t>
      </w:r>
    </w:p>
    <w:p w14:paraId="292844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eastAsia="zh-CN"/>
        </w:rPr>
      </w:pPr>
    </w:p>
    <w:p w14:paraId="0D3529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（四）磋商保证金缴纳凭证</w:t>
      </w:r>
    </w:p>
    <w:p w14:paraId="53430014">
      <w:pPr>
        <w:rPr>
          <w:rFonts w:hint="eastAsia"/>
          <w:color w:val="auto"/>
          <w:lang w:eastAsia="zh-CN"/>
        </w:rPr>
      </w:pPr>
      <w:r>
        <w:rPr>
          <w:rFonts w:hint="eastAsia"/>
          <w:color w:val="auto"/>
          <w:lang w:eastAsia="zh-CN"/>
        </w:rPr>
        <w:br w:type="page"/>
      </w:r>
    </w:p>
    <w:p w14:paraId="348A2C93">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14:paraId="5896EFA5">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6E70B84E">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14:paraId="23ACB19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14:paraId="41501357">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14:paraId="11E7FBE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14:paraId="432E8762">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14:paraId="16EBACA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381A138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14:paraId="5B55113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14:paraId="3FA4BE9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14:paraId="11B0271D">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14:paraId="3BC555D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14:paraId="68B1182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14:paraId="313B2C2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14:paraId="0D7E5343">
      <w:pPr>
        <w:widowControl/>
        <w:jc w:val="right"/>
        <w:rPr>
          <w:rFonts w:ascii="宋体" w:hAnsi="宋体" w:cs="宋体"/>
          <w:color w:val="auto"/>
          <w:sz w:val="24"/>
          <w:lang w:bidi="ar"/>
        </w:rPr>
      </w:pPr>
    </w:p>
    <w:p w14:paraId="063E2FF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14:paraId="426D476A">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14:paraId="07C089B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14:paraId="70691178">
      <w:pPr>
        <w:widowControl/>
        <w:jc w:val="right"/>
        <w:rPr>
          <w:rFonts w:ascii="宋体" w:hAnsi="宋体" w:cs="宋体"/>
          <w:color w:val="auto"/>
          <w:sz w:val="24"/>
          <w:lang w:bidi="ar"/>
        </w:rPr>
      </w:pPr>
    </w:p>
    <w:p w14:paraId="17322DEC">
      <w:pPr>
        <w:widowControl/>
        <w:jc w:val="left"/>
        <w:rPr>
          <w:rFonts w:ascii="宋体" w:hAnsi="宋体" w:cs="黑体"/>
          <w:b/>
          <w:color w:val="auto"/>
          <w:kern w:val="0"/>
          <w:sz w:val="24"/>
        </w:rPr>
      </w:pPr>
      <w:r>
        <w:rPr>
          <w:rFonts w:ascii="宋体" w:hAnsi="宋体" w:cs="黑体"/>
          <w:b/>
          <w:color w:val="auto"/>
          <w:kern w:val="0"/>
          <w:sz w:val="24"/>
        </w:rPr>
        <w:br w:type="page"/>
      </w:r>
    </w:p>
    <w:p w14:paraId="0911B650">
      <w:pPr>
        <w:pStyle w:val="3"/>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14:paraId="29C6A4A2">
      <w:pPr>
        <w:pStyle w:val="86"/>
        <w:tabs>
          <w:tab w:val="left" w:pos="9638"/>
        </w:tabs>
        <w:spacing w:line="360" w:lineRule="auto"/>
        <w:ind w:right="-82" w:firstLine="472" w:firstLineChars="196"/>
        <w:outlineLvl w:val="0"/>
        <w:rPr>
          <w:rFonts w:ascii="宋体" w:hAnsi="宋体"/>
          <w:b/>
          <w:color w:val="auto"/>
          <w:sz w:val="24"/>
          <w:szCs w:val="24"/>
        </w:rPr>
      </w:pPr>
      <w:bookmarkStart w:id="231" w:name="_Toc11382"/>
      <w:r>
        <w:rPr>
          <w:rFonts w:hint="eastAsia" w:ascii="宋体" w:hAnsi="宋体"/>
          <w:b/>
          <w:color w:val="auto"/>
          <w:sz w:val="24"/>
          <w:szCs w:val="24"/>
        </w:rPr>
        <w:t>供应商认为需要加以说明的其他内容和需要提供的证明文件</w:t>
      </w:r>
      <w:bookmarkEnd w:id="231"/>
    </w:p>
    <w:p w14:paraId="4AF1E466">
      <w:pPr>
        <w:pStyle w:val="86"/>
        <w:tabs>
          <w:tab w:val="left" w:pos="9638"/>
        </w:tabs>
        <w:spacing w:line="360" w:lineRule="auto"/>
        <w:ind w:right="-82" w:firstLine="472" w:firstLineChars="196"/>
        <w:outlineLvl w:val="0"/>
        <w:rPr>
          <w:rFonts w:ascii="宋体" w:hAnsi="宋体"/>
          <w:b/>
          <w:color w:val="auto"/>
          <w:sz w:val="24"/>
          <w:szCs w:val="24"/>
        </w:rPr>
      </w:pPr>
      <w:bookmarkStart w:id="232" w:name="_Toc26771"/>
      <w:r>
        <w:rPr>
          <w:rFonts w:hint="eastAsia" w:ascii="宋体" w:hAnsi="宋体"/>
          <w:b/>
          <w:color w:val="auto"/>
          <w:sz w:val="24"/>
          <w:szCs w:val="24"/>
        </w:rPr>
        <w:t>1、……</w:t>
      </w:r>
      <w:bookmarkEnd w:id="232"/>
    </w:p>
    <w:p w14:paraId="5D0AB8A0">
      <w:pPr>
        <w:pStyle w:val="86"/>
        <w:tabs>
          <w:tab w:val="left" w:pos="9638"/>
        </w:tabs>
        <w:spacing w:line="360" w:lineRule="auto"/>
        <w:ind w:right="-82" w:firstLine="472" w:firstLineChars="196"/>
        <w:outlineLvl w:val="0"/>
        <w:rPr>
          <w:rFonts w:ascii="宋体" w:hAnsi="宋体"/>
          <w:b/>
          <w:color w:val="auto"/>
          <w:sz w:val="24"/>
          <w:szCs w:val="24"/>
        </w:rPr>
      </w:pPr>
      <w:bookmarkStart w:id="233" w:name="_Toc14706"/>
      <w:r>
        <w:rPr>
          <w:rFonts w:hint="eastAsia" w:ascii="宋体" w:hAnsi="宋体"/>
          <w:b/>
          <w:color w:val="auto"/>
          <w:sz w:val="24"/>
          <w:szCs w:val="24"/>
        </w:rPr>
        <w:t>2、……</w:t>
      </w:r>
      <w:bookmarkEnd w:id="233"/>
    </w:p>
    <w:p w14:paraId="7FFF4476">
      <w:pPr>
        <w:pStyle w:val="86"/>
        <w:tabs>
          <w:tab w:val="left" w:pos="9638"/>
        </w:tabs>
        <w:spacing w:line="360" w:lineRule="auto"/>
        <w:ind w:right="-82" w:firstLine="472" w:firstLineChars="196"/>
        <w:outlineLvl w:val="0"/>
        <w:rPr>
          <w:rFonts w:ascii="宋体" w:hAnsi="宋体"/>
          <w:color w:val="auto"/>
          <w:sz w:val="24"/>
          <w:szCs w:val="24"/>
        </w:rPr>
      </w:pPr>
      <w:bookmarkStart w:id="234" w:name="_Toc10594"/>
      <w:r>
        <w:rPr>
          <w:rFonts w:hint="eastAsia" w:ascii="宋体" w:hAnsi="宋体"/>
          <w:b/>
          <w:color w:val="auto"/>
          <w:sz w:val="24"/>
          <w:szCs w:val="24"/>
        </w:rPr>
        <w:t>3、……</w:t>
      </w:r>
      <w:bookmarkEnd w:id="234"/>
    </w:p>
    <w:p w14:paraId="287C1A8F">
      <w:pPr>
        <w:spacing w:line="360" w:lineRule="auto"/>
        <w:rPr>
          <w:rFonts w:ascii="宋体" w:hAnsi="宋体"/>
          <w:color w:val="auto"/>
          <w:sz w:val="24"/>
        </w:rPr>
      </w:pPr>
    </w:p>
    <w:p w14:paraId="6CA49DE6">
      <w:pPr>
        <w:pStyle w:val="10"/>
        <w:spacing w:before="0" w:line="360" w:lineRule="auto"/>
        <w:rPr>
          <w:rFonts w:ascii="宋体" w:hAnsi="宋体"/>
          <w:color w:val="auto"/>
          <w:szCs w:val="24"/>
        </w:rPr>
        <w:sectPr>
          <w:headerReference r:id="rId17" w:type="first"/>
          <w:pgSz w:w="11906" w:h="16838"/>
          <w:pgMar w:top="1440" w:right="1080" w:bottom="1440" w:left="1080" w:header="851" w:footer="992" w:gutter="0"/>
          <w:pgNumType w:fmt="decimal"/>
          <w:cols w:space="720" w:num="1"/>
          <w:titlePg/>
          <w:docGrid w:type="lines" w:linePitch="286" w:charSpace="0"/>
        </w:sectPr>
      </w:pPr>
    </w:p>
    <w:p w14:paraId="1FE15C64">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14:paraId="6FF764F7">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5EE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18B8143E">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0208208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14:paraId="57534DB1">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1FF8469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14:paraId="55A3F3D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14:paraId="646E26E8">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57A54D16">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14:paraId="78059EB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14:paraId="7E73CB87">
      <w:pPr>
        <w:spacing w:line="360" w:lineRule="auto"/>
        <w:rPr>
          <w:rFonts w:hint="eastAsia" w:ascii="宋体" w:hAnsi="宋体"/>
          <w:color w:val="auto"/>
          <w:sz w:val="24"/>
          <w:szCs w:val="24"/>
        </w:rPr>
      </w:pPr>
    </w:p>
    <w:p w14:paraId="45A89365">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14:paraId="1EF9525B">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47AA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14:paraId="22EFDB2D">
            <w:pPr>
              <w:spacing w:line="360" w:lineRule="auto"/>
              <w:rPr>
                <w:rFonts w:hint="eastAsia" w:ascii="宋体" w:hAnsi="宋体"/>
                <w:bCs/>
                <w:color w:val="auto"/>
                <w:sz w:val="24"/>
                <w:szCs w:val="24"/>
              </w:rPr>
            </w:pPr>
          </w:p>
          <w:p w14:paraId="544D361A">
            <w:pPr>
              <w:spacing w:line="360" w:lineRule="auto"/>
              <w:rPr>
                <w:rFonts w:hint="eastAsia" w:ascii="宋体" w:hAnsi="宋体"/>
                <w:bCs/>
                <w:color w:val="auto"/>
                <w:sz w:val="24"/>
                <w:szCs w:val="24"/>
              </w:rPr>
            </w:pPr>
          </w:p>
          <w:p w14:paraId="30BBBBB2">
            <w:pPr>
              <w:spacing w:line="360" w:lineRule="auto"/>
              <w:rPr>
                <w:rFonts w:hint="eastAsia" w:ascii="宋体" w:hAnsi="宋体"/>
                <w:bCs/>
                <w:color w:val="auto"/>
                <w:sz w:val="24"/>
                <w:szCs w:val="24"/>
              </w:rPr>
            </w:pPr>
          </w:p>
          <w:p w14:paraId="6D926AC5">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14:paraId="4170D68E">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5D210044">
            <w:pPr>
              <w:spacing w:line="360" w:lineRule="auto"/>
              <w:rPr>
                <w:rFonts w:hint="eastAsia" w:ascii="宋体" w:hAnsi="宋体"/>
                <w:bCs/>
                <w:color w:val="auto"/>
                <w:sz w:val="24"/>
                <w:szCs w:val="24"/>
              </w:rPr>
            </w:pPr>
          </w:p>
          <w:p w14:paraId="7CD11077">
            <w:pPr>
              <w:spacing w:line="360" w:lineRule="auto"/>
              <w:ind w:firstLine="3600" w:firstLineChars="1500"/>
              <w:rPr>
                <w:rFonts w:hint="eastAsia" w:ascii="宋体" w:hAnsi="宋体"/>
                <w:bCs/>
                <w:color w:val="auto"/>
                <w:sz w:val="24"/>
                <w:szCs w:val="24"/>
              </w:rPr>
            </w:pPr>
          </w:p>
          <w:p w14:paraId="47345CBC">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14:paraId="1076AEBB">
            <w:pPr>
              <w:spacing w:line="360" w:lineRule="auto"/>
              <w:rPr>
                <w:rFonts w:hint="eastAsia" w:ascii="宋体" w:hAnsi="宋体"/>
                <w:bCs/>
                <w:color w:val="auto"/>
                <w:sz w:val="24"/>
                <w:szCs w:val="24"/>
              </w:rPr>
            </w:pPr>
          </w:p>
        </w:tc>
      </w:tr>
    </w:tbl>
    <w:p w14:paraId="0BDA09AF">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ED56">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69D0">
    <w:pPr>
      <w:pStyle w:val="2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E94B">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7FEE">
    <w:pPr>
      <w:pStyle w:val="2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3D83B">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53D83B">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BFD1">
    <w:pPr>
      <w:pStyle w:val="25"/>
      <w:framePr w:wrap="around" w:vAnchor="text" w:hAnchor="margin" w:xAlign="center" w:y="1"/>
      <w:rPr>
        <w:rStyle w:val="43"/>
      </w:rPr>
    </w:pPr>
    <w:r>
      <w:fldChar w:fldCharType="begin"/>
    </w:r>
    <w:r>
      <w:rPr>
        <w:rStyle w:val="43"/>
      </w:rPr>
      <w:instrText xml:space="preserve">PAGE  </w:instrText>
    </w:r>
    <w:r>
      <w:fldChar w:fldCharType="end"/>
    </w:r>
  </w:p>
  <w:p w14:paraId="1B26ED8C">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80D5">
    <w:pPr>
      <w:pStyle w:val="25"/>
      <w:tabs>
        <w:tab w:val="center" w:pos="4535"/>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F2BDA">
                          <w:pPr>
                            <w:pStyle w:val="2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D1F2BDA">
                    <w:pPr>
                      <w:pStyle w:val="25"/>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2B7E">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83D23B">
                          <w:pPr>
                            <w:pStyle w:val="2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C83D23B">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778E">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v:textbox>
            </v:shape>
          </w:pict>
        </mc:Fallback>
      </mc:AlternateContent>
    </w:r>
  </w:p>
  <w:p w14:paraId="522281CE">
    <w:pPr>
      <w:pStyle w:val="2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EFF3">
    <w:pPr>
      <w:pStyle w:val="25"/>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E591">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BC24">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8A93">
    <w:pPr>
      <w:pStyle w:val="26"/>
      <w:jc w:val="left"/>
      <w:rPr>
        <w:b/>
        <w:bCs/>
        <w:sz w:val="15"/>
        <w:szCs w:val="15"/>
      </w:rPr>
    </w:pP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邹城市钢山街道办事处崇义家园楼梯间热力改造工程</w:t>
    </w:r>
    <w:r>
      <w:rPr>
        <w:rFonts w:hint="eastAsia" w:ascii="宋体" w:hAnsi="宋体" w:cs="宋体"/>
        <w:b/>
        <w:bCs/>
        <w:kern w:val="0"/>
        <w:sz w:val="18"/>
        <w:szCs w:val="18"/>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77E0">
    <w:pPr>
      <w:pStyle w:val="26"/>
      <w:pBdr>
        <w:bottom w:val="none" w:color="auto" w:sz="0" w:space="0"/>
      </w:pBdr>
      <w:wordWrap w:val="0"/>
      <w:rPr>
        <w:b/>
        <w:bCs/>
        <w:i/>
        <w:w w:val="90"/>
        <w:sz w:val="21"/>
        <w:szCs w:val="21"/>
      </w:rPr>
    </w:pPr>
    <w:r>
      <w:rPr>
        <w:rFonts w:hint="eastAsia"/>
        <w:bCs/>
        <w:w w:val="90"/>
        <w:sz w:val="21"/>
        <w:szCs w:val="21"/>
      </w:rPr>
      <w:t xml:space="preserve">             </w:t>
    </w:r>
    <w:r>
      <w:rPr>
        <w:rFonts w:hint="eastAsia"/>
        <w:bCs/>
        <w:i/>
        <w:w w:val="90"/>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4C26">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邹城市钢山街道办事处崇义家园楼梯间热力改造工程</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14:paraId="3B4F36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CF88">
    <w:pPr>
      <w:pStyle w:val="26"/>
      <w:jc w:val="both"/>
      <w:rPr>
        <w:sz w:val="15"/>
        <w:szCs w:val="15"/>
      </w:rPr>
    </w:pPr>
    <w:r>
      <w:rPr>
        <w:rFonts w:hint="eastAsia" w:ascii="宋体" w:hAnsi="宋体" w:cs="宋体"/>
        <w:kern w:val="0"/>
        <w:sz w:val="18"/>
        <w:szCs w:val="18"/>
        <w:lang w:eastAsia="zh-CN"/>
      </w:rPr>
      <w:t>邹城市钢山街道办事处崇义家园楼梯间热力改造工程</w:t>
    </w:r>
    <w:r>
      <w:rPr>
        <w:rFonts w:hint="eastAsia" w:ascii="宋体" w:hAnsi="宋体" w:cs="宋体"/>
        <w:kern w:val="0"/>
        <w:sz w:val="18"/>
        <w:szCs w:val="18"/>
      </w:rPr>
      <w:t>竞争性磋商文件</w:t>
    </w:r>
  </w:p>
  <w:p w14:paraId="6DC6E8D0">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CA18"/>
    <w:multiLevelType w:val="singleLevel"/>
    <w:tmpl w:val="E259CA18"/>
    <w:lvl w:ilvl="0" w:tentative="0">
      <w:start w:val="22"/>
      <w:numFmt w:val="decimal"/>
      <w:lvlText w:val="%1."/>
      <w:lvlJc w:val="left"/>
      <w:pPr>
        <w:tabs>
          <w:tab w:val="left" w:pos="312"/>
        </w:tabs>
      </w:pPr>
    </w:lvl>
  </w:abstractNum>
  <w:abstractNum w:abstractNumId="1">
    <w:nsid w:val="508D3106"/>
    <w:multiLevelType w:val="singleLevel"/>
    <w:tmpl w:val="508D310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MWY2NmU1OTRiYzA4NjU3YmMzZWY3YjE5NTA1NWEifQ=="/>
  </w:docVars>
  <w:rsids>
    <w:rsidRoot w:val="00172A27"/>
    <w:rsid w:val="00001496"/>
    <w:rsid w:val="00002202"/>
    <w:rsid w:val="000115A0"/>
    <w:rsid w:val="000318E3"/>
    <w:rsid w:val="00037EFF"/>
    <w:rsid w:val="00046BAA"/>
    <w:rsid w:val="0005083D"/>
    <w:rsid w:val="00056405"/>
    <w:rsid w:val="000765FC"/>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7EB"/>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0F7337"/>
    <w:rsid w:val="03333D73"/>
    <w:rsid w:val="034A70C0"/>
    <w:rsid w:val="03567E64"/>
    <w:rsid w:val="039558ED"/>
    <w:rsid w:val="03D8291E"/>
    <w:rsid w:val="03F82FC0"/>
    <w:rsid w:val="03F84D6E"/>
    <w:rsid w:val="03F95AF2"/>
    <w:rsid w:val="040A2CF3"/>
    <w:rsid w:val="042B7EE6"/>
    <w:rsid w:val="04605389"/>
    <w:rsid w:val="04763EE5"/>
    <w:rsid w:val="04B055CA"/>
    <w:rsid w:val="04E84D70"/>
    <w:rsid w:val="04FE1B34"/>
    <w:rsid w:val="0530678A"/>
    <w:rsid w:val="056800F4"/>
    <w:rsid w:val="057559BC"/>
    <w:rsid w:val="0599432F"/>
    <w:rsid w:val="05FE23E4"/>
    <w:rsid w:val="061061E5"/>
    <w:rsid w:val="064847BE"/>
    <w:rsid w:val="065937C6"/>
    <w:rsid w:val="068F04F2"/>
    <w:rsid w:val="07024983"/>
    <w:rsid w:val="076D1F31"/>
    <w:rsid w:val="079F3753"/>
    <w:rsid w:val="082A74C0"/>
    <w:rsid w:val="083C60EB"/>
    <w:rsid w:val="085602B5"/>
    <w:rsid w:val="08707E74"/>
    <w:rsid w:val="09276FF5"/>
    <w:rsid w:val="099E1F14"/>
    <w:rsid w:val="0A7E23AD"/>
    <w:rsid w:val="0AAE262A"/>
    <w:rsid w:val="0B612FC8"/>
    <w:rsid w:val="0BA0659B"/>
    <w:rsid w:val="0BE935F9"/>
    <w:rsid w:val="0C24351A"/>
    <w:rsid w:val="0C2A3A44"/>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CB7366"/>
    <w:rsid w:val="10E802AE"/>
    <w:rsid w:val="10EF014E"/>
    <w:rsid w:val="11204641"/>
    <w:rsid w:val="112A6783"/>
    <w:rsid w:val="11A357F2"/>
    <w:rsid w:val="11AC7198"/>
    <w:rsid w:val="124F64A1"/>
    <w:rsid w:val="12580C2B"/>
    <w:rsid w:val="126D6927"/>
    <w:rsid w:val="127961AB"/>
    <w:rsid w:val="12A367ED"/>
    <w:rsid w:val="12D22707"/>
    <w:rsid w:val="12F40DC0"/>
    <w:rsid w:val="1301085A"/>
    <w:rsid w:val="13036299"/>
    <w:rsid w:val="134F18E7"/>
    <w:rsid w:val="136046DE"/>
    <w:rsid w:val="136D7BB8"/>
    <w:rsid w:val="13767D8B"/>
    <w:rsid w:val="13A84EB1"/>
    <w:rsid w:val="13B04414"/>
    <w:rsid w:val="13BA0A3C"/>
    <w:rsid w:val="14060496"/>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0937DE"/>
    <w:rsid w:val="1666200B"/>
    <w:rsid w:val="16D25540"/>
    <w:rsid w:val="16F2389F"/>
    <w:rsid w:val="17525EE6"/>
    <w:rsid w:val="17A50911"/>
    <w:rsid w:val="17A728DB"/>
    <w:rsid w:val="17AC1CA0"/>
    <w:rsid w:val="17AF79E2"/>
    <w:rsid w:val="17BF5E77"/>
    <w:rsid w:val="180050FE"/>
    <w:rsid w:val="189919B7"/>
    <w:rsid w:val="18F0565A"/>
    <w:rsid w:val="18F16CB3"/>
    <w:rsid w:val="18FB47B8"/>
    <w:rsid w:val="191504FB"/>
    <w:rsid w:val="195919B3"/>
    <w:rsid w:val="19765977"/>
    <w:rsid w:val="19975305"/>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5B380D"/>
    <w:rsid w:val="1C750501"/>
    <w:rsid w:val="1C924681"/>
    <w:rsid w:val="1CB84297"/>
    <w:rsid w:val="1CCE593E"/>
    <w:rsid w:val="1D183933"/>
    <w:rsid w:val="1D271DC8"/>
    <w:rsid w:val="1DE2466D"/>
    <w:rsid w:val="1E040786"/>
    <w:rsid w:val="1E430E84"/>
    <w:rsid w:val="1E737A66"/>
    <w:rsid w:val="1EEC5078"/>
    <w:rsid w:val="1F1076B4"/>
    <w:rsid w:val="1F3D35AB"/>
    <w:rsid w:val="1F3E3BDF"/>
    <w:rsid w:val="1F48203A"/>
    <w:rsid w:val="1F883474"/>
    <w:rsid w:val="1FA21CAE"/>
    <w:rsid w:val="1FAD782F"/>
    <w:rsid w:val="1FE62B6D"/>
    <w:rsid w:val="202109D2"/>
    <w:rsid w:val="20247B33"/>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5227E4"/>
    <w:rsid w:val="256C2A6E"/>
    <w:rsid w:val="25A22934"/>
    <w:rsid w:val="25D15E45"/>
    <w:rsid w:val="25D9247A"/>
    <w:rsid w:val="26451DBB"/>
    <w:rsid w:val="26C568DA"/>
    <w:rsid w:val="26D24163"/>
    <w:rsid w:val="26D5059B"/>
    <w:rsid w:val="26D818A9"/>
    <w:rsid w:val="27103633"/>
    <w:rsid w:val="273D0B66"/>
    <w:rsid w:val="27461ED6"/>
    <w:rsid w:val="27791B20"/>
    <w:rsid w:val="27916521"/>
    <w:rsid w:val="279B2A28"/>
    <w:rsid w:val="27C6027A"/>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72039"/>
    <w:rsid w:val="2C3B686F"/>
    <w:rsid w:val="2C4A6A18"/>
    <w:rsid w:val="2C673F8F"/>
    <w:rsid w:val="2C6B7F24"/>
    <w:rsid w:val="2C8B1087"/>
    <w:rsid w:val="2CD47877"/>
    <w:rsid w:val="2CDE24A4"/>
    <w:rsid w:val="2CF73565"/>
    <w:rsid w:val="2D26209C"/>
    <w:rsid w:val="2DCA5DCE"/>
    <w:rsid w:val="2DE7182C"/>
    <w:rsid w:val="2E032D5E"/>
    <w:rsid w:val="2E104B78"/>
    <w:rsid w:val="2E177139"/>
    <w:rsid w:val="2E461810"/>
    <w:rsid w:val="2E4F2F2D"/>
    <w:rsid w:val="2EA56E79"/>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5E093C"/>
    <w:rsid w:val="38650971"/>
    <w:rsid w:val="39310544"/>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54759"/>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72B9F"/>
    <w:rsid w:val="3F9C49E9"/>
    <w:rsid w:val="3FB94B3D"/>
    <w:rsid w:val="3FD54206"/>
    <w:rsid w:val="3FD72405"/>
    <w:rsid w:val="403A31F7"/>
    <w:rsid w:val="40B70141"/>
    <w:rsid w:val="413A6ABB"/>
    <w:rsid w:val="41656898"/>
    <w:rsid w:val="41AF5482"/>
    <w:rsid w:val="41FB6721"/>
    <w:rsid w:val="42046C68"/>
    <w:rsid w:val="42DE4A51"/>
    <w:rsid w:val="4332119D"/>
    <w:rsid w:val="434864E2"/>
    <w:rsid w:val="438B2456"/>
    <w:rsid w:val="439873F8"/>
    <w:rsid w:val="43D56439"/>
    <w:rsid w:val="43F26D23"/>
    <w:rsid w:val="4436276D"/>
    <w:rsid w:val="443D75E3"/>
    <w:rsid w:val="443D7EE2"/>
    <w:rsid w:val="44676DCB"/>
    <w:rsid w:val="446E7B78"/>
    <w:rsid w:val="4471488C"/>
    <w:rsid w:val="449D27EC"/>
    <w:rsid w:val="44D22496"/>
    <w:rsid w:val="44DF4BB3"/>
    <w:rsid w:val="451B7A9E"/>
    <w:rsid w:val="45410E18"/>
    <w:rsid w:val="45BC6EF2"/>
    <w:rsid w:val="45DF7DD0"/>
    <w:rsid w:val="4626062E"/>
    <w:rsid w:val="46CA5828"/>
    <w:rsid w:val="472509C6"/>
    <w:rsid w:val="474A4216"/>
    <w:rsid w:val="478B1E23"/>
    <w:rsid w:val="47B53958"/>
    <w:rsid w:val="480F1C53"/>
    <w:rsid w:val="481855B1"/>
    <w:rsid w:val="481A3696"/>
    <w:rsid w:val="4922622C"/>
    <w:rsid w:val="496C529A"/>
    <w:rsid w:val="497003A2"/>
    <w:rsid w:val="49BC6688"/>
    <w:rsid w:val="4A2D5CBA"/>
    <w:rsid w:val="4A727F0E"/>
    <w:rsid w:val="4A851654"/>
    <w:rsid w:val="4AAB79E7"/>
    <w:rsid w:val="4AD20BCB"/>
    <w:rsid w:val="4AF51685"/>
    <w:rsid w:val="4AF616DD"/>
    <w:rsid w:val="4B470965"/>
    <w:rsid w:val="4B550211"/>
    <w:rsid w:val="4B637C0F"/>
    <w:rsid w:val="4B70165E"/>
    <w:rsid w:val="4B75001F"/>
    <w:rsid w:val="4B860BDD"/>
    <w:rsid w:val="4C34144D"/>
    <w:rsid w:val="4C676045"/>
    <w:rsid w:val="4CD2389B"/>
    <w:rsid w:val="4CD52B3A"/>
    <w:rsid w:val="4CEE3060"/>
    <w:rsid w:val="4CFE492A"/>
    <w:rsid w:val="4D425ABB"/>
    <w:rsid w:val="4D7A191D"/>
    <w:rsid w:val="4D926C66"/>
    <w:rsid w:val="4DC60A73"/>
    <w:rsid w:val="4DD77BBE"/>
    <w:rsid w:val="4DE11B7D"/>
    <w:rsid w:val="4E3F065B"/>
    <w:rsid w:val="4ECA7876"/>
    <w:rsid w:val="4EDE26B2"/>
    <w:rsid w:val="4F846A83"/>
    <w:rsid w:val="4F8A6F55"/>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9E1C09"/>
    <w:rsid w:val="52DE64AA"/>
    <w:rsid w:val="52EC3766"/>
    <w:rsid w:val="53171F82"/>
    <w:rsid w:val="533D17B3"/>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15473E"/>
    <w:rsid w:val="572528F9"/>
    <w:rsid w:val="57914155"/>
    <w:rsid w:val="57C65BAE"/>
    <w:rsid w:val="57DA6114"/>
    <w:rsid w:val="58070251"/>
    <w:rsid w:val="583A0626"/>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314A1B"/>
    <w:rsid w:val="638A36D6"/>
    <w:rsid w:val="63A1494E"/>
    <w:rsid w:val="63A67F77"/>
    <w:rsid w:val="63C60C97"/>
    <w:rsid w:val="64663B6A"/>
    <w:rsid w:val="64666967"/>
    <w:rsid w:val="64925346"/>
    <w:rsid w:val="655B1BDC"/>
    <w:rsid w:val="65685219"/>
    <w:rsid w:val="65951AAE"/>
    <w:rsid w:val="65982E30"/>
    <w:rsid w:val="65C0487F"/>
    <w:rsid w:val="66120B98"/>
    <w:rsid w:val="667F1AEE"/>
    <w:rsid w:val="66A55805"/>
    <w:rsid w:val="66DB3793"/>
    <w:rsid w:val="66E07D38"/>
    <w:rsid w:val="66ED36D5"/>
    <w:rsid w:val="670723FC"/>
    <w:rsid w:val="672227C4"/>
    <w:rsid w:val="676254A4"/>
    <w:rsid w:val="67954F6E"/>
    <w:rsid w:val="67A93283"/>
    <w:rsid w:val="67F307F2"/>
    <w:rsid w:val="67F330AB"/>
    <w:rsid w:val="682F0B41"/>
    <w:rsid w:val="683055A2"/>
    <w:rsid w:val="68847F10"/>
    <w:rsid w:val="68BB130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EB968C8"/>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697554"/>
    <w:rsid w:val="759172D9"/>
    <w:rsid w:val="75F97E8B"/>
    <w:rsid w:val="76016CFA"/>
    <w:rsid w:val="765A667E"/>
    <w:rsid w:val="765B2D19"/>
    <w:rsid w:val="76F45FBE"/>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03571E"/>
    <w:rsid w:val="7B166879"/>
    <w:rsid w:val="7B211412"/>
    <w:rsid w:val="7B352E44"/>
    <w:rsid w:val="7B7850B5"/>
    <w:rsid w:val="7BC657CB"/>
    <w:rsid w:val="7C3A6597"/>
    <w:rsid w:val="7C5337BC"/>
    <w:rsid w:val="7C773348"/>
    <w:rsid w:val="7CB41EA6"/>
    <w:rsid w:val="7CBC5715"/>
    <w:rsid w:val="7D222FEF"/>
    <w:rsid w:val="7D2304AB"/>
    <w:rsid w:val="7D287FEE"/>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line="360" w:lineRule="auto"/>
      <w:outlineLvl w:val="2"/>
    </w:pPr>
    <w:rPr>
      <w:b/>
      <w:bCs/>
      <w:sz w:val="24"/>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link w:val="87"/>
    <w:qFormat/>
    <w:uiPriority w:val="0"/>
    <w:pPr>
      <w:shd w:val="clear" w:color="auto" w:fill="0000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65"/>
    <w:qFormat/>
    <w:uiPriority w:val="0"/>
    <w:pPr>
      <w:jc w:val="left"/>
    </w:pPr>
    <w:rPr>
      <w:rFonts w:asciiTheme="minorHAnsi" w:hAnsiTheme="minorHAnsi" w:cstheme="minorBidi"/>
    </w:rPr>
  </w:style>
  <w:style w:type="paragraph" w:styleId="12">
    <w:name w:val="Body Text 3"/>
    <w:basedOn w:val="1"/>
    <w:link w:val="67"/>
    <w:qFormat/>
    <w:uiPriority w:val="0"/>
    <w:pPr>
      <w:spacing w:after="120"/>
    </w:pPr>
    <w:rPr>
      <w:rFonts w:asciiTheme="minorHAnsi" w:hAnsiTheme="minorHAnsi" w:cstheme="minorBidi"/>
      <w:sz w:val="16"/>
      <w:szCs w:val="22"/>
    </w:rPr>
  </w:style>
  <w:style w:type="paragraph" w:styleId="13">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
    <w:link w:val="61"/>
    <w:qFormat/>
    <w:uiPriority w:val="0"/>
    <w:rPr>
      <w:rFonts w:ascii="宋体" w:hAnsiTheme="minorHAnsi" w:cstheme="minorBidi"/>
      <w:sz w:val="32"/>
      <w:szCs w:val="22"/>
    </w:rPr>
  </w:style>
  <w:style w:type="paragraph" w:styleId="15">
    <w:name w:val="Body Text Indent"/>
    <w:basedOn w:val="1"/>
    <w:link w:val="68"/>
    <w:qFormat/>
    <w:uiPriority w:val="0"/>
    <w:pPr>
      <w:spacing w:after="120"/>
      <w:ind w:left="420" w:leftChars="200"/>
    </w:pPr>
    <w:rPr>
      <w:rFonts w:asciiTheme="minorHAnsi" w:hAnsiTheme="minorHAnsi" w:cstheme="minorBidi"/>
      <w:szCs w:val="22"/>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64"/>
    <w:qFormat/>
    <w:uiPriority w:val="0"/>
    <w:pPr>
      <w:adjustRightInd w:val="0"/>
      <w:jc w:val="left"/>
      <w:textAlignment w:val="baseline"/>
    </w:pPr>
    <w:rPr>
      <w:rFonts w:ascii="宋体" w:hAnsi="Courier New" w:cstheme="minorBidi"/>
      <w:sz w:val="24"/>
      <w:szCs w:val="22"/>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66"/>
    <w:qFormat/>
    <w:uiPriority w:val="0"/>
    <w:rPr>
      <w:rFonts w:asciiTheme="minorHAnsi" w:hAnsiTheme="minorHAnsi" w:cstheme="minorBidi"/>
      <w:szCs w:val="22"/>
    </w:rPr>
  </w:style>
  <w:style w:type="paragraph" w:styleId="21">
    <w:name w:val="Body Text Indent 2"/>
    <w:basedOn w:val="1"/>
    <w:next w:val="22"/>
    <w:link w:val="74"/>
    <w:qFormat/>
    <w:uiPriority w:val="0"/>
    <w:pPr>
      <w:ind w:left="-178" w:leftChars="-85" w:firstLine="739" w:firstLineChars="264"/>
      <w:jc w:val="left"/>
    </w:pPr>
    <w:rPr>
      <w:rFonts w:ascii="宋体"/>
      <w:sz w:val="28"/>
    </w:rPr>
  </w:style>
  <w:style w:type="paragraph" w:customStyle="1" w:styleId="22">
    <w:name w:val="reader-word-layer reader-word-s46-2"/>
    <w:basedOn w:val="1"/>
    <w:next w:val="23"/>
    <w:qFormat/>
    <w:uiPriority w:val="0"/>
    <w:pPr>
      <w:widowControl/>
      <w:spacing w:before="280" w:after="280"/>
      <w:jc w:val="both"/>
    </w:pPr>
    <w:rPr>
      <w:rFonts w:ascii="宋体"/>
      <w:sz w:val="24"/>
    </w:rPr>
  </w:style>
  <w:style w:type="paragraph" w:customStyle="1" w:styleId="23">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qFormat/>
    <w:uiPriority w:val="0"/>
    <w:rPr>
      <w:rFonts w:asciiTheme="minorHAnsi" w:hAnsiTheme="minorHAnsi" w:cstheme="minorBidi"/>
      <w:sz w:val="18"/>
      <w:szCs w:val="18"/>
    </w:rPr>
  </w:style>
  <w:style w:type="paragraph" w:styleId="25">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0"/>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Body Text 2"/>
    <w:basedOn w:val="1"/>
    <w:next w:val="1"/>
    <w:link w:val="103"/>
    <w:qFormat/>
    <w:uiPriority w:val="0"/>
    <w:rPr>
      <w:rFonts w:ascii="宋体" w:hAnsi="宋体"/>
      <w:b/>
      <w:bCs/>
      <w:sz w:val="24"/>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1"/>
    <w:next w:val="11"/>
    <w:link w:val="69"/>
    <w:qFormat/>
    <w:uiPriority w:val="0"/>
    <w:rPr>
      <w:rFonts w:ascii="Times New Roman" w:hAnsi="Times New Roman" w:cs="Times New Roman"/>
      <w:b/>
      <w:bCs/>
    </w:rPr>
  </w:style>
  <w:style w:type="paragraph" w:styleId="38">
    <w:name w:val="Body Text First Indent"/>
    <w:basedOn w:val="14"/>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3"/>
    <w:qFormat/>
    <w:uiPriority w:val="0"/>
    <w:rPr>
      <w:rFonts w:ascii="Arial" w:hAnsi="Arial" w:eastAsia="黑体" w:cs="Times New Roman"/>
      <w:b/>
      <w:bCs/>
      <w:sz w:val="32"/>
      <w:szCs w:val="32"/>
    </w:rPr>
  </w:style>
  <w:style w:type="character" w:customStyle="1" w:styleId="56">
    <w:name w:val="标题 3 字符"/>
    <w:basedOn w:val="41"/>
    <w:link w:val="4"/>
    <w:qFormat/>
    <w:uiPriority w:val="0"/>
    <w:rPr>
      <w:rFonts w:ascii="Times New Roman" w:hAnsi="Times New Roman" w:eastAsia="宋体" w:cs="Times New Roman"/>
      <w:b/>
      <w:bCs/>
      <w:sz w:val="24"/>
      <w:szCs w:val="32"/>
    </w:rPr>
  </w:style>
  <w:style w:type="character" w:customStyle="1" w:styleId="57">
    <w:name w:val="标题 1 字符"/>
    <w:basedOn w:val="41"/>
    <w:link w:val="2"/>
    <w:qFormat/>
    <w:uiPriority w:val="0"/>
    <w:rPr>
      <w:rFonts w:ascii="Times New Roman" w:hAnsi="Times New Roman" w:eastAsia="宋体" w:cs="Times New Roman"/>
      <w:b/>
      <w:bCs/>
      <w:kern w:val="44"/>
      <w:sz w:val="44"/>
      <w:szCs w:val="44"/>
    </w:rPr>
  </w:style>
  <w:style w:type="character" w:customStyle="1" w:styleId="58">
    <w:name w:val="标题 4 字符"/>
    <w:basedOn w:val="41"/>
    <w:link w:val="5"/>
    <w:qFormat/>
    <w:uiPriority w:val="0"/>
    <w:rPr>
      <w:rFonts w:ascii="Arial" w:hAnsi="Arial" w:eastAsia="黑体" w:cs="Times New Roman"/>
      <w:b/>
      <w:bCs/>
      <w:sz w:val="28"/>
      <w:szCs w:val="28"/>
    </w:rPr>
  </w:style>
  <w:style w:type="character" w:customStyle="1" w:styleId="59">
    <w:name w:val="标题 5 字符"/>
    <w:basedOn w:val="41"/>
    <w:link w:val="6"/>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4"/>
    <w:qFormat/>
    <w:uiPriority w:val="0"/>
    <w:rPr>
      <w:rFonts w:ascii="宋体" w:eastAsia="宋体"/>
      <w:sz w:val="32"/>
    </w:rPr>
  </w:style>
  <w:style w:type="character" w:customStyle="1" w:styleId="62">
    <w:name w:val="页脚 字符"/>
    <w:link w:val="25"/>
    <w:qFormat/>
    <w:uiPriority w:val="99"/>
    <w:rPr>
      <w:rFonts w:eastAsia="宋体"/>
      <w:sz w:val="18"/>
      <w:szCs w:val="18"/>
    </w:rPr>
  </w:style>
  <w:style w:type="character" w:customStyle="1" w:styleId="63">
    <w:name w:val="结束语 字符"/>
    <w:link w:val="13"/>
    <w:qFormat/>
    <w:uiPriority w:val="0"/>
    <w:rPr>
      <w:sz w:val="28"/>
      <w:szCs w:val="28"/>
    </w:rPr>
  </w:style>
  <w:style w:type="character" w:customStyle="1" w:styleId="64">
    <w:name w:val="纯文本 字符"/>
    <w:link w:val="18"/>
    <w:qFormat/>
    <w:uiPriority w:val="0"/>
    <w:rPr>
      <w:rFonts w:ascii="宋体" w:hAnsi="Courier New" w:eastAsia="宋体"/>
      <w:sz w:val="24"/>
    </w:rPr>
  </w:style>
  <w:style w:type="character" w:customStyle="1" w:styleId="65">
    <w:name w:val="批注文字 字符1"/>
    <w:link w:val="11"/>
    <w:qFormat/>
    <w:uiPriority w:val="0"/>
    <w:rPr>
      <w:rFonts w:eastAsia="宋体"/>
      <w:szCs w:val="24"/>
    </w:rPr>
  </w:style>
  <w:style w:type="character" w:customStyle="1" w:styleId="66">
    <w:name w:val="日期 字符"/>
    <w:link w:val="20"/>
    <w:qFormat/>
    <w:uiPriority w:val="0"/>
    <w:rPr>
      <w:rFonts w:eastAsia="宋体"/>
    </w:rPr>
  </w:style>
  <w:style w:type="character" w:customStyle="1" w:styleId="67">
    <w:name w:val="正文文本 3 字符"/>
    <w:link w:val="12"/>
    <w:qFormat/>
    <w:uiPriority w:val="0"/>
    <w:rPr>
      <w:rFonts w:eastAsia="宋体"/>
      <w:sz w:val="16"/>
    </w:rPr>
  </w:style>
  <w:style w:type="character" w:customStyle="1" w:styleId="68">
    <w:name w:val="正文文本缩进 字符"/>
    <w:link w:val="15"/>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4"/>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6"/>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9"/>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 w:type="paragraph" w:customStyle="1" w:styleId="192">
    <w:name w:val=" Char Char Char Char"/>
    <w:basedOn w:val="9"/>
    <w:qFormat/>
    <w:uiPriority w:val="0"/>
    <w:pPr>
      <w:shd w:val="clear" w:color="auto" w:fill="00008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133</Pages>
  <Words>80551</Words>
  <Characters>86201</Characters>
  <Lines>235</Lines>
  <Paragraphs>66</Paragraphs>
  <TotalTime>0</TotalTime>
  <ScaleCrop>false</ScaleCrop>
  <LinksUpToDate>false</LinksUpToDate>
  <CharactersWithSpaces>92201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Administrator</cp:lastModifiedBy>
  <cp:lastPrinted>2024-09-29T00:53:00Z</cp:lastPrinted>
  <dcterms:modified xsi:type="dcterms:W3CDTF">2024-09-29T03:33:14Z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AD1648F0CBD24630BBD3D76023BAECC2_13</vt:lpwstr>
  </property>
</Properties>
</file>