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4E97">
      <w:pPr>
        <w:pStyle w:val="16"/>
        <w:spacing w:line="360" w:lineRule="auto"/>
        <w:jc w:val="center"/>
        <w:rPr>
          <w:rFonts w:hint="eastAsia" w:hAnsi="宋体" w:cs="宋体"/>
          <w:b/>
          <w:bCs/>
          <w:color w:val="auto"/>
          <w:spacing w:val="-20"/>
          <w:kern w:val="16"/>
          <w:sz w:val="44"/>
          <w:szCs w:val="44"/>
          <w:highlight w:val="none"/>
        </w:rPr>
      </w:pPr>
      <w:bookmarkStart w:id="0" w:name="_Toc381880843"/>
    </w:p>
    <w:p w14:paraId="3A8CBC30">
      <w:pPr>
        <w:pStyle w:val="16"/>
        <w:keepNext w:val="0"/>
        <w:keepLines w:val="0"/>
        <w:pageBreakBefore w:val="0"/>
        <w:widowControl w:val="0"/>
        <w:kinsoku/>
        <w:wordWrap/>
        <w:overflowPunct/>
        <w:topLinePunct w:val="0"/>
        <w:autoSpaceDE/>
        <w:autoSpaceDN/>
        <w:bidi w:val="0"/>
        <w:adjustRightInd w:val="0"/>
        <w:snapToGrid/>
        <w:spacing w:line="600" w:lineRule="auto"/>
        <w:jc w:val="center"/>
        <w:textAlignment w:val="baseline"/>
        <w:rPr>
          <w:rFonts w:hint="eastAsia" w:hAnsi="宋体" w:eastAsia="宋体" w:cs="宋体"/>
          <w:b/>
          <w:bCs/>
          <w:color w:val="auto"/>
          <w:spacing w:val="-20"/>
          <w:kern w:val="16"/>
          <w:sz w:val="48"/>
          <w:szCs w:val="48"/>
          <w:highlight w:val="none"/>
          <w:lang w:eastAsia="zh-CN"/>
        </w:rPr>
      </w:pPr>
      <w:r>
        <w:rPr>
          <w:rFonts w:hint="eastAsia" w:hAnsi="宋体" w:cs="宋体"/>
          <w:b/>
          <w:bCs/>
          <w:color w:val="auto"/>
          <w:kern w:val="16"/>
          <w:sz w:val="36"/>
          <w:szCs w:val="36"/>
          <w:highlight w:val="none"/>
          <w:lang w:eastAsia="zh-CN"/>
        </w:rPr>
        <w:t>邹城市钢山街道办事处崇义家园热力水处理设备采购项目</w:t>
      </w:r>
    </w:p>
    <w:p w14:paraId="58821EBC">
      <w:pPr>
        <w:pStyle w:val="16"/>
        <w:spacing w:line="360" w:lineRule="auto"/>
        <w:jc w:val="center"/>
        <w:rPr>
          <w:rFonts w:hint="eastAsia" w:hAnsi="宋体" w:cs="宋体"/>
          <w:b/>
          <w:bCs/>
          <w:color w:val="auto"/>
          <w:spacing w:val="-20"/>
          <w:kern w:val="16"/>
          <w:sz w:val="44"/>
          <w:szCs w:val="44"/>
          <w:highlight w:val="none"/>
        </w:rPr>
      </w:pPr>
    </w:p>
    <w:p w14:paraId="5DC0129F">
      <w:pPr>
        <w:pStyle w:val="16"/>
        <w:spacing w:line="360" w:lineRule="auto"/>
        <w:jc w:val="center"/>
        <w:rPr>
          <w:rFonts w:hint="eastAsia" w:hAnsi="宋体" w:cs="宋体"/>
          <w:b/>
          <w:bCs/>
          <w:color w:val="auto"/>
          <w:spacing w:val="-20"/>
          <w:kern w:val="16"/>
          <w:sz w:val="44"/>
          <w:szCs w:val="44"/>
          <w:highlight w:val="none"/>
        </w:rPr>
      </w:pPr>
      <w:bookmarkStart w:id="64" w:name="_GoBack"/>
      <w:bookmarkEnd w:id="64"/>
    </w:p>
    <w:p w14:paraId="7DE29511">
      <w:pPr>
        <w:pStyle w:val="16"/>
        <w:spacing w:line="360" w:lineRule="auto"/>
        <w:jc w:val="center"/>
        <w:rPr>
          <w:rFonts w:hint="eastAsia" w:hAnsi="宋体" w:cs="宋体"/>
          <w:b/>
          <w:color w:val="auto"/>
          <w:sz w:val="72"/>
          <w:szCs w:val="72"/>
          <w:highlight w:val="none"/>
        </w:rPr>
      </w:pPr>
      <w:r>
        <w:rPr>
          <w:rFonts w:hint="eastAsia" w:hAnsi="宋体" w:cs="宋体"/>
          <w:b/>
          <w:color w:val="auto"/>
          <w:sz w:val="84"/>
          <w:szCs w:val="84"/>
          <w:highlight w:val="none"/>
        </w:rPr>
        <w:t>竞争性磋商文件</w:t>
      </w:r>
      <w:bookmarkEnd w:id="0"/>
    </w:p>
    <w:p w14:paraId="4BFF25AE">
      <w:pPr>
        <w:spacing w:before="146" w:beforeLines="50" w:line="360" w:lineRule="auto"/>
        <w:jc w:val="center"/>
        <w:rPr>
          <w:rFonts w:ascii="宋体" w:hAnsi="宋体"/>
          <w:b/>
          <w:color w:val="auto"/>
          <w:sz w:val="28"/>
          <w:szCs w:val="28"/>
          <w:highlight w:val="none"/>
        </w:rPr>
      </w:pPr>
    </w:p>
    <w:p w14:paraId="506A2EC7">
      <w:pPr>
        <w:spacing w:before="146" w:beforeLines="50" w:line="360" w:lineRule="auto"/>
        <w:jc w:val="center"/>
        <w:rPr>
          <w:rFonts w:hint="eastAsia" w:ascii="宋体" w:hAnsi="宋体" w:eastAsia="宋体" w:cs="宋体"/>
          <w:b/>
          <w:bCs/>
          <w:color w:val="auto"/>
          <w:sz w:val="28"/>
          <w:szCs w:val="28"/>
          <w:highlight w:val="none"/>
          <w:lang w:eastAsia="zh-CN"/>
        </w:rPr>
      </w:pPr>
      <w:r>
        <w:rPr>
          <w:rFonts w:ascii="宋体" w:hAnsi="宋体"/>
          <w:b/>
          <w:color w:val="auto"/>
          <w:sz w:val="28"/>
          <w:szCs w:val="28"/>
          <w:highlight w:val="none"/>
        </w:rPr>
        <w:t>项目编号：</w:t>
      </w:r>
      <w:r>
        <w:rPr>
          <w:rFonts w:hint="eastAsia" w:ascii="宋体" w:hAnsi="宋体" w:cs="宋体"/>
          <w:b/>
          <w:bCs/>
          <w:color w:val="auto"/>
          <w:sz w:val="28"/>
          <w:szCs w:val="28"/>
          <w:highlight w:val="none"/>
          <w:lang w:eastAsia="zh-CN"/>
        </w:rPr>
        <w:t>YGZD-GSJD2024-0929</w:t>
      </w:r>
    </w:p>
    <w:p w14:paraId="30083356">
      <w:pPr>
        <w:pStyle w:val="8"/>
        <w:rPr>
          <w:color w:val="auto"/>
          <w:highlight w:val="none"/>
        </w:rPr>
      </w:pPr>
    </w:p>
    <w:p w14:paraId="7DBF74C1">
      <w:pPr>
        <w:spacing w:line="360" w:lineRule="auto"/>
        <w:jc w:val="center"/>
        <w:rPr>
          <w:rFonts w:ascii="宋体" w:hAnsi="宋体" w:cs="宋体"/>
          <w:b/>
          <w:bCs/>
          <w:color w:val="auto"/>
          <w:kern w:val="16"/>
          <w:sz w:val="36"/>
          <w:szCs w:val="36"/>
          <w:highlight w:val="none"/>
        </w:rPr>
      </w:pPr>
    </w:p>
    <w:p w14:paraId="41C1CC82">
      <w:pPr>
        <w:spacing w:line="360" w:lineRule="auto"/>
        <w:jc w:val="center"/>
        <w:rPr>
          <w:rFonts w:ascii="宋体" w:hAnsi="宋体" w:cs="宋体"/>
          <w:b/>
          <w:bCs/>
          <w:color w:val="auto"/>
          <w:kern w:val="16"/>
          <w:sz w:val="36"/>
          <w:szCs w:val="36"/>
          <w:highlight w:val="none"/>
        </w:rPr>
      </w:pPr>
    </w:p>
    <w:p w14:paraId="0CB91183">
      <w:pPr>
        <w:pStyle w:val="8"/>
        <w:rPr>
          <w:rFonts w:ascii="宋体" w:hAnsi="宋体" w:cs="宋体"/>
          <w:b/>
          <w:bCs/>
          <w:color w:val="auto"/>
          <w:kern w:val="16"/>
          <w:sz w:val="36"/>
          <w:szCs w:val="36"/>
          <w:highlight w:val="none"/>
        </w:rPr>
      </w:pPr>
    </w:p>
    <w:p w14:paraId="2A215C72">
      <w:pPr>
        <w:rPr>
          <w:rFonts w:ascii="宋体" w:hAnsi="宋体" w:cs="宋体"/>
          <w:b/>
          <w:bCs/>
          <w:color w:val="auto"/>
          <w:kern w:val="16"/>
          <w:sz w:val="36"/>
          <w:szCs w:val="36"/>
          <w:highlight w:val="none"/>
        </w:rPr>
      </w:pPr>
    </w:p>
    <w:p w14:paraId="1BB837C7">
      <w:pPr>
        <w:pStyle w:val="8"/>
        <w:rPr>
          <w:rFonts w:ascii="宋体" w:hAnsi="宋体" w:cs="宋体"/>
          <w:b/>
          <w:bCs/>
          <w:color w:val="auto"/>
          <w:kern w:val="16"/>
          <w:sz w:val="36"/>
          <w:szCs w:val="36"/>
          <w:highlight w:val="none"/>
        </w:rPr>
      </w:pPr>
    </w:p>
    <w:p w14:paraId="2EFC9D69">
      <w:pPr>
        <w:rPr>
          <w:rFonts w:ascii="宋体" w:hAnsi="宋体" w:cs="宋体"/>
          <w:b/>
          <w:bCs/>
          <w:color w:val="auto"/>
          <w:kern w:val="16"/>
          <w:sz w:val="36"/>
          <w:szCs w:val="36"/>
          <w:highlight w:val="none"/>
        </w:rPr>
      </w:pPr>
    </w:p>
    <w:p w14:paraId="7287B5B3">
      <w:pPr>
        <w:pStyle w:val="29"/>
        <w:bidi w:val="0"/>
        <w:rPr>
          <w:rStyle w:val="53"/>
          <w:rFonts w:hint="eastAsia"/>
          <w:woUserID w:val="0"/>
        </w:rPr>
      </w:pPr>
    </w:p>
    <w:p w14:paraId="59F96A44">
      <w:pPr>
        <w:pStyle w:val="29"/>
        <w:bidi w:val="0"/>
        <w:rPr>
          <w:rFonts w:hint="eastAsia"/>
        </w:rPr>
      </w:pPr>
    </w:p>
    <w:p w14:paraId="4435BDE3">
      <w:pPr>
        <w:keepNext w:val="0"/>
        <w:keepLines w:val="0"/>
        <w:pageBreakBefore w:val="0"/>
        <w:widowControl w:val="0"/>
        <w:kinsoku/>
        <w:wordWrap/>
        <w:overflowPunct/>
        <w:topLinePunct w:val="0"/>
        <w:autoSpaceDE/>
        <w:autoSpaceDN/>
        <w:bidi w:val="0"/>
        <w:adjustRightInd/>
        <w:snapToGrid/>
        <w:spacing w:line="480" w:lineRule="auto"/>
        <w:ind w:firstLine="1084" w:firstLineChars="300"/>
        <w:jc w:val="left"/>
        <w:textAlignment w:val="auto"/>
        <w:rPr>
          <w:rFonts w:hint="eastAsia"/>
          <w:b/>
          <w:bCs/>
          <w:sz w:val="36"/>
          <w:szCs w:val="36"/>
          <w:lang w:eastAsia="zh-CN"/>
        </w:rPr>
      </w:pPr>
      <w:r>
        <w:rPr>
          <w:rFonts w:hint="eastAsia"/>
          <w:b/>
          <w:bCs/>
          <w:sz w:val="36"/>
          <w:szCs w:val="36"/>
        </w:rPr>
        <w:t>采 购 人：</w:t>
      </w:r>
      <w:r>
        <w:rPr>
          <w:rFonts w:hint="eastAsia"/>
          <w:b/>
          <w:bCs/>
          <w:sz w:val="36"/>
          <w:szCs w:val="36"/>
          <w:lang w:eastAsia="zh-CN"/>
        </w:rPr>
        <w:t>邹城市钢山街道崇义庄村村民委员会</w:t>
      </w:r>
    </w:p>
    <w:p w14:paraId="3B087B11">
      <w:pPr>
        <w:keepNext w:val="0"/>
        <w:keepLines w:val="0"/>
        <w:pageBreakBefore w:val="0"/>
        <w:widowControl w:val="0"/>
        <w:kinsoku/>
        <w:wordWrap/>
        <w:overflowPunct/>
        <w:topLinePunct w:val="0"/>
        <w:autoSpaceDE/>
        <w:autoSpaceDN/>
        <w:bidi w:val="0"/>
        <w:adjustRightInd/>
        <w:snapToGrid/>
        <w:spacing w:line="480" w:lineRule="auto"/>
        <w:ind w:firstLine="1084" w:firstLineChars="300"/>
        <w:jc w:val="left"/>
        <w:textAlignment w:val="auto"/>
        <w:rPr>
          <w:rFonts w:hint="eastAsia"/>
          <w:b/>
          <w:bCs/>
          <w:sz w:val="36"/>
          <w:szCs w:val="36"/>
          <w:lang w:eastAsia="zh-CN"/>
        </w:rPr>
      </w:pPr>
      <w:r>
        <w:rPr>
          <w:rFonts w:hint="eastAsia"/>
          <w:b/>
          <w:bCs/>
          <w:sz w:val="36"/>
          <w:szCs w:val="36"/>
        </w:rPr>
        <w:t>代理机构：</w:t>
      </w:r>
      <w:r>
        <w:rPr>
          <w:rFonts w:hint="eastAsia"/>
          <w:b/>
          <w:bCs/>
          <w:sz w:val="36"/>
          <w:szCs w:val="36"/>
          <w:lang w:eastAsia="zh-CN"/>
        </w:rPr>
        <w:t>山东阳光正大建设项目管理有限公司</w:t>
      </w:r>
    </w:p>
    <w:p w14:paraId="421F1FFD">
      <w:pPr>
        <w:keepNext w:val="0"/>
        <w:keepLines w:val="0"/>
        <w:pageBreakBefore w:val="0"/>
        <w:widowControl w:val="0"/>
        <w:kinsoku/>
        <w:wordWrap/>
        <w:overflowPunct/>
        <w:topLinePunct w:val="0"/>
        <w:autoSpaceDE/>
        <w:autoSpaceDN/>
        <w:bidi w:val="0"/>
        <w:adjustRightInd/>
        <w:snapToGrid/>
        <w:spacing w:line="480" w:lineRule="auto"/>
        <w:ind w:firstLine="1084" w:firstLineChars="300"/>
        <w:jc w:val="left"/>
        <w:textAlignment w:val="auto"/>
        <w:rPr>
          <w:b/>
          <w:bCs/>
          <w:sz w:val="36"/>
          <w:szCs w:val="36"/>
        </w:rPr>
      </w:pPr>
      <w:r>
        <w:rPr>
          <w:b/>
          <w:bCs/>
          <w:sz w:val="36"/>
          <w:szCs w:val="36"/>
        </w:rPr>
        <w:t>日    期：二○二</w:t>
      </w:r>
      <w:r>
        <w:rPr>
          <w:rFonts w:hint="eastAsia"/>
          <w:b/>
          <w:bCs/>
          <w:sz w:val="36"/>
          <w:szCs w:val="36"/>
          <w:lang w:eastAsia="zh-CN"/>
        </w:rPr>
        <w:t>四</w:t>
      </w:r>
      <w:r>
        <w:rPr>
          <w:b/>
          <w:bCs/>
          <w:sz w:val="36"/>
          <w:szCs w:val="36"/>
        </w:rPr>
        <w:t>年</w:t>
      </w:r>
      <w:r>
        <w:rPr>
          <w:rFonts w:hint="eastAsia"/>
          <w:b/>
          <w:bCs/>
          <w:sz w:val="36"/>
          <w:szCs w:val="36"/>
          <w:lang w:eastAsia="zh-CN"/>
        </w:rPr>
        <w:t>九</w:t>
      </w:r>
      <w:r>
        <w:rPr>
          <w:b/>
          <w:bCs/>
          <w:sz w:val="36"/>
          <w:szCs w:val="36"/>
        </w:rPr>
        <w:t>月</w:t>
      </w:r>
    </w:p>
    <w:p w14:paraId="0DD5ED28">
      <w:pPr>
        <w:pStyle w:val="71"/>
        <w:spacing w:before="73"/>
        <w:jc w:val="both"/>
        <w:rPr>
          <w:color w:val="auto"/>
          <w:highlight w:val="none"/>
        </w:rPr>
      </w:pPr>
    </w:p>
    <w:p w14:paraId="215B4530">
      <w:pPr>
        <w:rPr>
          <w:rFonts w:ascii="宋体" w:hAnsi="宋体" w:cs="宋体"/>
          <w:b/>
          <w:bCs/>
          <w:color w:val="auto"/>
          <w:sz w:val="44"/>
          <w:szCs w:val="44"/>
          <w:highlight w:val="none"/>
        </w:rPr>
      </w:pPr>
      <w:r>
        <w:rPr>
          <w:rFonts w:ascii="宋体" w:hAnsi="宋体" w:cs="宋体"/>
          <w:b/>
          <w:bCs/>
          <w:color w:val="auto"/>
          <w:sz w:val="44"/>
          <w:szCs w:val="44"/>
          <w:highlight w:val="none"/>
        </w:rPr>
        <w:br w:type="page"/>
      </w:r>
    </w:p>
    <w:p w14:paraId="7C7E299C">
      <w:pPr>
        <w:jc w:val="center"/>
        <w:rPr>
          <w:rFonts w:ascii="宋体" w:hAnsi="宋体" w:cs="宋体"/>
          <w:b/>
          <w:bCs/>
          <w:color w:val="auto"/>
          <w:sz w:val="44"/>
          <w:szCs w:val="44"/>
          <w:highlight w:val="none"/>
        </w:rPr>
      </w:pPr>
      <w:r>
        <w:rPr>
          <w:rFonts w:ascii="宋体" w:hAnsi="宋体" w:cs="宋体"/>
          <w:b/>
          <w:bCs/>
          <w:color w:val="auto"/>
          <w:sz w:val="44"/>
          <w:szCs w:val="44"/>
          <w:highlight w:val="none"/>
        </w:rPr>
        <w:t>目  录</w:t>
      </w:r>
    </w:p>
    <w:p w14:paraId="53A00F88">
      <w:pPr>
        <w:pStyle w:val="25"/>
        <w:tabs>
          <w:tab w:val="right" w:leader="dot" w:pos="9638"/>
        </w:tabs>
        <w:rPr>
          <w:rFonts w:ascii="宋体" w:hAnsi="宋体" w:cs="宋体"/>
          <w:color w:val="auto"/>
          <w:sz w:val="24"/>
          <w:szCs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TOC \o "1-1" \h \u </w:instrText>
      </w:r>
      <w:r>
        <w:rPr>
          <w:rFonts w:ascii="宋体" w:hAnsi="宋体" w:cs="宋体"/>
          <w:color w:val="auto"/>
          <w:sz w:val="24"/>
          <w:highlight w:val="none"/>
        </w:rPr>
        <w:fldChar w:fldCharType="separate"/>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_Toc32592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第一部分  竞争性磋商公告</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_Toc32592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3</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3C4A762">
      <w:pPr>
        <w:pStyle w:val="25"/>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_Toc24157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 xml:space="preserve">第二部分  </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须知及响应方须知前附表</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_Toc24157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6</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5093CE22">
      <w:pPr>
        <w:pStyle w:val="25"/>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_Toc19927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第三部分  磋商组织、步骤与评审方法</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_Toc19927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17</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112FD24D">
      <w:pPr>
        <w:pStyle w:val="25"/>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_Toc2171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第四部分  采购内容及要求</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_Toc2171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23</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6B6A94E">
      <w:pPr>
        <w:pStyle w:val="25"/>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_Toc28805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第五部分  合同授予</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_Toc28805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25</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1BCECD61">
      <w:pPr>
        <w:pStyle w:val="25"/>
        <w:tabs>
          <w:tab w:val="right" w:leader="dot" w:pos="9638"/>
        </w:tabs>
        <w:rPr>
          <w:color w:val="auto"/>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_Toc5876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第六部分  响应文件部分格式</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_Toc5876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47</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779E7F7C">
      <w:pPr>
        <w:pStyle w:val="25"/>
        <w:tabs>
          <w:tab w:val="right" w:leader="dot" w:pos="9638"/>
        </w:tabs>
        <w:rPr>
          <w:color w:val="auto"/>
          <w:highlight w:val="none"/>
        </w:rPr>
      </w:pPr>
    </w:p>
    <w:p w14:paraId="06710E90">
      <w:pPr>
        <w:rPr>
          <w:rFonts w:ascii="宋体" w:hAnsi="宋体" w:cs="宋体"/>
          <w:color w:val="auto"/>
          <w:sz w:val="24"/>
          <w:highlight w:val="none"/>
        </w:rPr>
      </w:pPr>
      <w:r>
        <w:rPr>
          <w:rFonts w:ascii="宋体" w:hAnsi="宋体" w:cs="宋体"/>
          <w:color w:val="auto"/>
          <w:highlight w:val="none"/>
        </w:rPr>
        <w:fldChar w:fldCharType="end"/>
      </w:r>
    </w:p>
    <w:p w14:paraId="60E1D851">
      <w:pPr>
        <w:spacing w:line="600" w:lineRule="exact"/>
        <w:rPr>
          <w:rFonts w:ascii="宋体" w:hAnsi="宋体" w:cs="宋体"/>
          <w:color w:val="auto"/>
          <w:sz w:val="32"/>
          <w:szCs w:val="32"/>
          <w:highlight w:val="none"/>
        </w:rPr>
        <w:sectPr>
          <w:headerReference r:id="rId6" w:type="first"/>
          <w:footerReference r:id="rId8" w:type="first"/>
          <w:headerReference r:id="rId5" w:type="default"/>
          <w:footerReference r:id="rId7" w:type="default"/>
          <w:type w:val="nextColumn"/>
          <w:pgSz w:w="11906" w:h="16838"/>
          <w:pgMar w:top="1134" w:right="1134" w:bottom="1134" w:left="1134" w:header="851" w:footer="851" w:gutter="0"/>
          <w:lnNumType w:countBy="0" w:restart="continuous"/>
          <w:pgNumType w:start="1"/>
          <w:cols w:space="720" w:num="1"/>
          <w:docGrid w:type="lines" w:linePitch="292" w:charSpace="0"/>
        </w:sectPr>
      </w:pPr>
    </w:p>
    <w:p w14:paraId="7DA687D9">
      <w:pPr>
        <w:jc w:val="center"/>
        <w:outlineLvl w:val="0"/>
        <w:rPr>
          <w:rFonts w:ascii="宋体" w:hAnsi="宋体" w:cs="宋体"/>
          <w:b/>
          <w:color w:val="auto"/>
          <w:sz w:val="32"/>
          <w:szCs w:val="32"/>
          <w:highlight w:val="none"/>
        </w:rPr>
      </w:pPr>
      <w:bookmarkStart w:id="1" w:name="_Toc32592"/>
      <w:bookmarkStart w:id="2" w:name="_Toc11659837"/>
      <w:bookmarkStart w:id="3" w:name="_Toc16001_WPSOffice_Level1"/>
      <w:r>
        <w:rPr>
          <w:rFonts w:ascii="宋体" w:hAnsi="宋体" w:cs="宋体"/>
          <w:b/>
          <w:color w:val="auto"/>
          <w:sz w:val="32"/>
          <w:szCs w:val="32"/>
          <w:highlight w:val="none"/>
        </w:rPr>
        <w:t>第一部分  竞争性磋商公告</w:t>
      </w:r>
      <w:bookmarkEnd w:id="1"/>
      <w:bookmarkEnd w:id="2"/>
      <w:bookmarkEnd w:id="3"/>
    </w:p>
    <w:p w14:paraId="39214E7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邹城市钢山街道办事处崇义家园热力水处理设备采购项目</w:t>
      </w:r>
      <w:r>
        <w:rPr>
          <w:rFonts w:ascii="宋体" w:hAnsi="宋体" w:cs="宋体"/>
          <w:b/>
          <w:bCs/>
          <w:color w:val="auto"/>
          <w:kern w:val="0"/>
          <w:sz w:val="24"/>
          <w:highlight w:val="none"/>
        </w:rPr>
        <w:t>竞争性磋商公告</w:t>
      </w:r>
    </w:p>
    <w:p w14:paraId="317D90A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shd w:val="clear" w:fill="FFFFFF"/>
        </w:rPr>
        <w:t>一、采购项目名称：</w:t>
      </w:r>
      <w:r>
        <w:rPr>
          <w:rFonts w:hint="eastAsia" w:cs="宋体"/>
          <w:b w:val="0"/>
          <w:bCs w:val="0"/>
          <w:color w:val="auto"/>
          <w:sz w:val="24"/>
          <w:szCs w:val="24"/>
          <w:shd w:val="clear" w:fill="FFFFFF"/>
          <w:lang w:eastAsia="zh-CN"/>
        </w:rPr>
        <w:t>邹城市钢山街道办事处崇义家园热力水处理设备采购项目</w:t>
      </w:r>
    </w:p>
    <w:p w14:paraId="62F706B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shd w:val="clear" w:fill="FFFFFF"/>
        </w:rPr>
        <w:t>二、采购项目编号：</w:t>
      </w:r>
      <w:r>
        <w:rPr>
          <w:rFonts w:hint="eastAsia" w:cs="宋体"/>
          <w:b w:val="0"/>
          <w:bCs w:val="0"/>
          <w:color w:val="auto"/>
          <w:sz w:val="24"/>
          <w:szCs w:val="24"/>
          <w:shd w:val="clear" w:fill="FFFFFF"/>
          <w:lang w:eastAsia="zh-CN"/>
        </w:rPr>
        <w:t>YGZD-GSJD2024-0929</w:t>
      </w:r>
    </w:p>
    <w:p w14:paraId="0D46816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三、采购内容：</w:t>
      </w:r>
      <w:r>
        <w:rPr>
          <w:rFonts w:hint="eastAsia" w:ascii="宋体" w:hAnsi="宋体" w:eastAsia="宋体" w:cs="宋体"/>
          <w:color w:val="auto"/>
          <w:sz w:val="24"/>
          <w:szCs w:val="24"/>
          <w:shd w:val="clear" w:fill="FFFFFF"/>
        </w:rPr>
        <w:t>本</w:t>
      </w:r>
      <w:r>
        <w:rPr>
          <w:rFonts w:hint="eastAsia" w:ascii="宋体" w:hAnsi="宋体" w:eastAsia="宋体" w:cs="宋体"/>
          <w:color w:val="auto"/>
          <w:sz w:val="24"/>
          <w:szCs w:val="24"/>
          <w:shd w:val="clear" w:fill="FFFFFF"/>
          <w:lang w:eastAsia="zh-CN"/>
        </w:rPr>
        <w:t>项目</w:t>
      </w:r>
      <w:r>
        <w:rPr>
          <w:rFonts w:hint="eastAsia" w:ascii="宋体" w:hAnsi="宋体" w:eastAsia="宋体" w:cs="宋体"/>
          <w:color w:val="auto"/>
          <w:sz w:val="24"/>
          <w:szCs w:val="24"/>
          <w:shd w:val="clear" w:fill="FFFFFF"/>
        </w:rPr>
        <w:t>为</w:t>
      </w:r>
      <w:r>
        <w:rPr>
          <w:rFonts w:hint="eastAsia" w:cs="宋体"/>
          <w:color w:val="auto"/>
          <w:sz w:val="24"/>
          <w:szCs w:val="24"/>
          <w:shd w:val="clear" w:fill="FFFFFF"/>
          <w:lang w:eastAsia="zh-CN"/>
        </w:rPr>
        <w:t>邹城市钢山街道办事处崇义家园热力水处理设备采购项目</w:t>
      </w:r>
      <w:r>
        <w:rPr>
          <w:rFonts w:hint="eastAsia" w:ascii="宋体" w:hAnsi="宋体" w:eastAsia="宋体" w:cs="宋体"/>
          <w:color w:val="auto"/>
          <w:sz w:val="24"/>
          <w:szCs w:val="24"/>
          <w:shd w:val="clear" w:fill="FFFFFF"/>
          <w:lang w:val="en-US" w:eastAsia="zh-CN"/>
        </w:rPr>
        <w:t>,</w:t>
      </w:r>
      <w:r>
        <w:rPr>
          <w:rFonts w:hint="eastAsia" w:ascii="宋体" w:hAnsi="宋体" w:eastAsia="宋体" w:cs="宋体"/>
          <w:b/>
          <w:bCs/>
          <w:color w:val="auto"/>
          <w:sz w:val="24"/>
          <w:szCs w:val="24"/>
          <w:shd w:val="clear" w:fill="FFFFFF"/>
        </w:rPr>
        <w:t>采购预算：</w:t>
      </w:r>
      <w:r>
        <w:rPr>
          <w:rFonts w:hint="eastAsia" w:ascii="宋体" w:hAnsi="宋体" w:eastAsia="宋体" w:cs="宋体"/>
          <w:b/>
          <w:bCs/>
          <w:color w:val="auto"/>
          <w:sz w:val="24"/>
          <w:szCs w:val="24"/>
          <w:shd w:val="clear" w:fill="FFFFFF"/>
          <w:lang w:val="en-US" w:eastAsia="zh-CN"/>
        </w:rPr>
        <w:t>1</w:t>
      </w:r>
      <w:r>
        <w:rPr>
          <w:rFonts w:hint="eastAsia" w:cs="宋体"/>
          <w:b/>
          <w:bCs/>
          <w:color w:val="auto"/>
          <w:sz w:val="24"/>
          <w:szCs w:val="24"/>
          <w:shd w:val="clear" w:fill="FFFFFF"/>
          <w:lang w:val="en-US" w:eastAsia="zh-CN"/>
        </w:rPr>
        <w:t>7</w:t>
      </w:r>
      <w:r>
        <w:rPr>
          <w:rFonts w:hint="eastAsia" w:ascii="宋体" w:hAnsi="宋体" w:eastAsia="宋体" w:cs="宋体"/>
          <w:b/>
          <w:bCs/>
          <w:color w:val="auto"/>
          <w:sz w:val="24"/>
          <w:szCs w:val="24"/>
          <w:shd w:val="clear" w:fill="FFFFFF"/>
          <w:lang w:val="en-US" w:eastAsia="zh-CN"/>
        </w:rPr>
        <w:t>万</w:t>
      </w:r>
      <w:r>
        <w:rPr>
          <w:rFonts w:hint="eastAsia" w:ascii="宋体" w:hAnsi="宋体" w:eastAsia="宋体" w:cs="宋体"/>
          <w:b/>
          <w:bCs/>
          <w:color w:val="auto"/>
          <w:sz w:val="24"/>
          <w:szCs w:val="24"/>
          <w:shd w:val="clear" w:fill="FFFFFF"/>
        </w:rPr>
        <w:t>元。</w:t>
      </w:r>
      <w:r>
        <w:rPr>
          <w:rFonts w:hint="eastAsia" w:ascii="宋体" w:hAnsi="宋体" w:eastAsia="宋体" w:cs="宋体"/>
          <w:color w:val="auto"/>
          <w:sz w:val="24"/>
          <w:szCs w:val="24"/>
          <w:shd w:val="clear" w:fill="FFFFFF"/>
        </w:rPr>
        <w:t>（具体内容详见第四部分采购内容及要求）</w:t>
      </w:r>
    </w:p>
    <w:p w14:paraId="0A2B4FD8">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四、供应商资格要求</w:t>
      </w:r>
    </w:p>
    <w:p w14:paraId="0863D7D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1、具备《政府采购法》第二十二条规定的条件。</w:t>
      </w:r>
    </w:p>
    <w:p w14:paraId="2015FEC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（一）具有独立承担民事责任的能力；</w:t>
      </w:r>
    </w:p>
    <w:p w14:paraId="01690173">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（二）具有良好的商业信誉和健全的财务会计制度；</w:t>
      </w:r>
    </w:p>
    <w:p w14:paraId="279769E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（三）具有履行合同所必需的货物和专业技术能力；</w:t>
      </w:r>
    </w:p>
    <w:p w14:paraId="4A9C605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（四）有依法缴纳税收和社会保障资金的良好记录；</w:t>
      </w:r>
    </w:p>
    <w:p w14:paraId="1A0EBF9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（五）参加政府采购活动前三年内，在经营活动中没有重大违法记录；</w:t>
      </w:r>
    </w:p>
    <w:p w14:paraId="60BAC1D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（六）法律、行政法规规定的其他条件。</w:t>
      </w:r>
    </w:p>
    <w:p w14:paraId="43353C9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2、本次采购要求：</w:t>
      </w:r>
      <w:r>
        <w:rPr>
          <w:rFonts w:hint="eastAsia" w:ascii="宋体" w:hAnsi="宋体" w:eastAsia="宋体" w:cs="宋体"/>
          <w:b/>
          <w:bCs/>
          <w:color w:val="auto"/>
          <w:sz w:val="24"/>
          <w:szCs w:val="24"/>
          <w:u w:val="single"/>
          <w:shd w:val="clear" w:fill="FFFFFF"/>
        </w:rPr>
        <w:t>供应商须为国内注册具有独立法人资格，并在人员、设备、资金等方面具有相应的能力。</w:t>
      </w:r>
    </w:p>
    <w:p w14:paraId="064F1C6A">
      <w:pPr>
        <w:pStyle w:val="11"/>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shd w:val="clear" w:fill="FFFFFF"/>
        </w:rPr>
        <w:t>3、供应商在递交响应文件时需同时提供：</w:t>
      </w:r>
      <w:r>
        <w:rPr>
          <w:rFonts w:hint="eastAsia" w:hAnsi="宋体" w:cs="宋体"/>
          <w:b/>
          <w:bCs/>
          <w:color w:val="auto"/>
          <w:sz w:val="24"/>
          <w:szCs w:val="24"/>
          <w:highlight w:val="none"/>
          <w:lang w:eastAsia="zh-CN"/>
        </w:rPr>
        <w:t>（1）本单位营业执照副本（加盖公章的复印件）、（2）法定代表人身份证明原件（如有授权代表人，须同时提供法定代表人身份证明和授权委托书）、（3）缴纳税收和社会保障资金等证明告知承诺书原件、（4）磋商保证金缴纳凭证、(5)具有履行合同所必需的设备和专业技术能力承诺书原件。</w:t>
      </w:r>
    </w:p>
    <w:p w14:paraId="2BE40A1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p>
    <w:p w14:paraId="5995CD7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4、本次</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不接受联合体。</w:t>
      </w:r>
    </w:p>
    <w:p w14:paraId="7F54C2C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五、</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文件的获取：</w:t>
      </w:r>
    </w:p>
    <w:p w14:paraId="7764405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文件获取时间：</w:t>
      </w:r>
      <w:r>
        <w:rPr>
          <w:rFonts w:hint="eastAsia" w:ascii="宋体" w:hAnsi="宋体" w:eastAsia="宋体" w:cs="宋体"/>
          <w:color w:val="auto"/>
          <w:sz w:val="24"/>
          <w:szCs w:val="24"/>
          <w:highlight w:val="none"/>
          <w:shd w:val="clear" w:fill="FFFFFF"/>
        </w:rPr>
        <w:t>2024年</w:t>
      </w:r>
      <w:r>
        <w:rPr>
          <w:rFonts w:hint="eastAsia" w:cs="宋体"/>
          <w:color w:val="auto"/>
          <w:sz w:val="24"/>
          <w:szCs w:val="24"/>
          <w:highlight w:val="none"/>
          <w:shd w:val="clear" w:fill="FFFFFF"/>
          <w:lang w:val="en-US" w:eastAsia="zh-CN"/>
        </w:rPr>
        <w:t>9</w:t>
      </w:r>
      <w:r>
        <w:rPr>
          <w:rFonts w:hint="eastAsia" w:ascii="宋体" w:hAnsi="宋体" w:eastAsia="宋体" w:cs="宋体"/>
          <w:color w:val="auto"/>
          <w:sz w:val="24"/>
          <w:szCs w:val="24"/>
          <w:highlight w:val="none"/>
          <w:shd w:val="clear" w:fill="FFFFFF"/>
        </w:rPr>
        <w:t>月</w:t>
      </w:r>
      <w:r>
        <w:rPr>
          <w:rFonts w:hint="eastAsia" w:cs="宋体"/>
          <w:color w:val="auto"/>
          <w:sz w:val="24"/>
          <w:szCs w:val="24"/>
          <w:highlight w:val="none"/>
          <w:shd w:val="clear" w:fill="FFFFFF"/>
          <w:lang w:val="en-US" w:eastAsia="zh-CN"/>
        </w:rPr>
        <w:t>29</w:t>
      </w:r>
      <w:r>
        <w:rPr>
          <w:rFonts w:hint="eastAsia" w:ascii="宋体" w:hAnsi="宋体" w:eastAsia="宋体" w:cs="宋体"/>
          <w:color w:val="auto"/>
          <w:sz w:val="24"/>
          <w:szCs w:val="24"/>
          <w:highlight w:val="none"/>
          <w:shd w:val="clear" w:fill="FFFFFF"/>
        </w:rPr>
        <w:t>日至</w:t>
      </w:r>
      <w:r>
        <w:rPr>
          <w:rFonts w:hint="eastAsia" w:cs="宋体"/>
          <w:color w:val="auto"/>
          <w:sz w:val="24"/>
          <w:szCs w:val="24"/>
          <w:highlight w:val="none"/>
          <w:shd w:val="clear" w:fill="FFFFFF"/>
          <w:lang w:eastAsia="zh-CN"/>
        </w:rPr>
        <w:t>2024年</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月</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日</w:t>
      </w:r>
      <w:r>
        <w:rPr>
          <w:rFonts w:hint="eastAsia" w:cs="宋体"/>
          <w:color w:val="auto"/>
          <w:sz w:val="24"/>
          <w:szCs w:val="24"/>
          <w:highlight w:val="none"/>
          <w:shd w:val="clear" w:fill="FFFFFF"/>
          <w:lang w:val="en-US" w:eastAsia="zh-CN"/>
        </w:rPr>
        <w:t>09</w:t>
      </w:r>
      <w:r>
        <w:rPr>
          <w:rFonts w:hint="eastAsia" w:cs="宋体"/>
          <w:color w:val="auto"/>
          <w:sz w:val="24"/>
          <w:szCs w:val="24"/>
          <w:highlight w:val="none"/>
          <w:shd w:val="clear" w:fill="FFFFFF"/>
          <w:lang w:eastAsia="zh-CN"/>
        </w:rPr>
        <w:t>时</w:t>
      </w:r>
      <w:r>
        <w:rPr>
          <w:rFonts w:hint="eastAsia" w:cs="宋体"/>
          <w:color w:val="auto"/>
          <w:sz w:val="24"/>
          <w:szCs w:val="24"/>
          <w:highlight w:val="none"/>
          <w:shd w:val="clear" w:fill="FFFFFF"/>
          <w:lang w:val="en-US" w:eastAsia="zh-CN"/>
        </w:rPr>
        <w:t>00</w:t>
      </w:r>
      <w:r>
        <w:rPr>
          <w:rFonts w:hint="eastAsia" w:cs="宋体"/>
          <w:color w:val="auto"/>
          <w:sz w:val="24"/>
          <w:szCs w:val="24"/>
          <w:highlight w:val="none"/>
          <w:shd w:val="clear" w:fill="FFFFFF"/>
          <w:lang w:eastAsia="zh-CN"/>
        </w:rPr>
        <w:t>分</w:t>
      </w:r>
      <w:r>
        <w:rPr>
          <w:rFonts w:hint="eastAsia" w:ascii="宋体" w:hAnsi="宋体" w:eastAsia="宋体" w:cs="宋体"/>
          <w:color w:val="auto"/>
          <w:sz w:val="24"/>
          <w:szCs w:val="24"/>
          <w:highlight w:val="none"/>
          <w:shd w:val="clear" w:fill="FFFFFF"/>
        </w:rPr>
        <w:t>（</w:t>
      </w:r>
      <w:r>
        <w:rPr>
          <w:rFonts w:hint="eastAsia" w:ascii="宋体" w:hAnsi="宋体" w:eastAsia="宋体" w:cs="宋体"/>
          <w:color w:val="auto"/>
          <w:sz w:val="24"/>
          <w:szCs w:val="24"/>
          <w:shd w:val="clear" w:fill="FFFFFF"/>
        </w:rPr>
        <w:t>北京时间）</w:t>
      </w:r>
    </w:p>
    <w:p w14:paraId="5A1D761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文件获取方式：供应商不必办理报名手续，登录邹城市外宣网(http://www.mencius.gov.cn/)-乡镇采购直接点击公告下方附件下载</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w:t>
      </w:r>
    </w:p>
    <w:p w14:paraId="4149B9D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六、</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响应文件的递交时间及地点：</w:t>
      </w:r>
    </w:p>
    <w:p w14:paraId="374D142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cs="宋体"/>
          <w:color w:val="auto"/>
          <w:sz w:val="24"/>
          <w:szCs w:val="24"/>
          <w:shd w:val="clear" w:fill="FFFFFF"/>
          <w:lang w:eastAsia="zh-CN"/>
        </w:rPr>
        <w:t>邹城市钢山街道崇义庄村村民委员会</w:t>
      </w:r>
      <w:r>
        <w:rPr>
          <w:rFonts w:hint="eastAsia" w:ascii="宋体" w:hAnsi="宋体" w:eastAsia="宋体" w:cs="宋体"/>
          <w:color w:val="auto"/>
          <w:sz w:val="24"/>
          <w:szCs w:val="24"/>
          <w:shd w:val="clear" w:fill="FFFFFF"/>
        </w:rPr>
        <w:t>于</w:t>
      </w:r>
      <w:r>
        <w:rPr>
          <w:rFonts w:hint="eastAsia" w:cs="宋体"/>
          <w:color w:val="auto"/>
          <w:sz w:val="24"/>
          <w:szCs w:val="24"/>
          <w:highlight w:val="none"/>
          <w:shd w:val="clear" w:fill="FFFFFF"/>
          <w:lang w:eastAsia="zh-CN"/>
        </w:rPr>
        <w:t>2024年</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月</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日</w:t>
      </w:r>
      <w:r>
        <w:rPr>
          <w:rFonts w:hint="eastAsia" w:cs="宋体"/>
          <w:color w:val="auto"/>
          <w:sz w:val="24"/>
          <w:szCs w:val="24"/>
          <w:highlight w:val="none"/>
          <w:shd w:val="clear" w:fill="FFFFFF"/>
          <w:lang w:val="en-US" w:eastAsia="zh-CN"/>
        </w:rPr>
        <w:t>11</w:t>
      </w:r>
      <w:r>
        <w:rPr>
          <w:rFonts w:hint="eastAsia" w:cs="宋体"/>
          <w:color w:val="auto"/>
          <w:sz w:val="24"/>
          <w:szCs w:val="24"/>
          <w:highlight w:val="none"/>
          <w:shd w:val="clear" w:fill="FFFFFF"/>
          <w:lang w:eastAsia="zh-CN"/>
        </w:rPr>
        <w:t>时</w:t>
      </w:r>
      <w:r>
        <w:rPr>
          <w:rFonts w:hint="eastAsia" w:cs="宋体"/>
          <w:color w:val="auto"/>
          <w:sz w:val="24"/>
          <w:szCs w:val="24"/>
          <w:highlight w:val="none"/>
          <w:shd w:val="clear" w:fill="FFFFFF"/>
          <w:lang w:val="en-US" w:eastAsia="zh-CN"/>
        </w:rPr>
        <w:t>00</w:t>
      </w:r>
      <w:r>
        <w:rPr>
          <w:rFonts w:hint="eastAsia" w:cs="宋体"/>
          <w:color w:val="auto"/>
          <w:sz w:val="24"/>
          <w:szCs w:val="24"/>
          <w:highlight w:val="none"/>
          <w:shd w:val="clear" w:fill="FFFFFF"/>
          <w:lang w:eastAsia="zh-CN"/>
        </w:rPr>
        <w:t>分</w:t>
      </w:r>
      <w:r>
        <w:rPr>
          <w:rFonts w:hint="eastAsia" w:ascii="宋体" w:hAnsi="宋体" w:eastAsia="宋体" w:cs="宋体"/>
          <w:color w:val="auto"/>
          <w:sz w:val="24"/>
          <w:szCs w:val="24"/>
          <w:shd w:val="clear" w:fill="FFFFFF"/>
        </w:rPr>
        <w:t>（北京时间）</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开始前在</w:t>
      </w:r>
      <w:r>
        <w:rPr>
          <w:rFonts w:hint="eastAsia" w:ascii="宋体" w:hAnsi="宋体" w:eastAsia="宋体" w:cs="宋体"/>
          <w:color w:val="auto"/>
          <w:sz w:val="24"/>
          <w:szCs w:val="24"/>
          <w:shd w:val="clear" w:fill="FFFFFF"/>
          <w:lang w:eastAsia="zh-CN"/>
        </w:rPr>
        <w:t>邹城市钢山街道公共资源交易中心开标室</w:t>
      </w:r>
      <w:r>
        <w:rPr>
          <w:rFonts w:hint="eastAsia" w:ascii="宋体" w:hAnsi="宋体" w:eastAsia="宋体" w:cs="宋体"/>
          <w:color w:val="auto"/>
          <w:sz w:val="24"/>
          <w:szCs w:val="24"/>
          <w:shd w:val="clear" w:fill="FFFFFF"/>
        </w:rPr>
        <w:t>受理供应商</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响应文件的递交；</w:t>
      </w:r>
    </w:p>
    <w:p w14:paraId="118B5CB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2、逾期送达或未送达指定地点的</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响应文件，采购人不予受理。</w:t>
      </w:r>
    </w:p>
    <w:p w14:paraId="1BE4033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七、</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（开启）时间及地点</w:t>
      </w:r>
    </w:p>
    <w:p w14:paraId="59449B3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1.时间：</w:t>
      </w:r>
      <w:r>
        <w:rPr>
          <w:rFonts w:hint="eastAsia" w:cs="宋体"/>
          <w:color w:val="auto"/>
          <w:sz w:val="24"/>
          <w:szCs w:val="24"/>
          <w:highlight w:val="none"/>
          <w:shd w:val="clear" w:fill="FFFFFF"/>
          <w:lang w:eastAsia="zh-CN"/>
        </w:rPr>
        <w:t>2024年</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月</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日</w:t>
      </w:r>
      <w:r>
        <w:rPr>
          <w:rFonts w:hint="eastAsia" w:cs="宋体"/>
          <w:color w:val="auto"/>
          <w:sz w:val="24"/>
          <w:szCs w:val="24"/>
          <w:highlight w:val="none"/>
          <w:shd w:val="clear" w:fill="FFFFFF"/>
          <w:lang w:val="en-US" w:eastAsia="zh-CN"/>
        </w:rPr>
        <w:t>11</w:t>
      </w:r>
      <w:r>
        <w:rPr>
          <w:rFonts w:hint="eastAsia" w:cs="宋体"/>
          <w:color w:val="auto"/>
          <w:sz w:val="24"/>
          <w:szCs w:val="24"/>
          <w:highlight w:val="none"/>
          <w:shd w:val="clear" w:fill="FFFFFF"/>
          <w:lang w:eastAsia="zh-CN"/>
        </w:rPr>
        <w:t>时</w:t>
      </w:r>
      <w:r>
        <w:rPr>
          <w:rFonts w:hint="eastAsia" w:cs="宋体"/>
          <w:color w:val="auto"/>
          <w:sz w:val="24"/>
          <w:szCs w:val="24"/>
          <w:highlight w:val="none"/>
          <w:shd w:val="clear" w:fill="FFFFFF"/>
          <w:lang w:val="en-US" w:eastAsia="zh-CN"/>
        </w:rPr>
        <w:t>00</w:t>
      </w:r>
      <w:r>
        <w:rPr>
          <w:rFonts w:hint="eastAsia" w:cs="宋体"/>
          <w:color w:val="auto"/>
          <w:sz w:val="24"/>
          <w:szCs w:val="24"/>
          <w:highlight w:val="none"/>
          <w:shd w:val="clear" w:fill="FFFFFF"/>
          <w:lang w:eastAsia="zh-CN"/>
        </w:rPr>
        <w:t>分</w:t>
      </w:r>
      <w:r>
        <w:rPr>
          <w:rFonts w:hint="eastAsia" w:ascii="宋体" w:hAnsi="宋体" w:eastAsia="宋体" w:cs="宋体"/>
          <w:color w:val="auto"/>
          <w:sz w:val="24"/>
          <w:szCs w:val="24"/>
          <w:highlight w:val="none"/>
          <w:shd w:val="clear" w:fill="FFFFFF"/>
        </w:rPr>
        <w:t>（北京时间）</w:t>
      </w:r>
    </w:p>
    <w:p w14:paraId="2C53A60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2.地点：</w:t>
      </w:r>
      <w:r>
        <w:rPr>
          <w:rFonts w:hint="eastAsia" w:ascii="宋体" w:hAnsi="宋体" w:eastAsia="宋体" w:cs="宋体"/>
          <w:color w:val="auto"/>
          <w:sz w:val="24"/>
          <w:szCs w:val="24"/>
          <w:shd w:val="clear" w:fill="FFFFFF"/>
          <w:lang w:eastAsia="zh-CN"/>
        </w:rPr>
        <w:t>邹城市钢山街道公共资源交易中心开标室</w:t>
      </w:r>
      <w:r>
        <w:rPr>
          <w:rFonts w:hint="eastAsia" w:ascii="宋体" w:hAnsi="宋体" w:eastAsia="宋体" w:cs="宋体"/>
          <w:color w:val="auto"/>
          <w:sz w:val="24"/>
          <w:szCs w:val="24"/>
          <w:shd w:val="clear" w:fill="FFFFFF"/>
        </w:rPr>
        <w:t> </w:t>
      </w:r>
    </w:p>
    <w:p w14:paraId="29E9CEF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八、联系方式：</w:t>
      </w:r>
    </w:p>
    <w:p w14:paraId="23185BA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1.采购人信息 </w:t>
      </w:r>
    </w:p>
    <w:p w14:paraId="4C3DEFE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cs="宋体"/>
          <w:color w:val="auto"/>
          <w:sz w:val="24"/>
          <w:szCs w:val="24"/>
          <w:lang w:eastAsia="zh-CN"/>
        </w:rPr>
        <w:t>邹城市钢山街道崇义庄村村民委员会</w:t>
      </w:r>
      <w:r>
        <w:rPr>
          <w:rFonts w:hint="eastAsia" w:ascii="宋体" w:hAnsi="宋体" w:eastAsia="宋体" w:cs="宋体"/>
          <w:color w:val="auto"/>
          <w:sz w:val="24"/>
          <w:szCs w:val="24"/>
        </w:rPr>
        <w:t xml:space="preserve">     </w:t>
      </w:r>
    </w:p>
    <w:p w14:paraId="3215ED8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cs="宋体"/>
          <w:color w:val="auto"/>
          <w:sz w:val="24"/>
          <w:szCs w:val="24"/>
          <w:lang w:eastAsia="zh-CN"/>
        </w:rPr>
        <w:t>邹城市崇义家园</w:t>
      </w:r>
      <w:r>
        <w:rPr>
          <w:rFonts w:hint="eastAsia" w:ascii="宋体" w:hAnsi="宋体" w:eastAsia="宋体" w:cs="宋体"/>
          <w:color w:val="auto"/>
          <w:sz w:val="24"/>
          <w:szCs w:val="24"/>
        </w:rPr>
        <w:t xml:space="preserve"> </w:t>
      </w:r>
    </w:p>
    <w:p w14:paraId="716731B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cs="宋体"/>
          <w:color w:val="auto"/>
          <w:sz w:val="24"/>
          <w:szCs w:val="24"/>
          <w:lang w:eastAsia="zh-CN"/>
        </w:rPr>
        <w:t>侯主任</w:t>
      </w:r>
      <w:r>
        <w:rPr>
          <w:rFonts w:hint="eastAsia" w:ascii="宋体" w:hAnsi="宋体" w:eastAsia="宋体" w:cs="宋体"/>
          <w:color w:val="auto"/>
          <w:sz w:val="24"/>
          <w:szCs w:val="24"/>
        </w:rPr>
        <w:t xml:space="preserve">                                 </w:t>
      </w:r>
    </w:p>
    <w:p w14:paraId="479FF3A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cs="宋体"/>
          <w:color w:val="auto"/>
          <w:sz w:val="24"/>
          <w:szCs w:val="24"/>
          <w:lang w:eastAsia="zh-CN"/>
        </w:rPr>
        <w:t>13153709768</w:t>
      </w:r>
    </w:p>
    <w:p w14:paraId="6152255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2.采购代理机构信息 </w:t>
      </w:r>
    </w:p>
    <w:p w14:paraId="7E612E7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cs="宋体"/>
          <w:color w:val="auto"/>
          <w:sz w:val="24"/>
          <w:szCs w:val="24"/>
          <w:lang w:eastAsia="zh-CN"/>
        </w:rPr>
        <w:t>山东阳光正大建设项目管理有限公司</w:t>
      </w:r>
      <w:r>
        <w:rPr>
          <w:rFonts w:hint="eastAsia" w:ascii="宋体" w:hAnsi="宋体" w:eastAsia="宋体" w:cs="宋体"/>
          <w:color w:val="auto"/>
          <w:sz w:val="24"/>
          <w:szCs w:val="24"/>
        </w:rPr>
        <w:t xml:space="preserve">       </w:t>
      </w:r>
    </w:p>
    <w:p w14:paraId="07A34CC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邹城市齐鲁时代</w:t>
      </w:r>
      <w:r>
        <w:rPr>
          <w:rFonts w:hint="eastAsia" w:ascii="宋体" w:hAnsi="宋体" w:eastAsia="宋体" w:cs="宋体"/>
          <w:color w:val="auto"/>
          <w:sz w:val="24"/>
          <w:szCs w:val="24"/>
          <w:lang w:val="en-US" w:eastAsia="zh-CN"/>
        </w:rPr>
        <w:t>SOHO营销中心15楼1509室</w:t>
      </w:r>
    </w:p>
    <w:p w14:paraId="0CE3BB8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s="宋体"/>
          <w:color w:val="auto"/>
          <w:sz w:val="24"/>
          <w:szCs w:val="24"/>
          <w:lang w:eastAsia="zh-CN"/>
        </w:rPr>
        <w:t>刘亚萍</w:t>
      </w:r>
      <w:r>
        <w:rPr>
          <w:rFonts w:hint="eastAsia" w:ascii="宋体" w:hAnsi="宋体" w:eastAsia="宋体" w:cs="宋体"/>
          <w:color w:val="auto"/>
          <w:sz w:val="24"/>
          <w:szCs w:val="24"/>
        </w:rPr>
        <w:t xml:space="preserve">                              </w:t>
      </w:r>
    </w:p>
    <w:p w14:paraId="5FF1314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cs="宋体"/>
          <w:color w:val="auto"/>
          <w:sz w:val="24"/>
          <w:szCs w:val="24"/>
          <w:lang w:eastAsia="zh-CN"/>
        </w:rPr>
        <w:t>15315183185</w:t>
      </w:r>
      <w:r>
        <w:rPr>
          <w:rFonts w:hint="eastAsia" w:ascii="宋体" w:hAnsi="宋体" w:eastAsia="宋体" w:cs="宋体"/>
          <w:color w:val="auto"/>
          <w:sz w:val="24"/>
          <w:szCs w:val="24"/>
        </w:rPr>
        <w:t xml:space="preserve"> </w:t>
      </w:r>
    </w:p>
    <w:p w14:paraId="531DF15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九、重要说明</w:t>
      </w:r>
    </w:p>
    <w:p w14:paraId="2A8E63B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1、</w:t>
      </w:r>
      <w:r>
        <w:rPr>
          <w:rFonts w:hint="eastAsia" w:ascii="宋体" w:hAnsi="宋体" w:eastAsia="宋体" w:cs="宋体"/>
          <w:b/>
          <w:bCs/>
          <w:color w:val="auto"/>
          <w:sz w:val="24"/>
          <w:szCs w:val="24"/>
          <w:shd w:val="clear" w:fill="FFFFFF"/>
          <w:lang w:eastAsia="zh-CN"/>
        </w:rPr>
        <w:t>项目实施</w:t>
      </w:r>
      <w:r>
        <w:rPr>
          <w:rFonts w:hint="eastAsia" w:ascii="宋体" w:hAnsi="宋体" w:eastAsia="宋体" w:cs="宋体"/>
          <w:b/>
          <w:bCs/>
          <w:color w:val="auto"/>
          <w:sz w:val="24"/>
          <w:szCs w:val="24"/>
          <w:shd w:val="clear" w:fill="FFFFFF"/>
        </w:rPr>
        <w:t>期间的地方关系协调由成交单位自行处理。</w:t>
      </w:r>
    </w:p>
    <w:p w14:paraId="7D3B5B71">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文件一经在邹城市外宣网（http://www.mencius.gov.cn/）发布，视作已发放给所有潜在供应商（发布时间即为发出</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文件的时间），各供应商应随时关注项目信息并及时在邹城市外宣网（http://www.mencius.gov.cn/）下载电子版</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文件。否则所造成的一切后果由供应商自负。</w:t>
      </w:r>
    </w:p>
    <w:p w14:paraId="24A2BA71">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3、本项目如有必要澄清和修改需要发布变更公告的，将在本网站及时发布。请各潜在供应商及时关注相关信息。同时，依据相关法律法规规定，变更公告一旦发布即视为以书面形式通知所有潜在供应商。</w:t>
      </w:r>
    </w:p>
    <w:p w14:paraId="2F1CA6B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w:t>
      </w:r>
    </w:p>
    <w:p w14:paraId="59424D1A">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eastAsia="zh-CN"/>
        </w:rPr>
        <w:t>邹城市钢山街道崇义庄村村民委员会</w:t>
      </w:r>
    </w:p>
    <w:p w14:paraId="23DCD26C">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eastAsia="zh-CN"/>
        </w:rPr>
        <w:t>山东阳光正大建设项目管理有限公司</w:t>
      </w:r>
    </w:p>
    <w:p w14:paraId="1D8A4D05">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发布时间：2024年</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日</w:t>
      </w:r>
    </w:p>
    <w:p w14:paraId="44254214">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auto"/>
          <w:kern w:val="0"/>
          <w:sz w:val="24"/>
          <w:highlight w:val="none"/>
          <w:lang w:val="zh-CN"/>
        </w:rPr>
        <w:sectPr>
          <w:footerReference r:id="rId10" w:type="first"/>
          <w:footerReference r:id="rId9" w:type="default"/>
          <w:pgSz w:w="11906" w:h="16838"/>
          <w:pgMar w:top="1134" w:right="1134" w:bottom="1134" w:left="1134" w:header="851" w:footer="851" w:gutter="0"/>
          <w:lnNumType w:countBy="0" w:restart="continuous"/>
          <w:cols w:space="720" w:num="1"/>
          <w:docGrid w:type="lines" w:linePitch="292" w:charSpace="0"/>
        </w:sectPr>
      </w:pPr>
    </w:p>
    <w:p w14:paraId="5998D6A6">
      <w:pPr>
        <w:spacing w:line="560" w:lineRule="exact"/>
        <w:jc w:val="center"/>
        <w:outlineLvl w:val="0"/>
        <w:rPr>
          <w:rFonts w:ascii="宋体" w:hAnsi="宋体" w:cs="宋体"/>
          <w:b/>
          <w:color w:val="auto"/>
          <w:sz w:val="24"/>
          <w:highlight w:val="none"/>
        </w:rPr>
      </w:pPr>
      <w:bookmarkStart w:id="4" w:name="_Toc16898_WPSOffice_Level1"/>
      <w:bookmarkStart w:id="5" w:name="_Toc11659838"/>
      <w:bookmarkStart w:id="6" w:name="_Toc24157"/>
      <w:r>
        <w:rPr>
          <w:rFonts w:ascii="宋体" w:hAnsi="宋体" w:cs="宋体"/>
          <w:b/>
          <w:color w:val="auto"/>
          <w:sz w:val="24"/>
          <w:highlight w:val="none"/>
        </w:rPr>
        <w:t xml:space="preserve">第二部分  </w:t>
      </w:r>
      <w:r>
        <w:rPr>
          <w:rFonts w:hint="eastAsia" w:ascii="宋体" w:hAnsi="宋体" w:cs="宋体"/>
          <w:b/>
          <w:color w:val="auto"/>
          <w:sz w:val="24"/>
          <w:highlight w:val="none"/>
          <w:lang w:eastAsia="zh-CN"/>
        </w:rPr>
        <w:t>供应商</w:t>
      </w:r>
      <w:r>
        <w:rPr>
          <w:rFonts w:ascii="宋体" w:hAnsi="宋体" w:cs="宋体"/>
          <w:b/>
          <w:color w:val="auto"/>
          <w:sz w:val="24"/>
          <w:highlight w:val="none"/>
        </w:rPr>
        <w:t>须知及响应方须知前附表</w:t>
      </w:r>
      <w:bookmarkEnd w:id="4"/>
      <w:bookmarkEnd w:id="5"/>
      <w:bookmarkEnd w:id="6"/>
    </w:p>
    <w:p w14:paraId="331DEABB">
      <w:pPr>
        <w:pStyle w:val="66"/>
        <w:spacing w:before="292" w:beforeLines="100" w:line="560" w:lineRule="exact"/>
        <w:jc w:val="center"/>
        <w:rPr>
          <w:rFonts w:hint="eastAsia" w:hAnsi="宋体" w:cs="宋体"/>
          <w:b/>
          <w:color w:val="auto"/>
          <w:highlight w:val="none"/>
        </w:rPr>
      </w:pPr>
      <w:r>
        <w:rPr>
          <w:rFonts w:hint="eastAsia" w:hAnsi="宋体" w:cs="宋体"/>
          <w:b/>
          <w:color w:val="auto"/>
          <w:highlight w:val="none"/>
        </w:rPr>
        <w:t>一、响应方须知前附表</w:t>
      </w:r>
    </w:p>
    <w:tbl>
      <w:tblPr>
        <w:tblStyle w:val="36"/>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90"/>
        <w:gridCol w:w="7304"/>
      </w:tblGrid>
      <w:tr w14:paraId="1031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E50B88C">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项号</w:t>
            </w:r>
          </w:p>
        </w:tc>
        <w:tc>
          <w:tcPr>
            <w:tcW w:w="1590" w:type="dxa"/>
            <w:noWrap w:val="0"/>
            <w:vAlign w:val="center"/>
          </w:tcPr>
          <w:p w14:paraId="7C772720">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内容</w:t>
            </w:r>
          </w:p>
        </w:tc>
        <w:tc>
          <w:tcPr>
            <w:tcW w:w="7304" w:type="dxa"/>
            <w:noWrap w:val="0"/>
            <w:vAlign w:val="center"/>
          </w:tcPr>
          <w:p w14:paraId="55792FC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说明与要求</w:t>
            </w:r>
          </w:p>
        </w:tc>
      </w:tr>
      <w:tr w14:paraId="6BF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9B92AE3">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1</w:t>
            </w:r>
          </w:p>
        </w:tc>
        <w:tc>
          <w:tcPr>
            <w:tcW w:w="1590" w:type="dxa"/>
            <w:noWrap w:val="0"/>
            <w:vAlign w:val="center"/>
          </w:tcPr>
          <w:p w14:paraId="6104673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项目名称</w:t>
            </w:r>
          </w:p>
        </w:tc>
        <w:tc>
          <w:tcPr>
            <w:tcW w:w="7304" w:type="dxa"/>
            <w:noWrap w:val="0"/>
            <w:vAlign w:val="center"/>
          </w:tcPr>
          <w:p w14:paraId="6B52B207">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邹城市钢山街道办事处崇义家园热力水处理设备采购项目</w:t>
            </w:r>
          </w:p>
        </w:tc>
      </w:tr>
      <w:tr w14:paraId="2B9F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5A3C3E6">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2</w:t>
            </w:r>
          </w:p>
        </w:tc>
        <w:tc>
          <w:tcPr>
            <w:tcW w:w="1590" w:type="dxa"/>
            <w:noWrap w:val="0"/>
            <w:vAlign w:val="center"/>
          </w:tcPr>
          <w:p w14:paraId="25D4207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项目编号</w:t>
            </w:r>
          </w:p>
        </w:tc>
        <w:tc>
          <w:tcPr>
            <w:tcW w:w="7304" w:type="dxa"/>
            <w:noWrap w:val="0"/>
            <w:vAlign w:val="center"/>
          </w:tcPr>
          <w:p w14:paraId="0B205E5D">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eastAsia="zh-CN"/>
              </w:rPr>
              <w:t>YGZD-GSJD2024-0929</w:t>
            </w:r>
          </w:p>
        </w:tc>
      </w:tr>
      <w:tr w14:paraId="2F17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06F6F14">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3</w:t>
            </w:r>
          </w:p>
        </w:tc>
        <w:tc>
          <w:tcPr>
            <w:tcW w:w="1590" w:type="dxa"/>
            <w:noWrap w:val="0"/>
            <w:vAlign w:val="center"/>
          </w:tcPr>
          <w:p w14:paraId="0E65962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宋体" w:cs="宋体"/>
                <w:color w:val="auto"/>
                <w:sz w:val="24"/>
                <w:highlight w:val="none"/>
                <w:lang w:eastAsia="zh-CN"/>
              </w:rPr>
              <w:t>项目</w:t>
            </w:r>
            <w:r>
              <w:rPr>
                <w:rFonts w:ascii="宋体" w:hAnsi="宋体" w:eastAsia="Times New Roman" w:cs="宋体"/>
                <w:color w:val="auto"/>
                <w:sz w:val="24"/>
                <w:highlight w:val="none"/>
              </w:rPr>
              <w:t>地点</w:t>
            </w:r>
          </w:p>
        </w:tc>
        <w:tc>
          <w:tcPr>
            <w:tcW w:w="7304" w:type="dxa"/>
            <w:noWrap w:val="0"/>
            <w:vAlign w:val="center"/>
          </w:tcPr>
          <w:p w14:paraId="0894AD4A">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采购人指定地点</w:t>
            </w:r>
          </w:p>
        </w:tc>
      </w:tr>
      <w:tr w14:paraId="6BE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4C4144D">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4</w:t>
            </w:r>
          </w:p>
        </w:tc>
        <w:tc>
          <w:tcPr>
            <w:tcW w:w="1590" w:type="dxa"/>
            <w:noWrap w:val="0"/>
            <w:vAlign w:val="center"/>
          </w:tcPr>
          <w:p w14:paraId="69E21BEA">
            <w:pPr>
              <w:keepNext w:val="0"/>
              <w:keepLines w:val="0"/>
              <w:suppressLineNumbers w:val="0"/>
              <w:spacing w:before="0" w:beforeAutospacing="0" w:after="0" w:afterAutospacing="0" w:line="560" w:lineRule="exact"/>
              <w:ind w:left="0" w:right="0"/>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供货期</w:t>
            </w:r>
          </w:p>
        </w:tc>
        <w:tc>
          <w:tcPr>
            <w:tcW w:w="7304" w:type="dxa"/>
            <w:noWrap w:val="0"/>
            <w:vAlign w:val="center"/>
          </w:tcPr>
          <w:p w14:paraId="69F8C973">
            <w:pPr>
              <w:keepNext w:val="0"/>
              <w:keepLines w:val="0"/>
              <w:suppressLineNumbers w:val="0"/>
              <w:spacing w:before="0" w:beforeAutospacing="0" w:after="0" w:afterAutospacing="0" w:line="360" w:lineRule="auto"/>
              <w:ind w:left="0" w:right="0"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合同签订后35个日历日内供货并安装完成</w:t>
            </w:r>
          </w:p>
        </w:tc>
      </w:tr>
      <w:tr w14:paraId="2AEF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9A6A0A7">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5</w:t>
            </w:r>
          </w:p>
        </w:tc>
        <w:tc>
          <w:tcPr>
            <w:tcW w:w="1590" w:type="dxa"/>
            <w:noWrap w:val="0"/>
            <w:vAlign w:val="center"/>
          </w:tcPr>
          <w:p w14:paraId="2AF16F10">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质量标准</w:t>
            </w:r>
          </w:p>
        </w:tc>
        <w:tc>
          <w:tcPr>
            <w:tcW w:w="7304" w:type="dxa"/>
            <w:noWrap w:val="0"/>
            <w:vAlign w:val="center"/>
          </w:tcPr>
          <w:p w14:paraId="395296BB">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质量标准</w:t>
            </w:r>
            <w:r>
              <w:rPr>
                <w:rFonts w:hint="eastAsia" w:ascii="宋体" w:hAnsi="宋体" w:eastAsia="宋体" w:cs="宋体"/>
                <w:color w:val="auto"/>
                <w:sz w:val="24"/>
                <w:highlight w:val="none"/>
                <w:lang w:eastAsia="zh-CN"/>
              </w:rPr>
              <w:t>合格</w:t>
            </w:r>
            <w:r>
              <w:rPr>
                <w:rFonts w:hint="eastAsia" w:ascii="宋体" w:hAnsi="宋体" w:cs="宋体"/>
                <w:color w:val="auto"/>
                <w:sz w:val="24"/>
                <w:highlight w:val="none"/>
                <w:lang w:eastAsia="zh-CN"/>
              </w:rPr>
              <w:t>并通过</w:t>
            </w:r>
            <w:r>
              <w:rPr>
                <w:rFonts w:hint="eastAsia" w:ascii="宋体" w:hAnsi="宋体"/>
                <w:color w:val="auto"/>
                <w:sz w:val="24"/>
                <w:highlight w:val="none"/>
                <w:lang w:val="en-US" w:eastAsia="zh-CN"/>
              </w:rPr>
              <w:t>华电邹城热力有限公司的验收</w:t>
            </w:r>
          </w:p>
        </w:tc>
      </w:tr>
      <w:tr w14:paraId="58D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AE36F8">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Times New Roman" w:cs="宋体"/>
                <w:color w:val="auto"/>
                <w:kern w:val="0"/>
                <w:sz w:val="24"/>
                <w:highlight w:val="none"/>
                <w:lang w:bidi="ar"/>
              </w:rPr>
              <w:t>6</w:t>
            </w:r>
          </w:p>
        </w:tc>
        <w:tc>
          <w:tcPr>
            <w:tcW w:w="1590" w:type="dxa"/>
            <w:noWrap w:val="0"/>
            <w:vAlign w:val="center"/>
          </w:tcPr>
          <w:p w14:paraId="3A3B721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采购内容</w:t>
            </w:r>
          </w:p>
        </w:tc>
        <w:tc>
          <w:tcPr>
            <w:tcW w:w="7304" w:type="dxa"/>
            <w:noWrap w:val="0"/>
            <w:vAlign w:val="center"/>
          </w:tcPr>
          <w:p w14:paraId="1090A323">
            <w:pPr>
              <w:pStyle w:val="65"/>
              <w:keepNext w:val="0"/>
              <w:keepLines w:val="0"/>
              <w:suppressLineNumbers w:val="0"/>
              <w:spacing w:before="0" w:beforeAutospacing="0" w:after="0" w:afterAutospacing="0" w:line="560" w:lineRule="exact"/>
              <w:ind w:left="0" w:right="0" w:firstLine="0" w:firstLineChars="0"/>
              <w:rPr>
                <w:rFonts w:ascii="宋体" w:hAnsi="宋体" w:cs="宋体"/>
                <w:bCs/>
                <w:color w:val="auto"/>
                <w:sz w:val="24"/>
                <w:highlight w:val="none"/>
              </w:rPr>
            </w:pPr>
            <w:r>
              <w:rPr>
                <w:rFonts w:ascii="宋体" w:hAnsi="宋体" w:cs="宋体"/>
                <w:bCs/>
                <w:color w:val="auto"/>
                <w:sz w:val="24"/>
                <w:highlight w:val="none"/>
              </w:rPr>
              <w:t>详见第四部分采购内容及要求</w:t>
            </w:r>
          </w:p>
        </w:tc>
      </w:tr>
      <w:tr w14:paraId="022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40B8A55">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Times New Roman" w:cs="宋体"/>
                <w:color w:val="auto"/>
                <w:kern w:val="0"/>
                <w:sz w:val="24"/>
                <w:highlight w:val="none"/>
                <w:lang w:bidi="ar"/>
              </w:rPr>
              <w:t>7</w:t>
            </w:r>
          </w:p>
        </w:tc>
        <w:tc>
          <w:tcPr>
            <w:tcW w:w="1590" w:type="dxa"/>
            <w:noWrap w:val="0"/>
            <w:vAlign w:val="center"/>
          </w:tcPr>
          <w:p w14:paraId="06FA0A04">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付款方式</w:t>
            </w:r>
          </w:p>
        </w:tc>
        <w:tc>
          <w:tcPr>
            <w:tcW w:w="7304" w:type="dxa"/>
            <w:noWrap w:val="0"/>
            <w:vAlign w:val="center"/>
          </w:tcPr>
          <w:p w14:paraId="202102DB">
            <w:pPr>
              <w:keepNext w:val="0"/>
              <w:keepLines w:val="0"/>
              <w:suppressLineNumbers w:val="0"/>
              <w:spacing w:before="0" w:beforeAutospacing="0" w:after="0" w:afterAutospacing="0" w:line="560" w:lineRule="exact"/>
              <w:ind w:left="0" w:right="0"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双方签订采购合同后，甲方支付合同价款的30%为预付款，设备运至甲方指定地点后付至合同价款的80%，设备安装完成并经华电邹城热力有限公司验收合格后付至合同价款的95%，剩余5%为质保金，质保期满后无质量问题无息付清。</w:t>
            </w:r>
          </w:p>
        </w:tc>
      </w:tr>
      <w:tr w14:paraId="31CB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CDF1566">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val="en-US" w:eastAsia="zh-CN" w:bidi="ar"/>
              </w:rPr>
            </w:pPr>
            <w:r>
              <w:rPr>
                <w:rFonts w:hint="eastAsia" w:ascii="宋体" w:hAnsi="宋体" w:eastAsia="Times New Roman" w:cs="宋体"/>
                <w:color w:val="auto"/>
                <w:kern w:val="0"/>
                <w:sz w:val="24"/>
                <w:highlight w:val="none"/>
                <w:lang w:val="en-US" w:eastAsia="zh-CN" w:bidi="ar"/>
              </w:rPr>
              <w:t>8</w:t>
            </w:r>
          </w:p>
        </w:tc>
        <w:tc>
          <w:tcPr>
            <w:tcW w:w="1590" w:type="dxa"/>
            <w:noWrap w:val="0"/>
            <w:vAlign w:val="center"/>
          </w:tcPr>
          <w:p w14:paraId="30EC1113">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eastAsia="zh-CN" w:bidi="ar"/>
              </w:rPr>
            </w:pPr>
            <w:r>
              <w:rPr>
                <w:rFonts w:hint="eastAsia" w:ascii="宋体" w:hAnsi="宋体" w:eastAsia="Times New Roman" w:cs="宋体"/>
                <w:color w:val="auto"/>
                <w:kern w:val="0"/>
                <w:sz w:val="24"/>
                <w:highlight w:val="none"/>
                <w:lang w:eastAsia="zh-CN" w:bidi="ar"/>
              </w:rPr>
              <w:t>免费质保期</w:t>
            </w:r>
          </w:p>
        </w:tc>
        <w:tc>
          <w:tcPr>
            <w:tcW w:w="7304" w:type="dxa"/>
            <w:noWrap w:val="0"/>
            <w:vAlign w:val="center"/>
          </w:tcPr>
          <w:p w14:paraId="5E6A976D">
            <w:pPr>
              <w:keepNext w:val="0"/>
              <w:keepLines w:val="0"/>
              <w:widowControl/>
              <w:suppressLineNumbers w:val="0"/>
              <w:spacing w:before="0" w:beforeAutospacing="0" w:after="0" w:afterAutospacing="0" w:line="560" w:lineRule="exact"/>
              <w:ind w:left="0" w:right="0"/>
              <w:jc w:val="left"/>
              <w:textAlignment w:val="center"/>
              <w:rPr>
                <w:rFonts w:hint="eastAsia" w:ascii="宋体" w:hAnsi="宋体" w:eastAsia="Times New Roman" w:cs="宋体"/>
                <w:color w:val="auto"/>
                <w:kern w:val="0"/>
                <w:sz w:val="24"/>
                <w:highlight w:val="none"/>
                <w:lang w:val="en-US" w:eastAsia="zh-CN" w:bidi="ar"/>
              </w:rPr>
            </w:pPr>
            <w:r>
              <w:rPr>
                <w:rFonts w:hint="eastAsia" w:ascii="宋体" w:hAnsi="宋体"/>
                <w:color w:val="auto"/>
                <w:sz w:val="24"/>
                <w:lang w:val="en-US" w:eastAsia="zh-CN"/>
              </w:rPr>
              <w:t>自供货安装完成并经华电邹城热力有限公司验收合格之日起</w:t>
            </w:r>
            <w:r>
              <w:rPr>
                <w:rFonts w:hint="eastAsia" w:ascii="宋体" w:hAnsi="宋体"/>
                <w:color w:val="auto"/>
                <w:sz w:val="24"/>
              </w:rPr>
              <w:t>，免费质保期</w:t>
            </w:r>
            <w:r>
              <w:rPr>
                <w:rFonts w:hint="eastAsia" w:ascii="宋体" w:hAnsi="宋体"/>
                <w:color w:val="auto"/>
                <w:sz w:val="24"/>
                <w:highlight w:val="none"/>
                <w:lang w:val="en-US" w:eastAsia="zh-CN"/>
              </w:rPr>
              <w:t>1</w:t>
            </w:r>
            <w:r>
              <w:rPr>
                <w:rFonts w:hint="eastAsia" w:ascii="宋体" w:hAnsi="宋体"/>
                <w:color w:val="auto"/>
                <w:sz w:val="24"/>
              </w:rPr>
              <w:t>年</w:t>
            </w:r>
          </w:p>
        </w:tc>
      </w:tr>
      <w:tr w14:paraId="5862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C74D514">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ascii="宋体" w:hAnsi="宋体" w:eastAsia="Times New Roman" w:cs="宋体"/>
                <w:color w:val="auto"/>
                <w:sz w:val="24"/>
                <w:highlight w:val="none"/>
              </w:rPr>
              <w:t>9</w:t>
            </w:r>
          </w:p>
        </w:tc>
        <w:tc>
          <w:tcPr>
            <w:tcW w:w="1590" w:type="dxa"/>
            <w:noWrap w:val="0"/>
            <w:vAlign w:val="center"/>
          </w:tcPr>
          <w:p w14:paraId="40569BD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资格要求</w:t>
            </w:r>
          </w:p>
        </w:tc>
        <w:tc>
          <w:tcPr>
            <w:tcW w:w="7304" w:type="dxa"/>
            <w:noWrap w:val="0"/>
            <w:vAlign w:val="center"/>
          </w:tcPr>
          <w:p w14:paraId="205C6ED6">
            <w:pPr>
              <w:pStyle w:val="33"/>
              <w:keepNext w:val="0"/>
              <w:keepLines w:val="0"/>
              <w:suppressLineNumbers w:val="0"/>
              <w:spacing w:before="0" w:beforeAutospacing="0" w:after="0" w:afterAutospacing="0" w:line="560" w:lineRule="exact"/>
              <w:ind w:left="0" w:right="0"/>
              <w:jc w:val="both"/>
              <w:rPr>
                <w:rFonts w:ascii="宋体" w:hAnsi="宋体" w:cs="宋体"/>
                <w:color w:val="auto"/>
                <w:kern w:val="2"/>
                <w:highlight w:val="none"/>
              </w:rPr>
            </w:pPr>
            <w:r>
              <w:rPr>
                <w:rFonts w:ascii="宋体" w:hAnsi="宋体" w:cs="宋体"/>
                <w:color w:val="auto"/>
                <w:kern w:val="2"/>
                <w:highlight w:val="none"/>
              </w:rPr>
              <w:t>详见</w:t>
            </w:r>
            <w:r>
              <w:rPr>
                <w:rFonts w:hint="eastAsia" w:ascii="宋体" w:hAnsi="宋体" w:cs="宋体"/>
                <w:color w:val="auto"/>
                <w:kern w:val="2"/>
                <w:highlight w:val="none"/>
                <w:lang w:eastAsia="zh-CN"/>
              </w:rPr>
              <w:t>供应商</w:t>
            </w:r>
            <w:r>
              <w:rPr>
                <w:rFonts w:ascii="宋体" w:hAnsi="宋体" w:cs="宋体"/>
                <w:color w:val="auto"/>
                <w:kern w:val="2"/>
                <w:highlight w:val="none"/>
              </w:rPr>
              <w:t>须知三、</w:t>
            </w:r>
            <w:r>
              <w:rPr>
                <w:rFonts w:hint="eastAsia" w:ascii="宋体" w:hAnsi="宋体" w:cs="宋体"/>
                <w:color w:val="auto"/>
                <w:kern w:val="2"/>
                <w:highlight w:val="none"/>
                <w:lang w:eastAsia="zh-CN"/>
              </w:rPr>
              <w:t>供应商</w:t>
            </w:r>
            <w:r>
              <w:rPr>
                <w:rFonts w:ascii="宋体" w:hAnsi="宋体" w:cs="宋体"/>
                <w:color w:val="auto"/>
                <w:kern w:val="2"/>
                <w:highlight w:val="none"/>
              </w:rPr>
              <w:t>应具备的条件</w:t>
            </w:r>
          </w:p>
        </w:tc>
      </w:tr>
      <w:tr w14:paraId="34CC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1398675">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10</w:t>
            </w:r>
          </w:p>
        </w:tc>
        <w:tc>
          <w:tcPr>
            <w:tcW w:w="1590" w:type="dxa"/>
            <w:noWrap w:val="0"/>
            <w:vAlign w:val="center"/>
          </w:tcPr>
          <w:p w14:paraId="5430081E">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资格审查方式</w:t>
            </w:r>
          </w:p>
        </w:tc>
        <w:tc>
          <w:tcPr>
            <w:tcW w:w="7304" w:type="dxa"/>
            <w:noWrap w:val="0"/>
            <w:vAlign w:val="center"/>
          </w:tcPr>
          <w:p w14:paraId="16118757">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资格后审</w:t>
            </w:r>
          </w:p>
        </w:tc>
      </w:tr>
      <w:tr w14:paraId="7B09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2F50C1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11</w:t>
            </w:r>
          </w:p>
        </w:tc>
        <w:tc>
          <w:tcPr>
            <w:tcW w:w="1590" w:type="dxa"/>
            <w:noWrap w:val="0"/>
            <w:vAlign w:val="center"/>
          </w:tcPr>
          <w:p w14:paraId="4081D95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磋商有效期</w:t>
            </w:r>
          </w:p>
        </w:tc>
        <w:tc>
          <w:tcPr>
            <w:tcW w:w="7304" w:type="dxa"/>
            <w:noWrap w:val="0"/>
            <w:vAlign w:val="center"/>
          </w:tcPr>
          <w:p w14:paraId="59D0C46F">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自递交磋商响应文件截止之日起60个日历日</w:t>
            </w:r>
          </w:p>
        </w:tc>
      </w:tr>
      <w:tr w14:paraId="3A40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1F2C24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12</w:t>
            </w:r>
          </w:p>
        </w:tc>
        <w:tc>
          <w:tcPr>
            <w:tcW w:w="1590" w:type="dxa"/>
            <w:noWrap w:val="0"/>
            <w:vAlign w:val="center"/>
          </w:tcPr>
          <w:p w14:paraId="4DBA39C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磋商保证金</w:t>
            </w:r>
          </w:p>
        </w:tc>
        <w:tc>
          <w:tcPr>
            <w:tcW w:w="7304" w:type="dxa"/>
            <w:noWrap w:val="0"/>
            <w:vAlign w:val="center"/>
          </w:tcPr>
          <w:p w14:paraId="592125D6">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1.磋商保证金为人民币：小写：</w:t>
            </w:r>
            <w:r>
              <w:rPr>
                <w:rFonts w:hint="eastAsia" w:ascii="宋体" w:hAnsi="宋体" w:cs="宋体"/>
                <w:color w:val="auto"/>
                <w:sz w:val="24"/>
                <w:szCs w:val="24"/>
                <w:highlight w:val="none"/>
                <w:lang w:val="en-US" w:eastAsia="zh-CN"/>
              </w:rPr>
              <w:t>3400</w:t>
            </w:r>
            <w:r>
              <w:rPr>
                <w:rFonts w:hint="eastAsia" w:ascii="宋体" w:hAnsi="宋体" w:eastAsia="宋体" w:cs="宋体"/>
                <w:color w:val="auto"/>
                <w:sz w:val="24"/>
                <w:szCs w:val="24"/>
                <w:highlight w:val="none"/>
                <w:lang w:eastAsia="zh-CN"/>
              </w:rPr>
              <w:t>.00元，大写：</w:t>
            </w:r>
            <w:r>
              <w:rPr>
                <w:rFonts w:hint="eastAsia" w:ascii="宋体" w:hAnsi="宋体" w:cs="宋体"/>
                <w:color w:val="auto"/>
                <w:sz w:val="24"/>
                <w:szCs w:val="24"/>
                <w:highlight w:val="none"/>
                <w:lang w:eastAsia="zh-CN"/>
              </w:rPr>
              <w:t>叁仟肆佰元</w:t>
            </w:r>
            <w:r>
              <w:rPr>
                <w:rFonts w:hint="eastAsia" w:ascii="宋体" w:hAnsi="宋体" w:eastAsia="宋体" w:cs="宋体"/>
                <w:color w:val="auto"/>
                <w:sz w:val="24"/>
                <w:szCs w:val="24"/>
                <w:lang w:eastAsia="zh-CN"/>
              </w:rPr>
              <w:t>。</w:t>
            </w:r>
          </w:p>
          <w:p w14:paraId="41875F1B">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保证金的形式：电汇或网上银行转账的方式交纳（应从磋商响应方的基本账户一次性汇入指定账户），且从供应商的基本账户转来。其他形式的磋商保证金或非磋商响应方基本账户汇入的磋商保证金视为无效。磋商保证金应当在磋商响应文件递交截止时间前到达指定账户（以实际到账时间为准）。磋商响应方提交磋商保证金时必须计算资金在途时间，由于资金没有及时到账而造成的后果，由磋商响应方自行承担。</w:t>
            </w:r>
          </w:p>
          <w:p w14:paraId="54B4D7C8">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2.磋商保证金应当在磋商响应文件递交截止时间前到达指定账户（以实际到账为准）。</w:t>
            </w:r>
          </w:p>
          <w:p w14:paraId="0F6E717A">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指定帐户：山东阳光正大建设项目管理有限公司</w:t>
            </w:r>
          </w:p>
          <w:p w14:paraId="4BD74512">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开户银行：中国工商银行邹城支行</w:t>
            </w:r>
          </w:p>
          <w:p w14:paraId="7A5ADD3A">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账号：1608003009200400779</w:t>
            </w:r>
          </w:p>
          <w:p w14:paraId="6EFD3730">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DDF3351">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4、有下列情形之一的，磋商保证金可不予退还：</w:t>
            </w:r>
          </w:p>
          <w:p w14:paraId="014CB56F">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（一）供应商在提交响应文件截止时间后撤回响应文件的（已提交响应文件的供应商，在提交最后报价之前，可以根据磋商情况退出磋商。应当退还退出磋商的供应商的磋商保证金。）；</w:t>
            </w:r>
          </w:p>
          <w:p w14:paraId="44E55BCB">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（二）供应商在响应文件中提供虚假材料的；</w:t>
            </w:r>
          </w:p>
          <w:p w14:paraId="13CA5793">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（三）除因不可抗力或磋商文件认可的情形以外，成交供应商不与采购人签订合同的；</w:t>
            </w:r>
          </w:p>
          <w:p w14:paraId="70358EB3">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（四）供应商与采购人、其他供应商或者采购代理机构恶意串通的；</w:t>
            </w:r>
          </w:p>
          <w:p w14:paraId="1158037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hint="eastAsia" w:ascii="宋体" w:hAnsi="宋体" w:eastAsia="宋体" w:cs="宋体"/>
                <w:color w:val="auto"/>
                <w:sz w:val="24"/>
                <w:szCs w:val="24"/>
                <w:lang w:eastAsia="zh-CN"/>
              </w:rPr>
              <w:t>（五）磋商文件规定的其他情形。</w:t>
            </w:r>
          </w:p>
        </w:tc>
      </w:tr>
      <w:tr w14:paraId="42A6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698" w:type="dxa"/>
            <w:noWrap w:val="0"/>
            <w:vAlign w:val="center"/>
          </w:tcPr>
          <w:p w14:paraId="6BCE752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13</w:t>
            </w:r>
          </w:p>
        </w:tc>
        <w:tc>
          <w:tcPr>
            <w:tcW w:w="1590" w:type="dxa"/>
            <w:noWrap w:val="0"/>
            <w:vAlign w:val="center"/>
          </w:tcPr>
          <w:p w14:paraId="5A83F35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响应文件份数及装订要求</w:t>
            </w:r>
          </w:p>
        </w:tc>
        <w:tc>
          <w:tcPr>
            <w:tcW w:w="7304" w:type="dxa"/>
            <w:noWrap w:val="0"/>
            <w:vAlign w:val="center"/>
          </w:tcPr>
          <w:p w14:paraId="57526104">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一份正本，</w:t>
            </w:r>
            <w:r>
              <w:rPr>
                <w:rFonts w:hint="eastAsia" w:ascii="宋体" w:hAnsi="宋体" w:cs="宋体"/>
                <w:color w:val="auto"/>
                <w:sz w:val="24"/>
                <w:highlight w:val="none"/>
                <w:lang w:eastAsia="zh-CN"/>
              </w:rPr>
              <w:t>四</w:t>
            </w:r>
            <w:r>
              <w:rPr>
                <w:rFonts w:ascii="宋体" w:hAnsi="宋体" w:eastAsia="Times New Roman" w:cs="宋体"/>
                <w:color w:val="auto"/>
                <w:sz w:val="24"/>
                <w:highlight w:val="none"/>
              </w:rPr>
              <w:t>份副本。</w:t>
            </w:r>
          </w:p>
          <w:p w14:paraId="070CD61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应按竞争性磋商文件提供的格式胶装成册，响应文件的正本与副本应分别装订成册，响应文件每册均须采用胶装方式装订，注明正副本，装订须牢固不易拆散和换页，不得采用活页方式装订。</w:t>
            </w:r>
          </w:p>
        </w:tc>
      </w:tr>
      <w:tr w14:paraId="404E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4576B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14</w:t>
            </w:r>
          </w:p>
        </w:tc>
        <w:tc>
          <w:tcPr>
            <w:tcW w:w="1590" w:type="dxa"/>
            <w:noWrap w:val="0"/>
            <w:vAlign w:val="center"/>
          </w:tcPr>
          <w:p w14:paraId="43A16A7B">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纸质响应文件的密封</w:t>
            </w:r>
          </w:p>
        </w:tc>
        <w:tc>
          <w:tcPr>
            <w:tcW w:w="7304" w:type="dxa"/>
            <w:noWrap w:val="0"/>
            <w:vAlign w:val="center"/>
          </w:tcPr>
          <w:p w14:paraId="7CD1F50C">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1、密封套应标注项目名称、</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名称等内容，密封套封口处应加盖供应商单位公章或由授权委托人签字。</w:t>
            </w:r>
          </w:p>
          <w:p w14:paraId="46B09376">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2、未按照上述要求密封及未在密封套标注的，其响应文件将均被拒绝。</w:t>
            </w:r>
          </w:p>
        </w:tc>
      </w:tr>
      <w:tr w14:paraId="5E52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8" w:type="dxa"/>
            <w:noWrap w:val="0"/>
            <w:vAlign w:val="center"/>
          </w:tcPr>
          <w:p w14:paraId="517C029E">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15</w:t>
            </w:r>
          </w:p>
        </w:tc>
        <w:tc>
          <w:tcPr>
            <w:tcW w:w="1590" w:type="dxa"/>
            <w:noWrap w:val="0"/>
            <w:vAlign w:val="center"/>
          </w:tcPr>
          <w:p w14:paraId="7044864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响应文件递交地点及截止时间</w:t>
            </w:r>
          </w:p>
        </w:tc>
        <w:tc>
          <w:tcPr>
            <w:tcW w:w="7304" w:type="dxa"/>
            <w:noWrap w:val="0"/>
            <w:vAlign w:val="center"/>
          </w:tcPr>
          <w:p w14:paraId="1E116911">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递交地点：</w:t>
            </w:r>
            <w:r>
              <w:rPr>
                <w:rFonts w:hint="eastAsia" w:ascii="宋体" w:hAnsi="宋体" w:eastAsia="Times New Roman" w:cs="宋体"/>
                <w:color w:val="auto"/>
                <w:sz w:val="24"/>
                <w:highlight w:val="none"/>
                <w:lang w:eastAsia="zh-CN"/>
              </w:rPr>
              <w:t>邹城市钢山街道公共资源交易中心开标室</w:t>
            </w:r>
          </w:p>
          <w:p w14:paraId="4E184329">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截止时间：</w:t>
            </w:r>
            <w:r>
              <w:rPr>
                <w:rFonts w:hint="eastAsia" w:cs="宋体"/>
                <w:color w:val="auto"/>
                <w:sz w:val="24"/>
                <w:szCs w:val="24"/>
                <w:highlight w:val="none"/>
                <w:shd w:val="clear" w:fill="FFFFFF"/>
                <w:lang w:eastAsia="zh-CN"/>
              </w:rPr>
              <w:t>2024年</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月</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日</w:t>
            </w:r>
            <w:r>
              <w:rPr>
                <w:rFonts w:hint="eastAsia" w:cs="宋体"/>
                <w:color w:val="auto"/>
                <w:sz w:val="24"/>
                <w:szCs w:val="24"/>
                <w:highlight w:val="none"/>
                <w:shd w:val="clear" w:fill="FFFFFF"/>
                <w:lang w:val="en-US" w:eastAsia="zh-CN"/>
              </w:rPr>
              <w:t>11</w:t>
            </w:r>
            <w:r>
              <w:rPr>
                <w:rFonts w:hint="eastAsia" w:cs="宋体"/>
                <w:color w:val="auto"/>
                <w:sz w:val="24"/>
                <w:szCs w:val="24"/>
                <w:highlight w:val="none"/>
                <w:shd w:val="clear" w:fill="FFFFFF"/>
                <w:lang w:eastAsia="zh-CN"/>
              </w:rPr>
              <w:t>时</w:t>
            </w:r>
            <w:r>
              <w:rPr>
                <w:rFonts w:hint="eastAsia" w:cs="宋体"/>
                <w:color w:val="auto"/>
                <w:sz w:val="24"/>
                <w:szCs w:val="24"/>
                <w:highlight w:val="none"/>
                <w:shd w:val="clear" w:fill="FFFFFF"/>
                <w:lang w:val="en-US" w:eastAsia="zh-CN"/>
              </w:rPr>
              <w:t>00</w:t>
            </w:r>
            <w:r>
              <w:rPr>
                <w:rFonts w:hint="eastAsia" w:cs="宋体"/>
                <w:color w:val="auto"/>
                <w:sz w:val="24"/>
                <w:szCs w:val="24"/>
                <w:highlight w:val="none"/>
                <w:shd w:val="clear" w:fill="FFFFFF"/>
                <w:lang w:eastAsia="zh-CN"/>
              </w:rPr>
              <w:t>分</w:t>
            </w:r>
          </w:p>
        </w:tc>
      </w:tr>
      <w:tr w14:paraId="762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40AAA90">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16</w:t>
            </w:r>
          </w:p>
        </w:tc>
        <w:tc>
          <w:tcPr>
            <w:tcW w:w="1590" w:type="dxa"/>
            <w:noWrap w:val="0"/>
            <w:vAlign w:val="center"/>
          </w:tcPr>
          <w:p w14:paraId="1E14C847">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磋商时间及地点</w:t>
            </w:r>
          </w:p>
        </w:tc>
        <w:tc>
          <w:tcPr>
            <w:tcW w:w="7304" w:type="dxa"/>
            <w:noWrap w:val="0"/>
            <w:vAlign w:val="center"/>
          </w:tcPr>
          <w:p w14:paraId="038FF1A1">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highlight w:val="none"/>
                <w:lang w:eastAsia="zh-CN"/>
              </w:rPr>
            </w:pPr>
            <w:r>
              <w:rPr>
                <w:rFonts w:ascii="宋体" w:hAnsi="宋体" w:eastAsia="Times New Roman" w:cs="宋体"/>
                <w:color w:val="auto"/>
                <w:sz w:val="24"/>
                <w:highlight w:val="none"/>
              </w:rPr>
              <w:t>磋商时间：</w:t>
            </w:r>
            <w:r>
              <w:rPr>
                <w:rFonts w:hint="eastAsia" w:cs="宋体"/>
                <w:color w:val="auto"/>
                <w:sz w:val="24"/>
                <w:szCs w:val="24"/>
                <w:highlight w:val="none"/>
                <w:shd w:val="clear" w:fill="FFFFFF"/>
                <w:lang w:eastAsia="zh-CN"/>
              </w:rPr>
              <w:t>2024年</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月</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日</w:t>
            </w:r>
            <w:r>
              <w:rPr>
                <w:rFonts w:hint="eastAsia" w:cs="宋体"/>
                <w:color w:val="auto"/>
                <w:sz w:val="24"/>
                <w:szCs w:val="24"/>
                <w:highlight w:val="none"/>
                <w:shd w:val="clear" w:fill="FFFFFF"/>
                <w:lang w:val="en-US" w:eastAsia="zh-CN"/>
              </w:rPr>
              <w:t>11</w:t>
            </w:r>
            <w:r>
              <w:rPr>
                <w:rFonts w:hint="eastAsia" w:cs="宋体"/>
                <w:color w:val="auto"/>
                <w:sz w:val="24"/>
                <w:szCs w:val="24"/>
                <w:highlight w:val="none"/>
                <w:shd w:val="clear" w:fill="FFFFFF"/>
                <w:lang w:eastAsia="zh-CN"/>
              </w:rPr>
              <w:t>时</w:t>
            </w:r>
            <w:r>
              <w:rPr>
                <w:rFonts w:hint="eastAsia" w:cs="宋体"/>
                <w:color w:val="auto"/>
                <w:sz w:val="24"/>
                <w:szCs w:val="24"/>
                <w:highlight w:val="none"/>
                <w:shd w:val="clear" w:fill="FFFFFF"/>
                <w:lang w:val="en-US" w:eastAsia="zh-CN"/>
              </w:rPr>
              <w:t>00</w:t>
            </w:r>
            <w:r>
              <w:rPr>
                <w:rFonts w:hint="eastAsia" w:cs="宋体"/>
                <w:color w:val="auto"/>
                <w:sz w:val="24"/>
                <w:szCs w:val="24"/>
                <w:highlight w:val="none"/>
                <w:shd w:val="clear" w:fill="FFFFFF"/>
                <w:lang w:eastAsia="zh-CN"/>
              </w:rPr>
              <w:t>分</w:t>
            </w:r>
          </w:p>
          <w:p w14:paraId="720A0612">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磋商地点：</w:t>
            </w:r>
            <w:r>
              <w:rPr>
                <w:rFonts w:hint="eastAsia" w:ascii="宋体" w:hAnsi="宋体" w:eastAsia="Times New Roman" w:cs="宋体"/>
                <w:color w:val="auto"/>
                <w:sz w:val="24"/>
                <w:highlight w:val="none"/>
                <w:lang w:eastAsia="zh-CN"/>
              </w:rPr>
              <w:t>邹城市钢山街道公共资源交易中心开标室</w:t>
            </w:r>
          </w:p>
        </w:tc>
      </w:tr>
      <w:tr w14:paraId="196B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06A558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17</w:t>
            </w:r>
          </w:p>
        </w:tc>
        <w:tc>
          <w:tcPr>
            <w:tcW w:w="1590" w:type="dxa"/>
            <w:noWrap w:val="0"/>
            <w:vAlign w:val="center"/>
          </w:tcPr>
          <w:p w14:paraId="1AEE183B">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成交原则</w:t>
            </w:r>
          </w:p>
        </w:tc>
        <w:tc>
          <w:tcPr>
            <w:tcW w:w="7304" w:type="dxa"/>
            <w:noWrap w:val="0"/>
            <w:vAlign w:val="center"/>
          </w:tcPr>
          <w:p w14:paraId="427268E0">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本项目采用综合评分法，是指响应文件满足磋商文件全部实质性要求且按评审因素的量化指标评审得分最高的</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为成交候选</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的评审方法。</w:t>
            </w:r>
          </w:p>
          <w:p w14:paraId="6B318172">
            <w:pPr>
              <w:keepNext w:val="0"/>
              <w:keepLines w:val="0"/>
              <w:suppressLineNumbers w:val="0"/>
              <w:spacing w:before="0" w:beforeAutospacing="0" w:after="0" w:afterAutospacing="0" w:line="560" w:lineRule="exact"/>
              <w:ind w:left="0" w:right="0" w:firstLine="482" w:firstLineChars="200"/>
              <w:rPr>
                <w:rFonts w:ascii="宋体" w:hAnsi="宋体" w:eastAsia="Times New Roman" w:cs="宋体"/>
                <w:color w:val="auto"/>
                <w:sz w:val="24"/>
                <w:highlight w:val="none"/>
              </w:rPr>
            </w:pPr>
            <w:r>
              <w:rPr>
                <w:rFonts w:hint="eastAsia" w:ascii="宋体" w:hAnsi="宋体" w:eastAsia="宋体" w:cs="宋体"/>
                <w:b/>
                <w:bCs/>
                <w:color w:val="auto"/>
                <w:sz w:val="24"/>
                <w:szCs w:val="24"/>
                <w:highlight w:val="none"/>
              </w:rPr>
              <w:t>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ascii="宋体" w:hAnsi="宋体" w:eastAsia="Times New Roman" w:cs="宋体"/>
                <w:color w:val="auto"/>
                <w:sz w:val="24"/>
                <w:highlight w:val="none"/>
              </w:rPr>
              <w:t>。</w:t>
            </w:r>
          </w:p>
        </w:tc>
      </w:tr>
      <w:tr w14:paraId="6F15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0AE7D7D0">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18</w:t>
            </w:r>
          </w:p>
        </w:tc>
        <w:tc>
          <w:tcPr>
            <w:tcW w:w="1590" w:type="dxa"/>
            <w:noWrap w:val="0"/>
            <w:vAlign w:val="center"/>
          </w:tcPr>
          <w:p w14:paraId="4C44F8D2">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磋商采购</w:t>
            </w:r>
          </w:p>
          <w:p w14:paraId="04F61A6E">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预算</w:t>
            </w:r>
            <w:r>
              <w:rPr>
                <w:rFonts w:hint="eastAsia" w:ascii="宋体" w:hAnsi="宋体" w:eastAsia="Times New Roman" w:cs="宋体"/>
                <w:color w:val="auto"/>
                <w:sz w:val="24"/>
                <w:highlight w:val="none"/>
                <w:lang w:eastAsia="zh-CN"/>
              </w:rPr>
              <w:t>及最高限价</w:t>
            </w:r>
          </w:p>
        </w:tc>
        <w:tc>
          <w:tcPr>
            <w:tcW w:w="7304" w:type="dxa"/>
            <w:noWrap w:val="0"/>
            <w:vAlign w:val="center"/>
          </w:tcPr>
          <w:p w14:paraId="18B425F0">
            <w:pPr>
              <w:keepNext w:val="0"/>
              <w:keepLines w:val="0"/>
              <w:suppressLineNumbers w:val="0"/>
              <w:spacing w:before="0" w:beforeAutospacing="0" w:after="0" w:afterAutospacing="0" w:line="560" w:lineRule="exact"/>
              <w:ind w:left="0" w:right="0"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本项目采购预算为：</w:t>
            </w:r>
            <w:r>
              <w:rPr>
                <w:rFonts w:hint="eastAsia" w:ascii="宋体" w:hAnsi="宋体" w:cs="宋体"/>
                <w:b/>
                <w:color w:val="auto"/>
                <w:kern w:val="0"/>
                <w:sz w:val="24"/>
                <w:highlight w:val="none"/>
                <w:lang w:val="en-US" w:eastAsia="zh-CN"/>
              </w:rPr>
              <w:t>17万</w:t>
            </w:r>
            <w:r>
              <w:rPr>
                <w:rFonts w:hint="eastAsia" w:ascii="宋体" w:hAnsi="宋体" w:eastAsia="宋体" w:cs="宋体"/>
                <w:b/>
                <w:color w:val="auto"/>
                <w:kern w:val="0"/>
                <w:sz w:val="24"/>
                <w:highlight w:val="none"/>
                <w:lang w:eastAsia="zh-CN"/>
              </w:rPr>
              <w:t>元</w:t>
            </w:r>
          </w:p>
          <w:p w14:paraId="1CBE6F2D">
            <w:pPr>
              <w:keepNext w:val="0"/>
              <w:keepLines w:val="0"/>
              <w:suppressLineNumbers w:val="0"/>
              <w:spacing w:before="0" w:beforeAutospacing="0" w:after="0" w:afterAutospacing="0" w:line="560" w:lineRule="exact"/>
              <w:ind w:left="0" w:right="0" w:firstLine="482" w:firstLineChars="200"/>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eastAsia="zh-CN"/>
              </w:rPr>
              <w:t>本项目最高限价总价为：</w:t>
            </w:r>
            <w:r>
              <w:rPr>
                <w:rFonts w:hint="eastAsia" w:ascii="宋体" w:hAnsi="宋体" w:cs="宋体"/>
                <w:b/>
                <w:color w:val="auto"/>
                <w:kern w:val="0"/>
                <w:sz w:val="24"/>
                <w:highlight w:val="none"/>
                <w:lang w:val="en-US" w:eastAsia="zh-CN"/>
              </w:rPr>
              <w:t>17万</w:t>
            </w:r>
            <w:r>
              <w:rPr>
                <w:rFonts w:hint="eastAsia" w:ascii="宋体" w:hAnsi="宋体" w:eastAsia="宋体" w:cs="宋体"/>
                <w:b/>
                <w:color w:val="auto"/>
                <w:kern w:val="0"/>
                <w:sz w:val="24"/>
                <w:highlight w:val="none"/>
                <w:lang w:eastAsia="zh-CN"/>
              </w:rPr>
              <w:t>元</w:t>
            </w:r>
            <w:r>
              <w:rPr>
                <w:rFonts w:hint="eastAsia" w:ascii="宋体" w:hAnsi="宋体" w:eastAsia="宋体" w:cs="宋体"/>
                <w:b/>
                <w:color w:val="auto"/>
                <w:kern w:val="0"/>
                <w:sz w:val="24"/>
                <w:highlight w:val="none"/>
                <w:lang w:val="en-US" w:eastAsia="zh-CN"/>
              </w:rPr>
              <w:t>。</w:t>
            </w:r>
          </w:p>
          <w:p w14:paraId="4FF749AD">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bCs/>
                <w:color w:val="auto"/>
                <w:kern w:val="0"/>
                <w:sz w:val="24"/>
                <w:highlight w:val="none"/>
              </w:rPr>
            </w:pPr>
            <w:r>
              <w:rPr>
                <w:rFonts w:hint="eastAsia" w:ascii="宋体" w:hAnsi="宋体" w:eastAsia="Times New Roman" w:cs="宋体"/>
                <w:bCs/>
                <w:color w:val="auto"/>
                <w:kern w:val="0"/>
                <w:sz w:val="24"/>
                <w:highlight w:val="none"/>
                <w:lang w:eastAsia="zh-CN"/>
              </w:rPr>
              <w:t>供应商</w:t>
            </w:r>
            <w:r>
              <w:rPr>
                <w:rFonts w:ascii="宋体" w:hAnsi="宋体" w:eastAsia="Times New Roman" w:cs="宋体"/>
                <w:bCs/>
                <w:color w:val="auto"/>
                <w:kern w:val="0"/>
                <w:sz w:val="24"/>
                <w:highlight w:val="none"/>
              </w:rPr>
              <w:t>的初次报价</w:t>
            </w:r>
            <w:r>
              <w:rPr>
                <w:rFonts w:hint="eastAsia" w:ascii="宋体" w:hAnsi="宋体" w:eastAsia="Times New Roman" w:cs="宋体"/>
                <w:bCs/>
                <w:color w:val="auto"/>
                <w:kern w:val="0"/>
                <w:sz w:val="24"/>
                <w:highlight w:val="none"/>
                <w:lang w:eastAsia="zh-CN"/>
              </w:rPr>
              <w:t>及</w:t>
            </w:r>
            <w:r>
              <w:rPr>
                <w:rFonts w:ascii="宋体" w:hAnsi="宋体" w:eastAsia="Times New Roman" w:cs="宋体"/>
                <w:bCs/>
                <w:color w:val="auto"/>
                <w:kern w:val="0"/>
                <w:sz w:val="24"/>
                <w:highlight w:val="none"/>
              </w:rPr>
              <w:t>最终报价均不得高于</w:t>
            </w:r>
            <w:r>
              <w:rPr>
                <w:rFonts w:hint="eastAsia" w:ascii="宋体" w:hAnsi="宋体" w:eastAsia="Times New Roman" w:cs="宋体"/>
                <w:bCs/>
                <w:color w:val="auto"/>
                <w:kern w:val="0"/>
                <w:sz w:val="24"/>
                <w:highlight w:val="none"/>
                <w:lang w:eastAsia="zh-CN"/>
              </w:rPr>
              <w:t>最高限价要求</w:t>
            </w:r>
            <w:r>
              <w:rPr>
                <w:rFonts w:ascii="宋体" w:hAnsi="宋体" w:eastAsia="Times New Roman" w:cs="宋体"/>
                <w:bCs/>
                <w:color w:val="auto"/>
                <w:kern w:val="0"/>
                <w:sz w:val="24"/>
                <w:highlight w:val="none"/>
              </w:rPr>
              <w:t>，</w:t>
            </w:r>
            <w:r>
              <w:rPr>
                <w:rFonts w:hint="eastAsia" w:ascii="宋体" w:hAnsi="宋体" w:eastAsia="Times New Roman" w:cs="宋体"/>
                <w:bCs/>
                <w:color w:val="auto"/>
                <w:kern w:val="0"/>
                <w:sz w:val="24"/>
                <w:highlight w:val="none"/>
                <w:lang w:eastAsia="zh-CN"/>
              </w:rPr>
              <w:t>否则，按无效响应文件</w:t>
            </w:r>
            <w:r>
              <w:rPr>
                <w:rFonts w:ascii="宋体" w:hAnsi="宋体" w:eastAsia="Times New Roman" w:cs="宋体"/>
                <w:bCs/>
                <w:color w:val="auto"/>
                <w:kern w:val="0"/>
                <w:sz w:val="24"/>
                <w:highlight w:val="none"/>
              </w:rPr>
              <w:t>处理。</w:t>
            </w:r>
          </w:p>
        </w:tc>
      </w:tr>
      <w:tr w14:paraId="09C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noWrap w:val="0"/>
            <w:vAlign w:val="center"/>
          </w:tcPr>
          <w:p w14:paraId="2057F36A">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宋体" w:cs="宋体"/>
                <w:color w:val="auto"/>
                <w:kern w:val="0"/>
                <w:sz w:val="24"/>
                <w:highlight w:val="none"/>
                <w:lang w:bidi="ar"/>
              </w:rPr>
              <w:t>19</w:t>
            </w:r>
          </w:p>
        </w:tc>
        <w:tc>
          <w:tcPr>
            <w:tcW w:w="1590" w:type="dxa"/>
            <w:noWrap w:val="0"/>
            <w:vAlign w:val="center"/>
          </w:tcPr>
          <w:p w14:paraId="58884FD9">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质疑投诉内容</w:t>
            </w:r>
          </w:p>
        </w:tc>
        <w:tc>
          <w:tcPr>
            <w:tcW w:w="7304" w:type="dxa"/>
            <w:noWrap w:val="0"/>
            <w:vAlign w:val="center"/>
          </w:tcPr>
          <w:p w14:paraId="3659E00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根据《政府采购法实施条例》第二十条规定：采购人或者采购代理机构有下列情形之一的，属于以不合理的条件对供应商实行差别待遇或者歧视待遇：潜在供应商（供应商）可向有关部门提起质疑、投诉：</w:t>
            </w:r>
          </w:p>
          <w:p w14:paraId="1693D92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（一）就同一采购项目向供应商提供有差别的项目信息；</w:t>
            </w:r>
          </w:p>
          <w:p w14:paraId="01FCC3A4">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（二）设定的资格、技术、商务条件与采购项目的具体特点和实际需要不相适应或者与合同履行无关；</w:t>
            </w:r>
          </w:p>
          <w:p w14:paraId="15B367C8">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（三）采购需求中的技术、服务等要求指向特定供应商、特定产品；</w:t>
            </w:r>
          </w:p>
          <w:p w14:paraId="2D1304ED">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（四）以特定行政区域或者特定行业的业绩、奖项作为加分条件或者中标、成交条件；</w:t>
            </w:r>
          </w:p>
          <w:p w14:paraId="5786578E">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（五）对供应商采取不同的资格审查或者评审标准；</w:t>
            </w:r>
          </w:p>
          <w:p w14:paraId="2349C7F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（六）限定或者指定特定的专利、商标、品牌或者供应商；</w:t>
            </w:r>
          </w:p>
          <w:p w14:paraId="54866B35">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（七）非法限定供应商的所有制形式、组织形式或者所在地；</w:t>
            </w:r>
          </w:p>
          <w:p w14:paraId="667053D3">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（八）以其他不合理条件限制或者排斥潜在供应商。</w:t>
            </w:r>
          </w:p>
        </w:tc>
      </w:tr>
      <w:tr w14:paraId="6E6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14:paraId="1158FDFB">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p>
        </w:tc>
        <w:tc>
          <w:tcPr>
            <w:tcW w:w="1590" w:type="dxa"/>
            <w:noWrap w:val="0"/>
            <w:vAlign w:val="center"/>
          </w:tcPr>
          <w:p w14:paraId="2054B4D9">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质疑方式及电话</w:t>
            </w:r>
          </w:p>
        </w:tc>
        <w:tc>
          <w:tcPr>
            <w:tcW w:w="7304" w:type="dxa"/>
            <w:noWrap w:val="0"/>
            <w:vAlign w:val="center"/>
          </w:tcPr>
          <w:p w14:paraId="1D4D0D4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1.采购人信息 </w:t>
            </w:r>
          </w:p>
          <w:p w14:paraId="04E72A6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名  称：</w:t>
            </w:r>
            <w:r>
              <w:rPr>
                <w:rFonts w:hint="eastAsia" w:ascii="宋体" w:hAnsi="宋体" w:cs="宋体"/>
                <w:color w:val="auto"/>
                <w:sz w:val="24"/>
                <w:highlight w:val="none"/>
                <w:u w:val="none"/>
                <w:lang w:eastAsia="zh-CN"/>
              </w:rPr>
              <w:t>邹城市钢山街道崇义庄村村民委员会</w:t>
            </w:r>
            <w:r>
              <w:rPr>
                <w:rFonts w:hint="eastAsia" w:ascii="宋体" w:hAnsi="宋体" w:eastAsia="Times New Roman" w:cs="宋体"/>
                <w:color w:val="auto"/>
                <w:sz w:val="24"/>
                <w:highlight w:val="none"/>
                <w:u w:val="none"/>
              </w:rPr>
              <w:t xml:space="preserve">     </w:t>
            </w:r>
          </w:p>
          <w:p w14:paraId="0CA4C394">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w:t>
            </w:r>
            <w:r>
              <w:rPr>
                <w:rFonts w:hint="eastAsia" w:ascii="宋体" w:hAnsi="宋体" w:eastAsia="宋体" w:cs="宋体"/>
                <w:color w:val="auto"/>
                <w:sz w:val="24"/>
                <w:highlight w:val="none"/>
                <w:u w:val="none"/>
                <w:lang w:eastAsia="zh-CN"/>
              </w:rPr>
              <w:t>邹城市崇义家园</w:t>
            </w:r>
            <w:r>
              <w:rPr>
                <w:rFonts w:hint="eastAsia" w:ascii="宋体" w:hAnsi="宋体" w:eastAsia="Times New Roman" w:cs="宋体"/>
                <w:color w:val="auto"/>
                <w:sz w:val="24"/>
                <w:highlight w:val="none"/>
                <w:u w:val="none"/>
              </w:rPr>
              <w:t xml:space="preserve"> </w:t>
            </w:r>
          </w:p>
          <w:p w14:paraId="59A72F88">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联系人：</w:t>
            </w:r>
            <w:r>
              <w:rPr>
                <w:rFonts w:hint="eastAsia" w:ascii="宋体" w:hAnsi="宋体" w:eastAsia="宋体" w:cs="宋体"/>
                <w:color w:val="auto"/>
                <w:sz w:val="24"/>
                <w:highlight w:val="none"/>
                <w:u w:val="none"/>
                <w:lang w:eastAsia="zh-CN"/>
              </w:rPr>
              <w:t>侯主任</w:t>
            </w:r>
            <w:r>
              <w:rPr>
                <w:rFonts w:hint="eastAsia" w:ascii="宋体" w:hAnsi="宋体" w:eastAsia="Times New Roman" w:cs="宋体"/>
                <w:color w:val="auto"/>
                <w:sz w:val="24"/>
                <w:highlight w:val="none"/>
                <w:u w:val="none"/>
              </w:rPr>
              <w:t xml:space="preserve">                                 </w:t>
            </w:r>
          </w:p>
          <w:p w14:paraId="341B42B2">
            <w:pPr>
              <w:keepNext w:val="0"/>
              <w:keepLines w:val="0"/>
              <w:suppressLineNumbers w:val="0"/>
              <w:spacing w:before="0" w:beforeAutospacing="0" w:after="0" w:afterAutospacing="0" w:line="560" w:lineRule="exact"/>
              <w:ind w:left="0" w:right="0" w:firstLine="480" w:firstLineChars="200"/>
              <w:rPr>
                <w:rFonts w:hint="eastAsia" w:ascii="宋体" w:hAnsi="宋体" w:eastAsia="宋体" w:cs="宋体"/>
                <w:color w:val="auto"/>
                <w:sz w:val="24"/>
                <w:highlight w:val="none"/>
                <w:u w:val="none"/>
                <w:lang w:eastAsia="zh-CN"/>
              </w:rPr>
            </w:pPr>
            <w:r>
              <w:rPr>
                <w:rFonts w:hint="eastAsia" w:ascii="宋体" w:hAnsi="宋体" w:eastAsia="Times New Roman" w:cs="宋体"/>
                <w:color w:val="auto"/>
                <w:sz w:val="24"/>
                <w:highlight w:val="none"/>
                <w:u w:val="none"/>
              </w:rPr>
              <w:t>电  话：</w:t>
            </w:r>
            <w:r>
              <w:rPr>
                <w:rFonts w:hint="eastAsia" w:ascii="宋体" w:hAnsi="宋体" w:eastAsia="宋体" w:cs="宋体"/>
                <w:color w:val="auto"/>
                <w:sz w:val="24"/>
                <w:highlight w:val="none"/>
                <w:u w:val="none"/>
                <w:lang w:eastAsia="zh-CN"/>
              </w:rPr>
              <w:t>13153709768</w:t>
            </w:r>
          </w:p>
          <w:p w14:paraId="126B4C6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2.采购代理机构信息 </w:t>
            </w:r>
          </w:p>
          <w:p w14:paraId="5B5E42C1">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代理机构：</w:t>
            </w:r>
            <w:r>
              <w:rPr>
                <w:rFonts w:hint="eastAsia" w:ascii="宋体" w:hAnsi="宋体" w:eastAsia="宋体" w:cs="宋体"/>
                <w:color w:val="auto"/>
                <w:sz w:val="24"/>
                <w:highlight w:val="none"/>
                <w:u w:val="none"/>
                <w:lang w:eastAsia="zh-CN"/>
              </w:rPr>
              <w:t>山东阳光正大建设项目管理有限公司</w:t>
            </w:r>
            <w:r>
              <w:rPr>
                <w:rFonts w:hint="eastAsia" w:ascii="宋体" w:hAnsi="宋体" w:eastAsia="Times New Roman" w:cs="宋体"/>
                <w:color w:val="auto"/>
                <w:sz w:val="24"/>
                <w:highlight w:val="none"/>
                <w:u w:val="none"/>
              </w:rPr>
              <w:t xml:space="preserve">       </w:t>
            </w:r>
          </w:p>
          <w:p w14:paraId="6C9C47D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w:t>
            </w:r>
            <w:r>
              <w:rPr>
                <w:rFonts w:hint="eastAsia" w:ascii="宋体" w:hAnsi="宋体" w:eastAsia="宋体" w:cs="宋体"/>
                <w:color w:val="auto"/>
                <w:sz w:val="24"/>
                <w:szCs w:val="24"/>
                <w:lang w:eastAsia="zh-CN"/>
              </w:rPr>
              <w:t>邹城市齐鲁时代</w:t>
            </w:r>
            <w:r>
              <w:rPr>
                <w:rFonts w:hint="eastAsia" w:ascii="宋体" w:hAnsi="宋体" w:eastAsia="宋体" w:cs="宋体"/>
                <w:color w:val="auto"/>
                <w:sz w:val="24"/>
                <w:szCs w:val="24"/>
                <w:lang w:val="en-US" w:eastAsia="zh-CN"/>
              </w:rPr>
              <w:t>SOHO营销中心15楼1509室</w:t>
            </w:r>
          </w:p>
          <w:p w14:paraId="52AC85AE">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联 系 人：</w:t>
            </w:r>
            <w:r>
              <w:rPr>
                <w:rFonts w:hint="eastAsia" w:ascii="宋体" w:hAnsi="宋体" w:eastAsia="宋体" w:cs="宋体"/>
                <w:color w:val="auto"/>
                <w:sz w:val="24"/>
                <w:highlight w:val="none"/>
                <w:u w:val="none"/>
                <w:lang w:eastAsia="zh-CN"/>
              </w:rPr>
              <w:t>刘亚萍</w:t>
            </w:r>
            <w:r>
              <w:rPr>
                <w:rFonts w:hint="eastAsia" w:ascii="宋体" w:hAnsi="宋体" w:eastAsia="Times New Roman" w:cs="宋体"/>
                <w:color w:val="auto"/>
                <w:sz w:val="24"/>
                <w:highlight w:val="none"/>
                <w:u w:val="none"/>
              </w:rPr>
              <w:t xml:space="preserve">                              </w:t>
            </w:r>
          </w:p>
          <w:p w14:paraId="78D5672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联系方式：</w:t>
            </w:r>
            <w:r>
              <w:rPr>
                <w:rFonts w:hint="eastAsia" w:ascii="宋体" w:hAnsi="宋体" w:eastAsia="宋体" w:cs="宋体"/>
                <w:color w:val="auto"/>
                <w:sz w:val="24"/>
                <w:highlight w:val="none"/>
                <w:u w:val="none"/>
                <w:lang w:eastAsia="zh-CN"/>
              </w:rPr>
              <w:t>15315183185</w:t>
            </w:r>
            <w:r>
              <w:rPr>
                <w:rFonts w:hint="eastAsia" w:ascii="宋体" w:hAnsi="宋体" w:eastAsia="Times New Roman" w:cs="宋体"/>
                <w:color w:val="auto"/>
                <w:sz w:val="24"/>
                <w:highlight w:val="none"/>
                <w:u w:val="none"/>
              </w:rPr>
              <w:t xml:space="preserve"> </w:t>
            </w:r>
          </w:p>
          <w:p w14:paraId="629E5880">
            <w:pPr>
              <w:keepNext w:val="0"/>
              <w:keepLines w:val="0"/>
              <w:suppressLineNumbers w:val="0"/>
              <w:spacing w:before="0" w:beforeAutospacing="0" w:after="0" w:afterAutospacing="0" w:line="560" w:lineRule="exact"/>
              <w:ind w:left="0" w:right="0" w:firstLine="480" w:firstLineChars="200"/>
              <w:rPr>
                <w:rFonts w:ascii="Times New Roman" w:hAnsi="Times New Roman" w:eastAsia="Times New Roman" w:cs="Times New Roman"/>
                <w:color w:val="auto"/>
                <w:highlight w:val="none"/>
              </w:rPr>
            </w:pPr>
            <w:r>
              <w:rPr>
                <w:rFonts w:ascii="宋体" w:hAnsi="宋体" w:eastAsia="Times New Roman" w:cs="宋体"/>
                <w:color w:val="auto"/>
                <w:sz w:val="24"/>
                <w:highlight w:val="none"/>
                <w:u w:val="none"/>
              </w:rPr>
              <w:fldChar w:fldCharType="begin"/>
            </w:r>
            <w:r>
              <w:rPr>
                <w:rFonts w:ascii="宋体" w:hAnsi="宋体" w:eastAsia="Times New Roman" w:cs="宋体"/>
                <w:color w:val="auto"/>
                <w:sz w:val="24"/>
                <w:highlight w:val="none"/>
                <w:u w:val="none"/>
              </w:rPr>
              <w:instrText xml:space="preserve"> HYPERLINK "mailto:所有质疑以书面形式递交，同时发邮件至tqzcxmb@163.com" </w:instrText>
            </w:r>
            <w:r>
              <w:rPr>
                <w:rFonts w:ascii="宋体" w:hAnsi="宋体" w:eastAsia="Times New Roman" w:cs="宋体"/>
                <w:color w:val="auto"/>
                <w:sz w:val="24"/>
                <w:highlight w:val="none"/>
                <w:u w:val="none"/>
              </w:rPr>
              <w:fldChar w:fldCharType="separate"/>
            </w:r>
            <w:r>
              <w:rPr>
                <w:rStyle w:val="43"/>
                <w:rFonts w:ascii="宋体" w:hAnsi="宋体" w:cs="宋体"/>
                <w:color w:val="auto"/>
                <w:sz w:val="24"/>
                <w:szCs w:val="24"/>
                <w:highlight w:val="none"/>
                <w:u w:val="none"/>
              </w:rPr>
              <w:t>所有质疑以书面形式递交，同时发邮件至</w:t>
            </w:r>
            <w:r>
              <w:rPr>
                <w:rStyle w:val="43"/>
                <w:rFonts w:hint="eastAsia" w:ascii="宋体" w:hAnsi="宋体" w:cs="宋体"/>
                <w:color w:val="auto"/>
                <w:sz w:val="24"/>
                <w:szCs w:val="24"/>
                <w:highlight w:val="none"/>
                <w:u w:val="none"/>
                <w:lang w:eastAsia="zh-CN"/>
              </w:rPr>
              <w:t>sdygzdjnfgs@163.com</w:t>
            </w:r>
            <w:r>
              <w:rPr>
                <w:rFonts w:ascii="宋体" w:hAnsi="宋体" w:eastAsia="Times New Roman" w:cs="宋体"/>
                <w:color w:val="auto"/>
                <w:sz w:val="24"/>
                <w:highlight w:val="none"/>
                <w:u w:val="none"/>
              </w:rPr>
              <w:fldChar w:fldCharType="end"/>
            </w:r>
          </w:p>
        </w:tc>
      </w:tr>
      <w:tr w14:paraId="7D1F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8EFC759">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20</w:t>
            </w:r>
          </w:p>
        </w:tc>
        <w:tc>
          <w:tcPr>
            <w:tcW w:w="1590" w:type="dxa"/>
            <w:noWrap w:val="0"/>
            <w:vAlign w:val="center"/>
          </w:tcPr>
          <w:p w14:paraId="211FCAD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代理服务费</w:t>
            </w:r>
          </w:p>
        </w:tc>
        <w:tc>
          <w:tcPr>
            <w:tcW w:w="7304"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02F56AD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ascii="宋体" w:hAnsi="宋体" w:eastAsia="Times New Roman" w:cs="宋体"/>
                <w:color w:val="auto"/>
                <w:sz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w:t>
            </w:r>
            <w:r>
              <w:rPr>
                <w:rFonts w:hint="eastAsia" w:ascii="宋体" w:hAnsi="宋体" w:cs="宋体"/>
                <w:color w:val="auto"/>
                <w:sz w:val="24"/>
                <w:szCs w:val="24"/>
                <w:highlight w:val="none"/>
                <w:lang w:val="en-US" w:eastAsia="zh-CN"/>
              </w:rPr>
              <w:t>2550.00元，</w:t>
            </w:r>
            <w:r>
              <w:rPr>
                <w:rFonts w:hint="eastAsia" w:ascii="宋体" w:hAnsi="宋体" w:eastAsia="宋体" w:cs="宋体"/>
                <w:color w:val="auto"/>
                <w:sz w:val="24"/>
                <w:szCs w:val="24"/>
                <w:highlight w:val="none"/>
              </w:rPr>
              <w:t>成交通知书发出前，成交人从其账户一次性汇入代理机构指定账户。</w:t>
            </w:r>
          </w:p>
        </w:tc>
      </w:tr>
    </w:tbl>
    <w:p w14:paraId="078B10E6">
      <w:pPr>
        <w:keepNext w:val="0"/>
        <w:keepLines w:val="0"/>
        <w:pageBreakBefore w:val="0"/>
        <w:tabs>
          <w:tab w:val="left" w:pos="315"/>
        </w:tabs>
        <w:kinsoku/>
        <w:wordWrap/>
        <w:overflowPunct/>
        <w:topLinePunct w:val="0"/>
        <w:bidi w:val="0"/>
        <w:adjustRightInd/>
        <w:spacing w:line="360" w:lineRule="auto"/>
        <w:jc w:val="center"/>
        <w:textAlignment w:val="auto"/>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二、</w:t>
      </w:r>
      <w:r>
        <w:rPr>
          <w:rFonts w:hint="eastAsia" w:ascii="宋体" w:hAnsi="宋体" w:cs="宋体"/>
          <w:b/>
          <w:color w:val="auto"/>
          <w:sz w:val="24"/>
          <w:highlight w:val="none"/>
          <w:lang w:eastAsia="zh-CN"/>
        </w:rPr>
        <w:t>供应商</w:t>
      </w:r>
      <w:r>
        <w:rPr>
          <w:rFonts w:ascii="宋体" w:hAnsi="宋体" w:cs="宋体"/>
          <w:b/>
          <w:color w:val="auto"/>
          <w:sz w:val="24"/>
          <w:highlight w:val="none"/>
        </w:rPr>
        <w:t>须知</w:t>
      </w:r>
    </w:p>
    <w:p w14:paraId="6A0EF923">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一、适用范围：</w:t>
      </w:r>
    </w:p>
    <w:p w14:paraId="1975C5A8">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本磋商文件仅适用于</w:t>
      </w:r>
      <w:r>
        <w:rPr>
          <w:rFonts w:hint="eastAsia" w:ascii="宋体" w:hAnsi="宋体" w:cs="宋体"/>
          <w:color w:val="auto"/>
          <w:sz w:val="24"/>
          <w:highlight w:val="none"/>
          <w:lang w:eastAsia="zh-CN"/>
        </w:rPr>
        <w:t>邹城市钢山街道办事处崇义家园热力水处理设备采购项目</w:t>
      </w:r>
      <w:r>
        <w:rPr>
          <w:rFonts w:ascii="宋体" w:hAnsi="宋体" w:cs="宋体"/>
          <w:color w:val="auto"/>
          <w:sz w:val="24"/>
          <w:highlight w:val="none"/>
        </w:rPr>
        <w:t>竞争性磋商项目。</w:t>
      </w:r>
    </w:p>
    <w:p w14:paraId="7360C45E">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二、定义：</w:t>
      </w:r>
    </w:p>
    <w:p w14:paraId="2EBB5DB5">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1、“采购人”系指：</w:t>
      </w:r>
      <w:r>
        <w:rPr>
          <w:rFonts w:hint="eastAsia" w:ascii="宋体" w:hAnsi="宋体" w:cs="宋体"/>
          <w:color w:val="auto"/>
          <w:sz w:val="24"/>
          <w:highlight w:val="none"/>
          <w:lang w:eastAsia="zh-CN"/>
        </w:rPr>
        <w:t>邹城市钢山街道崇义庄村村民委员会</w:t>
      </w:r>
      <w:r>
        <w:rPr>
          <w:rFonts w:ascii="宋体" w:hAnsi="宋体" w:cs="宋体"/>
          <w:color w:val="auto"/>
          <w:sz w:val="24"/>
          <w:highlight w:val="none"/>
        </w:rPr>
        <w:t>；</w:t>
      </w:r>
    </w:p>
    <w:p w14:paraId="624D60F0">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2、“代理机构”系指：</w:t>
      </w:r>
      <w:r>
        <w:rPr>
          <w:rFonts w:hint="eastAsia" w:ascii="宋体" w:hAnsi="宋体" w:cs="宋体"/>
          <w:color w:val="auto"/>
          <w:sz w:val="24"/>
          <w:highlight w:val="none"/>
          <w:lang w:eastAsia="zh-CN"/>
        </w:rPr>
        <w:t>山东阳光正大建设项目管理有限公司</w:t>
      </w:r>
      <w:r>
        <w:rPr>
          <w:rFonts w:ascii="宋体" w:hAnsi="宋体" w:cs="宋体"/>
          <w:color w:val="auto"/>
          <w:sz w:val="24"/>
          <w:highlight w:val="none"/>
        </w:rPr>
        <w:t>；</w:t>
      </w:r>
    </w:p>
    <w:p w14:paraId="156F0489">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供应商</w:t>
      </w:r>
      <w:r>
        <w:rPr>
          <w:rFonts w:ascii="宋体" w:hAnsi="宋体" w:cs="宋体"/>
          <w:color w:val="auto"/>
          <w:sz w:val="24"/>
          <w:highlight w:val="none"/>
        </w:rPr>
        <w:t>”系指参与磋商并向采购人提交磋商响应文件的组织；</w:t>
      </w:r>
    </w:p>
    <w:p w14:paraId="6660FB5E">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4、“成交供应商”系指经法定程序确定并授予合同的</w:t>
      </w:r>
      <w:r>
        <w:rPr>
          <w:rFonts w:hint="eastAsia" w:ascii="宋体" w:hAnsi="宋体" w:cs="宋体"/>
          <w:color w:val="auto"/>
          <w:sz w:val="24"/>
          <w:highlight w:val="none"/>
          <w:lang w:eastAsia="zh-CN"/>
        </w:rPr>
        <w:t>供应商</w:t>
      </w:r>
      <w:r>
        <w:rPr>
          <w:rFonts w:ascii="宋体" w:hAnsi="宋体" w:cs="宋体"/>
          <w:color w:val="auto"/>
          <w:sz w:val="24"/>
          <w:highlight w:val="none"/>
        </w:rPr>
        <w:t>。</w:t>
      </w:r>
    </w:p>
    <w:p w14:paraId="2510CC3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lang w:eastAsia="zh-CN"/>
        </w:rPr>
        <w:t>供应商</w:t>
      </w:r>
      <w:r>
        <w:rPr>
          <w:rFonts w:ascii="宋体" w:hAnsi="宋体" w:cs="宋体"/>
          <w:b/>
          <w:color w:val="auto"/>
          <w:sz w:val="24"/>
          <w:highlight w:val="none"/>
        </w:rPr>
        <w:t>应具备的条件：</w:t>
      </w:r>
    </w:p>
    <w:p w14:paraId="11ED27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1.满足《中华人民共和国政府采购法》第二十二条规定； </w:t>
      </w:r>
    </w:p>
    <w:p w14:paraId="5E000A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（1）、在中华人民共和国注册的、具有独立承担民事责任能力的法人【提供营业执照副本复印件、组织机构代码证副本复印件、税务登记证副本复印件或改革后的“三证合一”或“多证合一”营业执照复印件；</w:t>
      </w:r>
      <w:r>
        <w:rPr>
          <w:rFonts w:ascii="宋体" w:hAnsi="宋体" w:cs="宋体"/>
          <w:bCs/>
          <w:color w:val="auto"/>
          <w:sz w:val="24"/>
          <w:highlight w:val="none"/>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auto"/>
          <w:sz w:val="24"/>
          <w:szCs w:val="24"/>
          <w:highlight w:val="none"/>
        </w:rPr>
        <w:t>分支机构</w:t>
      </w:r>
      <w:r>
        <w:rPr>
          <w:rFonts w:hint="eastAsia" w:ascii="宋体" w:hAnsi="宋体" w:cs="宋体"/>
          <w:bCs/>
          <w:color w:val="auto"/>
          <w:sz w:val="24"/>
          <w:highlight w:val="none"/>
          <w:lang w:eastAsia="zh-CN"/>
        </w:rPr>
        <w:t>参与磋商的，</w:t>
      </w:r>
      <w:r>
        <w:rPr>
          <w:rFonts w:hint="eastAsia" w:ascii="宋体" w:hAnsi="宋体" w:eastAsia="宋体" w:cs="宋体"/>
          <w:i w:val="0"/>
          <w:iCs w:val="0"/>
          <w:color w:val="auto"/>
          <w:sz w:val="24"/>
          <w:szCs w:val="24"/>
          <w:highlight w:val="none"/>
        </w:rPr>
        <w:t>采购文件中涉及要求提供“法定代表人”相关证明材料的，提供分支机构“负责人”的相关证明材料】</w:t>
      </w:r>
      <w:r>
        <w:rPr>
          <w:rFonts w:hint="eastAsia" w:ascii="宋体" w:hAnsi="宋体" w:eastAsia="宋体" w:cs="宋体"/>
          <w:i w:val="0"/>
          <w:iCs w:val="0"/>
          <w:color w:val="auto"/>
          <w:sz w:val="24"/>
          <w:szCs w:val="24"/>
          <w:highlight w:val="none"/>
          <w:lang w:eastAsia="zh-CN"/>
        </w:rPr>
        <w:t>；</w:t>
      </w:r>
    </w:p>
    <w:p w14:paraId="56265F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（2）、具有良好的商业信誉和健全的财务会计制度【</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6CF03B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（3）、具有依法缴纳税收和社会保障资金的良好记录【</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54F6BB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（4）、参加政府采购活动前三年内，在经营活动中没有重大违法记录【</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01D175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具有履行合同所必需的设备和专业技术能力【</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具有履行合同所必需的设备和专业技术能力告知承诺书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3DC027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2.落实政府采购政策需满足的资格要求：</w:t>
      </w:r>
    </w:p>
    <w:p w14:paraId="26A7DB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2.1、单位负责人为同一人或者存在直接控股、管理关系的不同供应商，不得同时参加本项目的磋商</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供应商无需提供任何证明材料，不存在此情形即可</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w:t>
      </w:r>
    </w:p>
    <w:p w14:paraId="58346C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cs="宋体"/>
          <w:i w:val="0"/>
          <w:iCs w:val="0"/>
          <w:color w:val="auto"/>
          <w:sz w:val="24"/>
          <w:szCs w:val="24"/>
          <w:highlight w:val="none"/>
          <w:lang w:eastAsia="zh-CN"/>
        </w:rPr>
        <w:t>供应商无需提供任何证明材料，不存在此情形即可</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w:t>
      </w:r>
    </w:p>
    <w:p w14:paraId="225347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3.本项目的特定资格要求：</w:t>
      </w:r>
    </w:p>
    <w:p w14:paraId="27E845E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cs="宋体"/>
          <w:i w:val="0"/>
          <w:iCs w:val="0"/>
          <w:color w:val="auto"/>
          <w:kern w:val="0"/>
          <w:sz w:val="24"/>
          <w:szCs w:val="24"/>
          <w:lang w:val="en-US" w:eastAsia="zh-CN" w:bidi="ar"/>
        </w:rPr>
      </w:pPr>
      <w:r>
        <w:rPr>
          <w:rFonts w:hint="eastAsia" w:cs="宋体"/>
          <w:i w:val="0"/>
          <w:iCs w:val="0"/>
          <w:color w:val="auto"/>
          <w:kern w:val="0"/>
          <w:sz w:val="24"/>
          <w:szCs w:val="24"/>
          <w:lang w:val="en-US" w:eastAsia="zh-CN" w:bidi="ar"/>
        </w:rPr>
        <w:t>无</w:t>
      </w:r>
    </w:p>
    <w:p w14:paraId="31C32A42">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在递交响应文件时需同时提供：</w:t>
      </w:r>
    </w:p>
    <w:p w14:paraId="4EC4F59C">
      <w:pPr>
        <w:pStyle w:val="11"/>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1）本单位营业执照副本（加盖公章的复印件）、（2）法定代表人身份证明原件（如有授权代表人，须同时提供法定代表人身份证明和授权委托书）、（3）缴纳税收和社会保障资金等证明告知承诺书原件、（4）磋商保证金缴纳凭证、(5)具有履行合同所必需的设备和专业技术能力承诺书原件。</w:t>
      </w:r>
    </w:p>
    <w:p w14:paraId="5D2828C0">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auto"/>
          <w:sz w:val="24"/>
          <w:highlight w:val="none"/>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r>
        <w:rPr>
          <w:rFonts w:ascii="宋体" w:hAnsi="宋体" w:cs="宋体"/>
          <w:b/>
          <w:bCs/>
          <w:color w:val="auto"/>
          <w:sz w:val="24"/>
          <w:highlight w:val="none"/>
        </w:rPr>
        <w:t>。</w:t>
      </w:r>
    </w:p>
    <w:p w14:paraId="73E986FC">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四、竞争性磋商文件的组成：</w:t>
      </w:r>
    </w:p>
    <w:p w14:paraId="6926927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本竞争性磋商文件由以下内容组成：</w:t>
      </w:r>
    </w:p>
    <w:p w14:paraId="22A2F90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1、竞争性磋商公告；</w:t>
      </w:r>
    </w:p>
    <w:p w14:paraId="7C6156F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须知及响应方须知前附表；</w:t>
      </w:r>
    </w:p>
    <w:p w14:paraId="2841766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3、磋商组织、步骤与评审方法；</w:t>
      </w:r>
    </w:p>
    <w:p w14:paraId="2A41F1C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4、采购内容及要求；</w:t>
      </w:r>
    </w:p>
    <w:p w14:paraId="05E4714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5、合同授予；</w:t>
      </w:r>
    </w:p>
    <w:p w14:paraId="426366E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6、响应文件部分格式。</w:t>
      </w:r>
    </w:p>
    <w:p w14:paraId="085EB972">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五、磋商文件的澄清、修改、补充</w:t>
      </w:r>
    </w:p>
    <w:p w14:paraId="1683C758">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3403ED45">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2、提交磋商响应文件截止时间前，采购人可以对磋商文件进行必要的澄清和修改，在邹城市外宣网(http://w.mencius.gov.cn/index.php)上予以公告。如果采购人对</w:t>
      </w:r>
      <w:r>
        <w:rPr>
          <w:rFonts w:hint="eastAsia" w:ascii="宋体" w:hAnsi="宋体" w:cs="宋体"/>
          <w:color w:val="auto"/>
          <w:sz w:val="24"/>
          <w:highlight w:val="none"/>
          <w:lang w:eastAsia="zh-CN"/>
        </w:rPr>
        <w:t>采购文件的</w:t>
      </w:r>
      <w:r>
        <w:rPr>
          <w:rFonts w:ascii="宋体" w:hAnsi="宋体" w:cs="宋体"/>
          <w:color w:val="auto"/>
          <w:sz w:val="24"/>
          <w:highlight w:val="none"/>
        </w:rPr>
        <w:t>澄清或者修改的内容可能影响响应文件编制的，应在提交磋商响应文件截止时间</w:t>
      </w:r>
      <w:r>
        <w:rPr>
          <w:rFonts w:hint="eastAsia" w:ascii="宋体" w:hAnsi="宋体" w:cs="宋体"/>
          <w:color w:val="auto"/>
          <w:sz w:val="24"/>
          <w:highlight w:val="none"/>
          <w:lang w:val="en-US" w:eastAsia="zh-CN"/>
        </w:rPr>
        <w:t>3个工作日</w:t>
      </w:r>
      <w:r>
        <w:rPr>
          <w:rFonts w:ascii="宋体" w:hAnsi="宋体" w:cs="宋体"/>
          <w:color w:val="auto"/>
          <w:sz w:val="24"/>
          <w:highlight w:val="none"/>
        </w:rPr>
        <w:t>前发出公告</w:t>
      </w:r>
      <w:r>
        <w:rPr>
          <w:rFonts w:hint="eastAsia" w:ascii="宋体" w:hAnsi="宋体" w:cs="宋体"/>
          <w:color w:val="auto"/>
          <w:sz w:val="24"/>
          <w:highlight w:val="none"/>
          <w:lang w:eastAsia="zh-CN"/>
        </w:rPr>
        <w:t>，</w:t>
      </w:r>
      <w:r>
        <w:rPr>
          <w:rFonts w:hint="eastAsia" w:ascii="宋体" w:hAnsi="宋体" w:cs="宋体"/>
          <w:color w:val="auto"/>
          <w:sz w:val="24"/>
        </w:rPr>
        <w:t>不足</w:t>
      </w:r>
      <w:r>
        <w:rPr>
          <w:rFonts w:hint="eastAsia" w:ascii="宋体" w:hAnsi="宋体" w:cs="宋体"/>
          <w:color w:val="auto"/>
          <w:sz w:val="24"/>
          <w:lang w:val="en-US" w:eastAsia="zh-CN"/>
        </w:rPr>
        <w:t>3个工作</w:t>
      </w:r>
      <w:r>
        <w:rPr>
          <w:rFonts w:hint="eastAsia" w:ascii="宋体" w:hAnsi="宋体" w:cs="宋体"/>
          <w:color w:val="auto"/>
          <w:sz w:val="24"/>
        </w:rPr>
        <w:t>日的，采购人、采购代理机构应当顺延提交响应文件截止时间。</w:t>
      </w:r>
      <w:r>
        <w:rPr>
          <w:rFonts w:ascii="宋体" w:hAnsi="宋体" w:cs="宋体"/>
          <w:color w:val="auto"/>
          <w:sz w:val="24"/>
          <w:highlight w:val="none"/>
        </w:rPr>
        <w:t>澄清和修改的内容将构成磋商文件的组成部分。</w:t>
      </w:r>
    </w:p>
    <w:p w14:paraId="2D2269FE">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磋商文件的澄清、修改、补充一经在邹城市外宣网(http://w.mencius.gov.cn/index.php)上发布，视作已发放给所有各潜在供应商（发布时间即为送达各潜在供应商的时间），各潜在供应商应随时关注本项目信息并及时在邹城市外宣网下载相关资料，否则所造成的一切后果由各潜在供应商自负。</w:t>
      </w:r>
    </w:p>
    <w:p w14:paraId="162E4F95">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w:t>
      </w:r>
      <w:r>
        <w:rPr>
          <w:rFonts w:ascii="宋体" w:hAnsi="宋体" w:cs="宋体"/>
          <w:bCs/>
          <w:color w:val="auto"/>
          <w:sz w:val="24"/>
          <w:highlight w:val="none"/>
        </w:rPr>
        <w:t>文件</w:t>
      </w:r>
      <w:r>
        <w:rPr>
          <w:rFonts w:ascii="宋体" w:hAnsi="宋体" w:cs="宋体"/>
          <w:color w:val="auto"/>
          <w:sz w:val="24"/>
          <w:highlight w:val="none"/>
        </w:rPr>
        <w:t>的澄清、修改、补充等内容均以公告明确的内容为准。当磋商文件的澄清、修改、补充等在同一内容的表述上不一致时，以最后发出的公告文件为准。</w:t>
      </w:r>
    </w:p>
    <w:p w14:paraId="51319AA6">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六、磋商响应文件的编写及递交：</w:t>
      </w:r>
    </w:p>
    <w:p w14:paraId="5E647A0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供应商</w:t>
      </w:r>
      <w:r>
        <w:rPr>
          <w:rFonts w:ascii="宋体" w:hAnsi="宋体" w:cs="宋体"/>
          <w:color w:val="auto"/>
          <w:sz w:val="24"/>
          <w:highlight w:val="none"/>
        </w:rPr>
        <w:t>应按磋商文件的要求准备磋商响应文件，并保证所提供全部资料的真实性、准确性及完整性，并对磋商文件做出实质性响应。</w:t>
      </w:r>
    </w:p>
    <w:p w14:paraId="3E0B315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（一）磋商响应文件的组成：</w:t>
      </w:r>
    </w:p>
    <w:p w14:paraId="6444E1B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1、价格部分</w:t>
      </w:r>
    </w:p>
    <w:p w14:paraId="259ED7F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4C6EF04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1DC3EBB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2、技术部分</w:t>
      </w:r>
    </w:p>
    <w:p w14:paraId="1996BCC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2.1</w:t>
      </w:r>
      <w:r>
        <w:rPr>
          <w:rFonts w:hint="eastAsia" w:hAnsi="宋体" w:cs="宋体"/>
          <w:bCs/>
          <w:sz w:val="24"/>
          <w:lang w:val="en-US" w:eastAsia="zh-CN"/>
        </w:rPr>
        <w:t>总体方案</w:t>
      </w:r>
      <w:r>
        <w:rPr>
          <w:rFonts w:hint="eastAsia" w:ascii="宋体" w:hAnsi="宋体" w:cs="宋体"/>
          <w:color w:val="auto"/>
          <w:sz w:val="24"/>
          <w:highlight w:val="none"/>
        </w:rPr>
        <w:t>；</w:t>
      </w:r>
      <w:r>
        <w:rPr>
          <w:rFonts w:hint="eastAsia" w:hAnsi="宋体" w:cs="宋体"/>
          <w:bCs/>
          <w:sz w:val="24"/>
        </w:rPr>
        <w:t>货物综合性能</w:t>
      </w:r>
      <w:r>
        <w:rPr>
          <w:rFonts w:hint="eastAsia" w:ascii="宋体" w:hAnsi="宋体" w:cs="宋体"/>
          <w:color w:val="auto"/>
          <w:sz w:val="24"/>
          <w:highlight w:val="none"/>
        </w:rPr>
        <w:t>；</w:t>
      </w:r>
      <w:r>
        <w:rPr>
          <w:rFonts w:hint="eastAsia" w:hAnsi="宋体"/>
          <w:sz w:val="24"/>
        </w:rPr>
        <w:t>售后服务承诺</w:t>
      </w:r>
      <w:r>
        <w:rPr>
          <w:rFonts w:hint="eastAsia" w:hAnsi="宋体"/>
          <w:sz w:val="24"/>
          <w:lang w:eastAsia="zh-CN"/>
        </w:rPr>
        <w:t>；</w:t>
      </w:r>
      <w:r>
        <w:rPr>
          <w:rFonts w:hint="eastAsia" w:ascii="宋体" w:hAnsi="宋体" w:cs="宋体"/>
          <w:bCs/>
          <w:color w:val="000000"/>
          <w:sz w:val="24"/>
        </w:rPr>
        <w:t>供货方案</w:t>
      </w:r>
    </w:p>
    <w:p w14:paraId="14DA20C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79A460C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3、商务部分</w:t>
      </w:r>
    </w:p>
    <w:p w14:paraId="2F9020B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lang w:eastAsia="zh-CN"/>
        </w:rPr>
        <w:t>供应商</w:t>
      </w:r>
      <w:r>
        <w:rPr>
          <w:rFonts w:ascii="宋体" w:hAnsi="宋体" w:cs="宋体"/>
          <w:color w:val="auto"/>
          <w:sz w:val="24"/>
          <w:highlight w:val="none"/>
        </w:rPr>
        <w:t>声明函</w:t>
      </w:r>
    </w:p>
    <w:p w14:paraId="3935944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3.2营业执照副本</w:t>
      </w:r>
    </w:p>
    <w:p w14:paraId="7A376CD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法定代表人身份证明及授权委托书</w:t>
      </w:r>
    </w:p>
    <w:p w14:paraId="54483C8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3.4 缴纳税收和社会保障资金等证明告知承诺书</w:t>
      </w:r>
    </w:p>
    <w:p w14:paraId="2A2F27A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商务得分一览表</w:t>
      </w:r>
    </w:p>
    <w:p w14:paraId="3138525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ascii="宋体" w:hAnsi="宋体" w:cs="宋体"/>
          <w:color w:val="auto"/>
          <w:sz w:val="24"/>
          <w:highlight w:val="none"/>
        </w:rPr>
        <w:t>采购人要求</w:t>
      </w:r>
      <w:r>
        <w:rPr>
          <w:rFonts w:hint="eastAsia" w:ascii="宋体" w:hAnsi="宋体" w:cs="宋体"/>
          <w:color w:val="auto"/>
          <w:sz w:val="24"/>
          <w:highlight w:val="none"/>
          <w:lang w:eastAsia="zh-CN"/>
        </w:rPr>
        <w:t>供应商</w:t>
      </w:r>
      <w:r>
        <w:rPr>
          <w:rFonts w:ascii="宋体" w:hAnsi="宋体" w:cs="宋体"/>
          <w:color w:val="auto"/>
          <w:sz w:val="24"/>
          <w:highlight w:val="none"/>
        </w:rPr>
        <w:t>递交的其他资格审查材料</w:t>
      </w:r>
    </w:p>
    <w:p w14:paraId="019EA13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4、其他部分</w:t>
      </w:r>
    </w:p>
    <w:p w14:paraId="5D2F29F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认为需要提供的其他材料</w:t>
      </w:r>
    </w:p>
    <w:p w14:paraId="0756977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（二）磋商响应文件的密封和标记：</w:t>
      </w:r>
    </w:p>
    <w:p w14:paraId="6815163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1、磋商响应文件需逐页加盖</w:t>
      </w:r>
      <w:r>
        <w:rPr>
          <w:rFonts w:hint="eastAsia" w:ascii="宋体" w:hAnsi="宋体" w:cs="宋体"/>
          <w:color w:val="auto"/>
          <w:sz w:val="24"/>
          <w:highlight w:val="none"/>
          <w:lang w:eastAsia="zh-CN"/>
        </w:rPr>
        <w:t>供应商</w:t>
      </w:r>
      <w:r>
        <w:rPr>
          <w:rFonts w:ascii="宋体" w:hAnsi="宋体" w:cs="宋体"/>
          <w:color w:val="auto"/>
          <w:sz w:val="24"/>
          <w:highlight w:val="none"/>
        </w:rPr>
        <w:t>公章并装订成册；</w:t>
      </w:r>
    </w:p>
    <w:p w14:paraId="37AB0A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应准备磋商响应文件</w:t>
      </w:r>
      <w:r>
        <w:rPr>
          <w:rFonts w:hint="eastAsia" w:ascii="宋体" w:hAnsi="宋体" w:cs="宋体"/>
          <w:color w:val="auto"/>
          <w:sz w:val="24"/>
          <w:highlight w:val="none"/>
          <w:lang w:eastAsia="zh-CN"/>
        </w:rPr>
        <w:t>五</w:t>
      </w:r>
      <w:r>
        <w:rPr>
          <w:rFonts w:ascii="宋体" w:hAnsi="宋体" w:cs="宋体"/>
          <w:color w:val="auto"/>
          <w:sz w:val="24"/>
          <w:highlight w:val="none"/>
        </w:rPr>
        <w:t>份，一份正本和</w:t>
      </w:r>
      <w:r>
        <w:rPr>
          <w:rFonts w:hint="eastAsia" w:ascii="宋体" w:hAnsi="宋体" w:cs="宋体"/>
          <w:color w:val="auto"/>
          <w:sz w:val="24"/>
          <w:highlight w:val="none"/>
          <w:lang w:eastAsia="zh-CN"/>
        </w:rPr>
        <w:t>四</w:t>
      </w:r>
      <w:r>
        <w:rPr>
          <w:rFonts w:ascii="宋体" w:hAnsi="宋体" w:cs="宋体"/>
          <w:color w:val="auto"/>
          <w:sz w:val="24"/>
          <w:highlight w:val="none"/>
        </w:rPr>
        <w:t>份副本。在每一份磋商响应文件上要明确注明“正本”或“副本”字样，一旦正本和副本有差异，以正本为准；</w:t>
      </w:r>
    </w:p>
    <w:p w14:paraId="196BA8A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 3、</w:t>
      </w:r>
      <w:r>
        <w:rPr>
          <w:rFonts w:hint="eastAsia" w:ascii="宋体" w:hAnsi="宋体" w:cs="宋体"/>
          <w:color w:val="auto"/>
          <w:sz w:val="24"/>
          <w:highlight w:val="none"/>
          <w:lang w:eastAsia="zh-CN"/>
        </w:rPr>
        <w:t>供应商</w:t>
      </w:r>
      <w:r>
        <w:rPr>
          <w:rFonts w:ascii="宋体" w:hAnsi="宋体" w:cs="宋体"/>
          <w:color w:val="auto"/>
          <w:sz w:val="24"/>
          <w:highlight w:val="none"/>
        </w:rPr>
        <w:t>应将磋商响应文件密封，并在密封袋的封口处加盖</w:t>
      </w:r>
      <w:r>
        <w:rPr>
          <w:rFonts w:hint="eastAsia" w:ascii="宋体" w:hAnsi="宋体" w:cs="宋体"/>
          <w:color w:val="auto"/>
          <w:sz w:val="24"/>
          <w:highlight w:val="none"/>
          <w:lang w:eastAsia="zh-CN"/>
        </w:rPr>
        <w:t>供应商</w:t>
      </w:r>
      <w:r>
        <w:rPr>
          <w:rFonts w:ascii="宋体" w:hAnsi="宋体" w:cs="宋体"/>
          <w:color w:val="auto"/>
          <w:sz w:val="24"/>
          <w:highlight w:val="none"/>
        </w:rPr>
        <w:t>印章或由授权代表签字。未按本条要求密封的磋商响应文件将被拒绝接收。</w:t>
      </w:r>
    </w:p>
    <w:p w14:paraId="4033AA4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（三）磋商响应文件的递交：</w:t>
      </w:r>
    </w:p>
    <w:p w14:paraId="6C8452D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 磋商响应文件应于</w:t>
      </w:r>
      <w:r>
        <w:rPr>
          <w:rFonts w:hint="eastAsia" w:cs="宋体"/>
          <w:color w:val="auto"/>
          <w:sz w:val="24"/>
          <w:szCs w:val="24"/>
          <w:highlight w:val="none"/>
          <w:shd w:val="clear" w:fill="FFFFFF"/>
          <w:lang w:eastAsia="zh-CN"/>
        </w:rPr>
        <w:t>2024年</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月</w:t>
      </w:r>
      <w:r>
        <w:rPr>
          <w:rFonts w:hint="eastAsia" w:cs="宋体"/>
          <w:color w:val="auto"/>
          <w:sz w:val="24"/>
          <w:szCs w:val="24"/>
          <w:highlight w:val="none"/>
          <w:shd w:val="clear" w:fill="FFFFFF"/>
          <w:lang w:val="en-US" w:eastAsia="zh-CN"/>
        </w:rPr>
        <w:t>10</w:t>
      </w:r>
      <w:r>
        <w:rPr>
          <w:rFonts w:hint="eastAsia" w:cs="宋体"/>
          <w:color w:val="auto"/>
          <w:sz w:val="24"/>
          <w:szCs w:val="24"/>
          <w:highlight w:val="none"/>
          <w:shd w:val="clear" w:fill="FFFFFF"/>
          <w:lang w:eastAsia="zh-CN"/>
        </w:rPr>
        <w:t>日</w:t>
      </w:r>
      <w:r>
        <w:rPr>
          <w:rFonts w:hint="eastAsia" w:cs="宋体"/>
          <w:color w:val="auto"/>
          <w:sz w:val="24"/>
          <w:szCs w:val="24"/>
          <w:highlight w:val="none"/>
          <w:shd w:val="clear" w:fill="FFFFFF"/>
          <w:lang w:val="en-US" w:eastAsia="zh-CN"/>
        </w:rPr>
        <w:t>11</w:t>
      </w:r>
      <w:r>
        <w:rPr>
          <w:rFonts w:hint="eastAsia" w:cs="宋体"/>
          <w:color w:val="auto"/>
          <w:sz w:val="24"/>
          <w:szCs w:val="24"/>
          <w:highlight w:val="none"/>
          <w:shd w:val="clear" w:fill="FFFFFF"/>
          <w:lang w:eastAsia="zh-CN"/>
        </w:rPr>
        <w:t>时</w:t>
      </w:r>
      <w:r>
        <w:rPr>
          <w:rFonts w:hint="eastAsia" w:cs="宋体"/>
          <w:color w:val="auto"/>
          <w:sz w:val="24"/>
          <w:szCs w:val="24"/>
          <w:highlight w:val="none"/>
          <w:shd w:val="clear" w:fill="FFFFFF"/>
          <w:lang w:val="en-US" w:eastAsia="zh-CN"/>
        </w:rPr>
        <w:t>00</w:t>
      </w:r>
      <w:r>
        <w:rPr>
          <w:rFonts w:hint="eastAsia" w:cs="宋体"/>
          <w:color w:val="auto"/>
          <w:sz w:val="24"/>
          <w:szCs w:val="24"/>
          <w:highlight w:val="none"/>
          <w:shd w:val="clear" w:fill="FFFFFF"/>
          <w:lang w:eastAsia="zh-CN"/>
        </w:rPr>
        <w:t>分</w:t>
      </w:r>
      <w:r>
        <w:rPr>
          <w:rFonts w:ascii="宋体" w:hAnsi="宋体" w:cs="宋体"/>
          <w:color w:val="auto"/>
          <w:sz w:val="24"/>
          <w:highlight w:val="none"/>
        </w:rPr>
        <w:t>前递交至</w:t>
      </w:r>
      <w:r>
        <w:rPr>
          <w:rFonts w:hint="eastAsia" w:ascii="宋体" w:hAnsi="宋体" w:cs="宋体"/>
          <w:color w:val="auto"/>
          <w:sz w:val="24"/>
          <w:highlight w:val="none"/>
          <w:lang w:eastAsia="zh-CN"/>
        </w:rPr>
        <w:t>邹城市钢山街道公共资源交易中心开标室</w:t>
      </w:r>
      <w:r>
        <w:rPr>
          <w:rFonts w:ascii="宋体" w:hAnsi="宋体" w:cs="宋体"/>
          <w:color w:val="auto"/>
          <w:sz w:val="24"/>
          <w:highlight w:val="none"/>
        </w:rPr>
        <w:t>。</w:t>
      </w:r>
    </w:p>
    <w:p w14:paraId="5EEE52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2、递交磋商响应文件时，</w:t>
      </w:r>
      <w:r>
        <w:rPr>
          <w:rFonts w:hint="eastAsia" w:ascii="宋体" w:hAnsi="宋体" w:cs="宋体"/>
          <w:color w:val="auto"/>
          <w:sz w:val="24"/>
          <w:highlight w:val="none"/>
          <w:lang w:eastAsia="zh-CN"/>
        </w:rPr>
        <w:t>供应商</w:t>
      </w:r>
      <w:r>
        <w:rPr>
          <w:rFonts w:ascii="宋体" w:hAnsi="宋体" w:cs="宋体"/>
          <w:color w:val="auto"/>
          <w:sz w:val="24"/>
          <w:highlight w:val="none"/>
        </w:rPr>
        <w:t>如出现以下情况，磋商响应文件将被拒绝。</w:t>
      </w:r>
    </w:p>
    <w:p w14:paraId="428054E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（1）逾期送达或未送达指定地点的磋商响应文件。</w:t>
      </w:r>
    </w:p>
    <w:p w14:paraId="49DA305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以传真、电子邮件方式递交磋商响应文件。</w:t>
      </w:r>
    </w:p>
    <w:p w14:paraId="7A5702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（3）磋商响应文件未按磋商文件要求密封的。</w:t>
      </w:r>
    </w:p>
    <w:p w14:paraId="1AD0CBB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3、对</w:t>
      </w:r>
      <w:r>
        <w:rPr>
          <w:rFonts w:hint="eastAsia" w:ascii="宋体" w:hAnsi="宋体" w:cs="宋体"/>
          <w:color w:val="auto"/>
          <w:sz w:val="24"/>
          <w:highlight w:val="none"/>
          <w:lang w:eastAsia="zh-CN"/>
        </w:rPr>
        <w:t>供应商</w:t>
      </w:r>
      <w:r>
        <w:rPr>
          <w:rFonts w:ascii="宋体" w:hAnsi="宋体" w:cs="宋体"/>
          <w:color w:val="auto"/>
          <w:sz w:val="24"/>
          <w:highlight w:val="none"/>
        </w:rPr>
        <w:t>的磋商响应文件、材料不予退还。</w:t>
      </w:r>
    </w:p>
    <w:p w14:paraId="10D4793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ascii="宋体" w:hAnsi="宋体" w:cs="宋体"/>
          <w:color w:val="auto"/>
          <w:sz w:val="24"/>
          <w:highlight w:val="none"/>
        </w:rPr>
        <w:t>1、报价币种为人民币元；</w:t>
      </w:r>
      <w:r>
        <w:rPr>
          <w:rFonts w:hint="eastAsia" w:ascii="宋体" w:hAnsi="宋体" w:cs="黑体"/>
          <w:b/>
          <w:bCs/>
          <w:color w:val="auto"/>
          <w:kern w:val="0"/>
          <w:sz w:val="24"/>
        </w:rPr>
        <w:t>本项目采用固定含税全费用综合单价合同形式。</w:t>
      </w:r>
    </w:p>
    <w:p w14:paraId="78C34485">
      <w:pPr>
        <w:keepNext w:val="0"/>
        <w:keepLines w:val="0"/>
        <w:pageBreakBefore w:val="0"/>
        <w:kinsoku/>
        <w:wordWrap/>
        <w:overflowPunct/>
        <w:topLinePunct w:val="0"/>
        <w:bidi w:val="0"/>
        <w:adjustRightInd/>
        <w:spacing w:line="360" w:lineRule="auto"/>
        <w:ind w:firstLine="468"/>
        <w:textAlignment w:val="auto"/>
        <w:rPr>
          <w:rFonts w:ascii="宋体" w:hAnsi="宋体" w:cs="宋体"/>
          <w:color w:val="auto"/>
          <w:sz w:val="24"/>
          <w:highlight w:val="none"/>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w:t>
      </w:r>
      <w:r>
        <w:rPr>
          <w:rFonts w:hint="eastAsia" w:ascii="宋体" w:hAnsi="宋体" w:cs="黑体"/>
          <w:b/>
          <w:bCs/>
          <w:color w:val="auto"/>
          <w:kern w:val="0"/>
          <w:sz w:val="24"/>
          <w:lang w:eastAsia="zh-CN"/>
        </w:rPr>
        <w:t>采购</w:t>
      </w:r>
      <w:r>
        <w:rPr>
          <w:rFonts w:hint="eastAsia" w:ascii="宋体" w:hAnsi="宋体" w:cs="黑体"/>
          <w:b/>
          <w:bCs/>
          <w:color w:val="auto"/>
          <w:kern w:val="0"/>
          <w:sz w:val="24"/>
        </w:rPr>
        <w:t>清单逐项填报单价和合价，并以此汇总计算总价，供应商的报价包括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b/>
          <w:color w:val="auto"/>
          <w:sz w:val="24"/>
          <w:szCs w:val="24"/>
        </w:rPr>
        <w:t>。</w:t>
      </w:r>
    </w:p>
    <w:p w14:paraId="4B22766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2、如果报价表大写金额与小写金额不一致，以大写的金额为准；</w:t>
      </w:r>
    </w:p>
    <w:p w14:paraId="73592CA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3、供应商应提供分项单价和总价，如总价金额与按单价汇总金额不一致的以单价金额计算结果为准，单价金额小数点有明显错位的应以总价为准，并修改单价；</w:t>
      </w:r>
    </w:p>
    <w:p w14:paraId="09E3A75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eastAsia="zh-CN"/>
        </w:rPr>
        <w:t>供应商</w:t>
      </w:r>
      <w:r>
        <w:rPr>
          <w:rFonts w:ascii="宋体" w:hAnsi="宋体" w:cs="宋体"/>
          <w:color w:val="auto"/>
          <w:sz w:val="24"/>
          <w:highlight w:val="none"/>
        </w:rPr>
        <w:t>免费提供的项目应先填写该项目的实际价格并注明免费，此项不计入总价或合计价。</w:t>
      </w:r>
    </w:p>
    <w:p w14:paraId="46DB9F8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b/>
          <w:color w:val="auto"/>
          <w:sz w:val="24"/>
          <w:highlight w:val="none"/>
          <w:lang w:eastAsia="zh-CN"/>
        </w:rPr>
      </w:pPr>
      <w:r>
        <w:rPr>
          <w:rFonts w:ascii="宋体" w:hAnsi="宋体" w:cs="宋体"/>
          <w:color w:val="auto"/>
          <w:sz w:val="24"/>
          <w:highlight w:val="none"/>
        </w:rPr>
        <w:t>5、</w:t>
      </w:r>
      <w:r>
        <w:rPr>
          <w:rFonts w:hint="eastAsia" w:ascii="宋体" w:hAnsi="宋体" w:cs="宋体"/>
          <w:b/>
          <w:color w:val="auto"/>
          <w:sz w:val="24"/>
          <w:highlight w:val="none"/>
          <w:lang w:eastAsia="zh-CN"/>
        </w:rPr>
        <w:t>供应商</w:t>
      </w:r>
      <w:r>
        <w:rPr>
          <w:rFonts w:ascii="宋体" w:hAnsi="宋体" w:cs="宋体"/>
          <w:b/>
          <w:color w:val="auto"/>
          <w:sz w:val="24"/>
          <w:highlight w:val="none"/>
        </w:rPr>
        <w:t>的初次报价</w:t>
      </w:r>
      <w:r>
        <w:rPr>
          <w:rFonts w:hint="eastAsia" w:ascii="宋体" w:hAnsi="宋体" w:cs="宋体"/>
          <w:b/>
          <w:color w:val="auto"/>
          <w:sz w:val="24"/>
          <w:highlight w:val="none"/>
          <w:lang w:eastAsia="zh-CN"/>
        </w:rPr>
        <w:t>的单价和总计及</w:t>
      </w:r>
      <w:r>
        <w:rPr>
          <w:rFonts w:ascii="宋体" w:hAnsi="宋体" w:cs="宋体"/>
          <w:b/>
          <w:color w:val="auto"/>
          <w:sz w:val="24"/>
          <w:highlight w:val="none"/>
        </w:rPr>
        <w:t>最终报价</w:t>
      </w:r>
      <w:r>
        <w:rPr>
          <w:rFonts w:hint="eastAsia" w:ascii="宋体" w:hAnsi="宋体" w:cs="宋体"/>
          <w:b/>
          <w:color w:val="auto"/>
          <w:sz w:val="24"/>
          <w:highlight w:val="none"/>
          <w:lang w:eastAsia="zh-CN"/>
        </w:rPr>
        <w:t>的单价和总价</w:t>
      </w:r>
      <w:r>
        <w:rPr>
          <w:rFonts w:ascii="宋体" w:hAnsi="宋体" w:cs="宋体"/>
          <w:b/>
          <w:color w:val="auto"/>
          <w:sz w:val="24"/>
          <w:highlight w:val="none"/>
        </w:rPr>
        <w:t>均不得高于</w:t>
      </w:r>
      <w:r>
        <w:rPr>
          <w:rFonts w:hint="eastAsia" w:ascii="宋体" w:hAnsi="宋体" w:cs="宋体"/>
          <w:b/>
          <w:color w:val="auto"/>
          <w:sz w:val="24"/>
          <w:highlight w:val="none"/>
          <w:lang w:eastAsia="zh-CN"/>
        </w:rPr>
        <w:t>最高限价</w:t>
      </w:r>
      <w:r>
        <w:rPr>
          <w:rFonts w:ascii="宋体" w:hAnsi="宋体" w:cs="宋体"/>
          <w:b/>
          <w:color w:val="auto"/>
          <w:sz w:val="24"/>
          <w:highlight w:val="none"/>
        </w:rPr>
        <w:t>，</w:t>
      </w:r>
      <w:r>
        <w:rPr>
          <w:rFonts w:hint="eastAsia" w:ascii="宋体" w:hAnsi="宋体" w:cs="宋体"/>
          <w:b/>
          <w:color w:val="auto"/>
          <w:sz w:val="24"/>
          <w:highlight w:val="none"/>
          <w:lang w:eastAsia="zh-CN"/>
        </w:rPr>
        <w:t>供应商</w:t>
      </w:r>
      <w:r>
        <w:rPr>
          <w:rFonts w:ascii="宋体" w:hAnsi="宋体" w:cs="宋体"/>
          <w:b/>
          <w:color w:val="auto"/>
          <w:sz w:val="24"/>
          <w:highlight w:val="none"/>
        </w:rPr>
        <w:t>报价高于</w:t>
      </w:r>
      <w:r>
        <w:rPr>
          <w:rFonts w:hint="eastAsia" w:ascii="宋体" w:hAnsi="宋体" w:cs="宋体"/>
          <w:b/>
          <w:color w:val="auto"/>
          <w:sz w:val="24"/>
          <w:highlight w:val="none"/>
          <w:lang w:eastAsia="zh-CN"/>
        </w:rPr>
        <w:t>最高限价</w:t>
      </w:r>
      <w:r>
        <w:rPr>
          <w:rFonts w:ascii="宋体" w:hAnsi="宋体" w:cs="宋体"/>
          <w:b/>
          <w:color w:val="auto"/>
          <w:sz w:val="24"/>
          <w:highlight w:val="none"/>
        </w:rPr>
        <w:t>的，作无效响应文件处理。</w:t>
      </w:r>
      <w:r>
        <w:rPr>
          <w:rFonts w:hint="eastAsia" w:ascii="宋体" w:hAnsi="宋体" w:cs="宋体"/>
          <w:b/>
          <w:color w:val="auto"/>
          <w:sz w:val="24"/>
          <w:highlight w:val="none"/>
          <w:lang w:eastAsia="zh-CN"/>
        </w:rPr>
        <w:t>最终报价只报总价，所有分项的单价和合价，按照最终报价之于供应商初次报价的下浮比例，同比例下调。</w:t>
      </w:r>
    </w:p>
    <w:p w14:paraId="1B3E648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七、磋商有效期：</w:t>
      </w:r>
    </w:p>
    <w:p w14:paraId="39A5BC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自递交磋商响应文件截止之日起60个日历日。</w:t>
      </w:r>
    </w:p>
    <w:p w14:paraId="34028F9D">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八、磋商费用：</w:t>
      </w:r>
    </w:p>
    <w:p w14:paraId="0734E50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657A33A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w:t>
      </w:r>
      <w:r>
        <w:rPr>
          <w:rFonts w:hint="eastAsia" w:ascii="宋体" w:hAnsi="宋体" w:cs="宋体"/>
          <w:color w:val="auto"/>
          <w:sz w:val="24"/>
          <w:szCs w:val="24"/>
          <w:highlight w:val="none"/>
          <w:lang w:val="en-US" w:eastAsia="zh-CN"/>
        </w:rPr>
        <w:t>2550.00元，</w:t>
      </w:r>
      <w:r>
        <w:rPr>
          <w:rFonts w:hint="eastAsia" w:ascii="宋体" w:hAnsi="宋体" w:eastAsia="宋体" w:cs="宋体"/>
          <w:color w:val="auto"/>
          <w:sz w:val="24"/>
          <w:szCs w:val="24"/>
          <w:highlight w:val="none"/>
        </w:rPr>
        <w:t>成交通知书发出前，成交人从其账户一次性汇入代理机构指定账户。</w:t>
      </w:r>
    </w:p>
    <w:p w14:paraId="2A2520ED">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default" w:ascii="宋体" w:hAnsi="宋体" w:eastAsia="宋体" w:cs="宋体"/>
          <w:b/>
          <w:color w:val="auto"/>
          <w:sz w:val="24"/>
          <w:highlight w:val="none"/>
          <w:lang w:val="en-US" w:eastAsia="zh-CN"/>
        </w:rPr>
      </w:pPr>
      <w:r>
        <w:rPr>
          <w:rFonts w:ascii="宋体" w:hAnsi="宋体" w:eastAsia="宋体" w:cs="宋体"/>
          <w:b/>
          <w:color w:val="auto"/>
          <w:sz w:val="24"/>
          <w:highlight w:val="none"/>
        </w:rPr>
        <w:t>九、付款方式：</w:t>
      </w:r>
      <w:r>
        <w:rPr>
          <w:rFonts w:hint="eastAsia" w:ascii="宋体" w:hAnsi="宋体" w:cs="宋体"/>
          <w:bCs/>
          <w:color w:val="auto"/>
          <w:sz w:val="24"/>
          <w:highlight w:val="none"/>
          <w:lang w:val="en-US" w:eastAsia="zh-CN"/>
        </w:rPr>
        <w:t>双方签订采购合同后，甲方支付合同价款的30%为预付款，设备运至甲方指定地点后付至合同价款的80%，设备安装完成并经</w:t>
      </w:r>
      <w:r>
        <w:rPr>
          <w:rFonts w:hint="eastAsia" w:ascii="宋体" w:hAnsi="宋体"/>
          <w:color w:val="auto"/>
          <w:sz w:val="24"/>
          <w:highlight w:val="none"/>
          <w:lang w:val="en-US" w:eastAsia="zh-CN"/>
        </w:rPr>
        <w:t>华电邹城热力有限公司验收合格后付至合同价款的95%，剩余5%为质保金，质保期满后一次性付清。</w:t>
      </w:r>
    </w:p>
    <w:p w14:paraId="32BB56B7">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十、</w:t>
      </w:r>
      <w:r>
        <w:rPr>
          <w:rFonts w:ascii="宋体" w:hAnsi="宋体" w:eastAsia="宋体" w:cs="宋体"/>
          <w:b/>
          <w:color w:val="auto"/>
          <w:sz w:val="24"/>
          <w:highlight w:val="none"/>
        </w:rPr>
        <w:t>采购预算价</w:t>
      </w:r>
      <w:r>
        <w:rPr>
          <w:rFonts w:hint="eastAsia" w:ascii="宋体" w:hAnsi="宋体" w:eastAsia="宋体" w:cs="宋体"/>
          <w:b/>
          <w:color w:val="auto"/>
          <w:sz w:val="24"/>
          <w:highlight w:val="none"/>
          <w:lang w:eastAsia="zh-CN"/>
        </w:rPr>
        <w:t>（最高限价）</w:t>
      </w:r>
      <w:r>
        <w:rPr>
          <w:rFonts w:ascii="宋体" w:hAnsi="宋体" w:eastAsia="宋体" w:cs="宋体"/>
          <w:b/>
          <w:color w:val="auto"/>
          <w:sz w:val="24"/>
          <w:highlight w:val="none"/>
        </w:rPr>
        <w:t>：</w:t>
      </w:r>
      <w:r>
        <w:rPr>
          <w:rFonts w:hint="eastAsia" w:ascii="宋体" w:hAnsi="宋体" w:cs="宋体"/>
          <w:b/>
          <w:color w:val="auto"/>
          <w:sz w:val="24"/>
          <w:highlight w:val="none"/>
          <w:lang w:val="en-US" w:eastAsia="zh-CN"/>
        </w:rPr>
        <w:t>17万元</w:t>
      </w:r>
    </w:p>
    <w:p w14:paraId="7CC2D5F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详见响应方须知前附表。</w:t>
      </w:r>
    </w:p>
    <w:p w14:paraId="6B4B88D2">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十一、磋商保证金</w:t>
      </w:r>
    </w:p>
    <w:p w14:paraId="352AD414">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1.磋商保证金为人民币：小写：</w:t>
      </w:r>
      <w:r>
        <w:rPr>
          <w:rFonts w:hint="eastAsia" w:ascii="宋体" w:hAnsi="宋体" w:cs="宋体"/>
          <w:color w:val="auto"/>
          <w:sz w:val="24"/>
          <w:szCs w:val="24"/>
          <w:highlight w:val="none"/>
          <w:lang w:val="en-US" w:eastAsia="zh-CN"/>
        </w:rPr>
        <w:t>3400</w:t>
      </w:r>
      <w:r>
        <w:rPr>
          <w:rFonts w:hint="eastAsia" w:ascii="宋体" w:hAnsi="宋体" w:eastAsia="宋体" w:cs="宋体"/>
          <w:color w:val="auto"/>
          <w:sz w:val="24"/>
          <w:szCs w:val="24"/>
          <w:highlight w:val="none"/>
          <w:lang w:eastAsia="zh-CN"/>
        </w:rPr>
        <w:t>.00元，大写：</w:t>
      </w:r>
      <w:r>
        <w:rPr>
          <w:rFonts w:hint="eastAsia" w:ascii="宋体" w:hAnsi="宋体" w:cs="宋体"/>
          <w:color w:val="auto"/>
          <w:sz w:val="24"/>
          <w:szCs w:val="24"/>
          <w:highlight w:val="none"/>
          <w:lang w:eastAsia="zh-CN"/>
        </w:rPr>
        <w:t>叁仟肆佰元</w:t>
      </w:r>
      <w:r>
        <w:rPr>
          <w:rFonts w:hint="eastAsia" w:ascii="宋体" w:hAnsi="宋体" w:eastAsia="宋体" w:cs="宋体"/>
          <w:color w:val="auto"/>
          <w:sz w:val="24"/>
          <w:szCs w:val="24"/>
          <w:lang w:eastAsia="zh-CN"/>
        </w:rPr>
        <w:t>。</w:t>
      </w:r>
    </w:p>
    <w:p w14:paraId="2ACB21B7">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保证金的形式：电汇或网上银行转账的方式交纳（应从磋商响应方的基本账户一次性汇入指定账户），且从供应商的基本账户转来。其他形式的磋商保证金或非磋商响应方基本账户汇入的磋商保证金视为无效。磋商保证金应当在磋商响应文件递交截止时间前到达指定账户（以实际到账时间为准）。磋商响应方提交磋商保证金时必须计算资金在途时间，由于资金没有及时到账而造成的后果，由磋商响应方自行承担。</w:t>
      </w:r>
    </w:p>
    <w:p w14:paraId="72182758">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2.磋商保证金应当在磋商响应文件递交截止时间前到达指定账户（以实际到账为准）。</w:t>
      </w:r>
    </w:p>
    <w:p w14:paraId="53C1C3EC">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指定帐户：山东阳光正大建设项目管理有限公司</w:t>
      </w:r>
    </w:p>
    <w:p w14:paraId="69979442">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开户银行：中国工商银行邹城支行</w:t>
      </w:r>
    </w:p>
    <w:p w14:paraId="6A1E5C28">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账号：1608003009200400779</w:t>
      </w:r>
    </w:p>
    <w:p w14:paraId="34690286">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A6D11CE">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4、有下列情形之一的，磋商保证金可不予退还：</w:t>
      </w:r>
    </w:p>
    <w:p w14:paraId="4E9DDDA0">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（一）供应商在提交响应文件截止时间后撤回响应文件的（已提交响应文件的供应商，在提交最后报价之前，可以根据磋商情况退出磋商。应当退还退出磋商的供应商的磋商保证金。）；</w:t>
      </w:r>
    </w:p>
    <w:p w14:paraId="251CCFCA">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（二）供应商在响应文件中提供虚假材料的；</w:t>
      </w:r>
    </w:p>
    <w:p w14:paraId="71FF294B">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（三）除因不可抗力或磋商文件认可的情形以外，成交供应商不与采购人签订合同的；</w:t>
      </w:r>
    </w:p>
    <w:p w14:paraId="61054DD5">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（四）供应商与采购人、其他供应商或者采购代理机构恶意串通的；</w:t>
      </w:r>
    </w:p>
    <w:p w14:paraId="17BDBA7C">
      <w:pPr>
        <w:keepNext w:val="0"/>
        <w:keepLines w:val="0"/>
        <w:pageBreakBefore w:val="0"/>
        <w:tabs>
          <w:tab w:val="left" w:pos="315"/>
        </w:tabs>
        <w:kinsoku/>
        <w:wordWrap/>
        <w:overflowPunct/>
        <w:topLinePunct w:val="0"/>
        <w:bidi w:val="0"/>
        <w:adjustRightIn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（五）磋商文件规定的其他情形。</w:t>
      </w:r>
    </w:p>
    <w:p w14:paraId="39BFBBE0">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十二、无效磋商响应文件</w:t>
      </w:r>
    </w:p>
    <w:p w14:paraId="08A65DB4">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凡具有下列情形之一的，作</w:t>
      </w:r>
      <w:r>
        <w:rPr>
          <w:rFonts w:hint="eastAsia" w:ascii="宋体" w:hAnsi="宋体" w:eastAsia="宋体" w:cs="宋体"/>
          <w:color w:val="auto"/>
          <w:sz w:val="24"/>
          <w:highlight w:val="none"/>
        </w:rPr>
        <w:t>无效磋商响应文件</w:t>
      </w:r>
      <w:r>
        <w:rPr>
          <w:rFonts w:hint="eastAsia" w:ascii="宋体" w:hAnsi="宋体" w:eastAsia="宋体" w:cs="宋体"/>
          <w:color w:val="auto"/>
          <w:sz w:val="24"/>
          <w:highlight w:val="none"/>
          <w:lang w:eastAsia="zh-CN"/>
        </w:rPr>
        <w:t>处理</w:t>
      </w:r>
      <w:r>
        <w:rPr>
          <w:rFonts w:ascii="宋体" w:hAnsi="宋体" w:eastAsia="宋体" w:cs="宋体"/>
          <w:color w:val="auto"/>
          <w:sz w:val="24"/>
          <w:highlight w:val="none"/>
        </w:rPr>
        <w:t>，不予进入评审：</w:t>
      </w:r>
    </w:p>
    <w:p w14:paraId="68A2B94F">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1、资格证明文件不全或无效的,或者不符合采购文件标明的资格要求的；</w:t>
      </w:r>
    </w:p>
    <w:p w14:paraId="1C432EBB">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、提供的有关资格、资质证明文件不真实,提供虚假报价材料的；</w:t>
      </w:r>
    </w:p>
    <w:p w14:paraId="2B83487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、供应商未按磋商文件格式规定盖章、签字的；</w:t>
      </w:r>
    </w:p>
    <w:p w14:paraId="19E11A2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、合同履行期限、</w:t>
      </w:r>
      <w:r>
        <w:rPr>
          <w:rFonts w:hint="eastAsia" w:ascii="宋体" w:hAnsi="宋体" w:cs="宋体"/>
          <w:color w:val="auto"/>
          <w:sz w:val="24"/>
          <w:highlight w:val="none"/>
          <w:lang w:eastAsia="zh-CN"/>
        </w:rPr>
        <w:t>免费质保期</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不满足磋商文件要求的；</w:t>
      </w:r>
    </w:p>
    <w:p w14:paraId="65152DD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、磋商响应方初次报价</w:t>
      </w:r>
      <w:r>
        <w:rPr>
          <w:rFonts w:hint="eastAsia" w:ascii="宋体" w:hAnsi="宋体" w:eastAsia="宋体" w:cs="宋体"/>
          <w:color w:val="auto"/>
          <w:sz w:val="24"/>
          <w:highlight w:val="none"/>
          <w:lang w:eastAsia="zh-CN"/>
        </w:rPr>
        <w:t>的单价或总价；</w:t>
      </w:r>
      <w:r>
        <w:rPr>
          <w:rFonts w:hint="eastAsia" w:ascii="宋体" w:hAnsi="宋体" w:eastAsia="宋体" w:cs="宋体"/>
          <w:color w:val="auto"/>
          <w:sz w:val="24"/>
          <w:highlight w:val="none"/>
        </w:rPr>
        <w:t>或最终报价</w:t>
      </w:r>
      <w:r>
        <w:rPr>
          <w:rFonts w:hint="eastAsia" w:ascii="宋体" w:hAnsi="宋体" w:eastAsia="宋体" w:cs="宋体"/>
          <w:color w:val="auto"/>
          <w:sz w:val="24"/>
          <w:highlight w:val="none"/>
          <w:lang w:eastAsia="zh-CN"/>
        </w:rPr>
        <w:t>的单价或总价</w:t>
      </w:r>
      <w:r>
        <w:rPr>
          <w:rFonts w:hint="eastAsia" w:ascii="宋体" w:hAnsi="宋体" w:eastAsia="宋体" w:cs="宋体"/>
          <w:color w:val="auto"/>
          <w:sz w:val="24"/>
          <w:highlight w:val="none"/>
        </w:rPr>
        <w:t>超过采购预算的；</w:t>
      </w:r>
    </w:p>
    <w:p w14:paraId="4C7D7C40">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、不响应或者擅自改变采购文件要求或者响应文件有采购人不能接受的附加条件的；</w:t>
      </w:r>
    </w:p>
    <w:p w14:paraId="01CF3318">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、磋商响应方串通报价的；</w:t>
      </w:r>
    </w:p>
    <w:p w14:paraId="2BC6B4E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、磋商响应方向采购人、采购代理机构、评审专家提供不正当利益的；</w:t>
      </w:r>
    </w:p>
    <w:p w14:paraId="4C9973E6">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、不同磋商响应方的响应文件由同一单位或者个人编制的；</w:t>
      </w:r>
    </w:p>
    <w:p w14:paraId="689536E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、不同磋商响应方委托同一单位或者个人办理磋商事宜；</w:t>
      </w:r>
    </w:p>
    <w:p w14:paraId="2FFBDB7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文件载明的项目管理成员为同一人；</w:t>
      </w:r>
    </w:p>
    <w:p w14:paraId="0B91DA24">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、法律、法规规定的其他情况。</w:t>
      </w:r>
    </w:p>
    <w:p w14:paraId="6D22340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十三、磋商其他情形和磋商失败：</w:t>
      </w:r>
    </w:p>
    <w:p w14:paraId="4648AC8C">
      <w:pPr>
        <w:keepNext w:val="0"/>
        <w:keepLines w:val="0"/>
        <w:pageBreakBefore w:val="0"/>
        <w:tabs>
          <w:tab w:val="left" w:pos="360"/>
        </w:tabs>
        <w:kinsoku/>
        <w:wordWrap/>
        <w:overflowPunct/>
        <w:topLinePunct w:val="0"/>
        <w:bidi w:val="0"/>
        <w:adjustRightInd/>
        <w:snapToGrid w:val="0"/>
        <w:spacing w:line="360" w:lineRule="auto"/>
        <w:ind w:firstLine="480" w:firstLineChars="200"/>
        <w:textAlignment w:val="auto"/>
        <w:rPr>
          <w:rFonts w:ascii="宋体" w:hAnsi="宋体" w:cs="宋体"/>
          <w:bCs/>
          <w:color w:val="auto"/>
          <w:sz w:val="24"/>
          <w:highlight w:val="none"/>
        </w:rPr>
      </w:pPr>
      <w:r>
        <w:rPr>
          <w:rFonts w:ascii="宋体" w:hAnsi="宋体" w:cs="宋体"/>
          <w:color w:val="auto"/>
          <w:sz w:val="24"/>
          <w:highlight w:val="none"/>
          <w:shd w:val="clear" w:color="auto" w:fill="FFFFFF"/>
        </w:rPr>
        <w:t xml:space="preserve">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49C2882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十四、质疑和投诉：</w:t>
      </w:r>
    </w:p>
    <w:p w14:paraId="60E5B16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1、质疑投诉内容：根据《政府采购法实施条例》第二十条规定：采购人或者采购代理机构有下列情形之一的，属于以不合理的条件对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实行差别待遇或者歧视待遇：潜在供应商（</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71D27FA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1CD8952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11FC0C9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049334C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30BE081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19D7B48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567EE63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42CF48A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4C34E84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2、质疑方式及电话：</w:t>
      </w:r>
    </w:p>
    <w:p w14:paraId="3CF1154F">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lang w:eastAsia="zh-CN"/>
        </w:rPr>
        <w:t>）</w:t>
      </w:r>
      <w:r>
        <w:rPr>
          <w:rFonts w:hint="eastAsia" w:ascii="宋体" w:hAnsi="宋体" w:eastAsia="Times New Roman" w:cs="宋体"/>
          <w:color w:val="auto"/>
          <w:sz w:val="24"/>
          <w:highlight w:val="none"/>
          <w:u w:val="none"/>
        </w:rPr>
        <w:t xml:space="preserve">采购人信息 </w:t>
      </w:r>
    </w:p>
    <w:p w14:paraId="57AB80A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名  称：</w:t>
      </w:r>
      <w:r>
        <w:rPr>
          <w:rFonts w:hint="eastAsia" w:ascii="宋体" w:hAnsi="宋体" w:cs="宋体"/>
          <w:color w:val="auto"/>
          <w:sz w:val="24"/>
          <w:highlight w:val="none"/>
          <w:u w:val="none"/>
          <w:lang w:eastAsia="zh-CN"/>
        </w:rPr>
        <w:t>邹城市钢山街道崇义庄村村民委员会</w:t>
      </w:r>
      <w:r>
        <w:rPr>
          <w:rFonts w:hint="eastAsia" w:ascii="宋体" w:hAnsi="宋体" w:eastAsia="Times New Roman" w:cs="宋体"/>
          <w:color w:val="auto"/>
          <w:sz w:val="24"/>
          <w:highlight w:val="none"/>
          <w:u w:val="none"/>
        </w:rPr>
        <w:t xml:space="preserve">     </w:t>
      </w:r>
    </w:p>
    <w:p w14:paraId="153DB79C">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w:t>
      </w:r>
      <w:r>
        <w:rPr>
          <w:rFonts w:hint="eastAsia" w:ascii="宋体" w:hAnsi="宋体" w:eastAsia="宋体" w:cs="宋体"/>
          <w:color w:val="auto"/>
          <w:sz w:val="24"/>
          <w:highlight w:val="none"/>
          <w:u w:val="none"/>
          <w:lang w:eastAsia="zh-CN"/>
        </w:rPr>
        <w:t>邹城市崇义家园</w:t>
      </w:r>
      <w:r>
        <w:rPr>
          <w:rFonts w:hint="eastAsia" w:ascii="宋体" w:hAnsi="宋体" w:eastAsia="Times New Roman" w:cs="宋体"/>
          <w:color w:val="auto"/>
          <w:sz w:val="24"/>
          <w:highlight w:val="none"/>
          <w:u w:val="none"/>
        </w:rPr>
        <w:t xml:space="preserve"> </w:t>
      </w:r>
    </w:p>
    <w:p w14:paraId="0378469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联系人：</w:t>
      </w:r>
      <w:r>
        <w:rPr>
          <w:rFonts w:hint="eastAsia" w:ascii="宋体" w:hAnsi="宋体" w:eastAsia="宋体" w:cs="宋体"/>
          <w:color w:val="auto"/>
          <w:sz w:val="24"/>
          <w:highlight w:val="none"/>
          <w:u w:val="none"/>
          <w:lang w:eastAsia="zh-CN"/>
        </w:rPr>
        <w:t>侯主任</w:t>
      </w:r>
      <w:r>
        <w:rPr>
          <w:rFonts w:hint="eastAsia" w:ascii="宋体" w:hAnsi="宋体" w:eastAsia="Times New Roman" w:cs="宋体"/>
          <w:color w:val="auto"/>
          <w:sz w:val="24"/>
          <w:highlight w:val="none"/>
          <w:u w:val="none"/>
        </w:rPr>
        <w:t xml:space="preserve">                                 </w:t>
      </w:r>
    </w:p>
    <w:p w14:paraId="5191D8F7">
      <w:pPr>
        <w:keepNext w:val="0"/>
        <w:keepLines w:val="0"/>
        <w:suppressLineNumbers w:val="0"/>
        <w:spacing w:before="0" w:beforeAutospacing="0" w:after="0" w:afterAutospacing="0" w:line="560" w:lineRule="exact"/>
        <w:ind w:left="0" w:right="0" w:firstLine="480" w:firstLineChars="200"/>
        <w:rPr>
          <w:rFonts w:hint="eastAsia" w:ascii="宋体" w:hAnsi="宋体" w:eastAsia="宋体" w:cs="宋体"/>
          <w:color w:val="auto"/>
          <w:sz w:val="24"/>
          <w:highlight w:val="none"/>
          <w:u w:val="none"/>
          <w:lang w:eastAsia="zh-CN"/>
        </w:rPr>
      </w:pPr>
      <w:r>
        <w:rPr>
          <w:rFonts w:hint="eastAsia" w:ascii="宋体" w:hAnsi="宋体" w:eastAsia="Times New Roman" w:cs="宋体"/>
          <w:color w:val="auto"/>
          <w:sz w:val="24"/>
          <w:highlight w:val="none"/>
          <w:u w:val="none"/>
        </w:rPr>
        <w:t>电  话：</w:t>
      </w:r>
      <w:r>
        <w:rPr>
          <w:rFonts w:hint="eastAsia" w:ascii="宋体" w:hAnsi="宋体" w:eastAsia="宋体" w:cs="宋体"/>
          <w:color w:val="auto"/>
          <w:sz w:val="24"/>
          <w:highlight w:val="none"/>
          <w:u w:val="none"/>
          <w:lang w:eastAsia="zh-CN"/>
        </w:rPr>
        <w:t>13153709768</w:t>
      </w:r>
    </w:p>
    <w:p w14:paraId="5B1151BA">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lang w:eastAsia="zh-CN"/>
        </w:rPr>
        <w:t>）</w:t>
      </w:r>
      <w:r>
        <w:rPr>
          <w:rFonts w:hint="eastAsia" w:ascii="宋体" w:hAnsi="宋体" w:eastAsia="Times New Roman" w:cs="宋体"/>
          <w:color w:val="auto"/>
          <w:sz w:val="24"/>
          <w:highlight w:val="none"/>
          <w:u w:val="none"/>
        </w:rPr>
        <w:t xml:space="preserve">采购代理机构信息 </w:t>
      </w:r>
    </w:p>
    <w:p w14:paraId="09A55298">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代理机构：</w:t>
      </w:r>
      <w:r>
        <w:rPr>
          <w:rFonts w:hint="eastAsia" w:ascii="宋体" w:hAnsi="宋体" w:eastAsia="宋体" w:cs="宋体"/>
          <w:color w:val="auto"/>
          <w:sz w:val="24"/>
          <w:highlight w:val="none"/>
          <w:u w:val="none"/>
          <w:lang w:eastAsia="zh-CN"/>
        </w:rPr>
        <w:t>山东阳光正大建设项目管理有限公司</w:t>
      </w:r>
      <w:r>
        <w:rPr>
          <w:rFonts w:hint="eastAsia" w:ascii="宋体" w:hAnsi="宋体" w:eastAsia="Times New Roman" w:cs="宋体"/>
          <w:color w:val="auto"/>
          <w:sz w:val="24"/>
          <w:highlight w:val="none"/>
          <w:u w:val="none"/>
        </w:rPr>
        <w:t xml:space="preserve">       </w:t>
      </w:r>
    </w:p>
    <w:p w14:paraId="6FF432FF">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w:t>
      </w:r>
      <w:r>
        <w:rPr>
          <w:rFonts w:hint="eastAsia" w:ascii="宋体" w:hAnsi="宋体" w:eastAsia="宋体" w:cs="宋体"/>
          <w:color w:val="auto"/>
          <w:sz w:val="24"/>
          <w:szCs w:val="24"/>
          <w:lang w:eastAsia="zh-CN"/>
        </w:rPr>
        <w:t>邹城市齐鲁时代</w:t>
      </w:r>
      <w:r>
        <w:rPr>
          <w:rFonts w:hint="eastAsia" w:ascii="宋体" w:hAnsi="宋体" w:eastAsia="宋体" w:cs="宋体"/>
          <w:color w:val="auto"/>
          <w:sz w:val="24"/>
          <w:szCs w:val="24"/>
          <w:lang w:val="en-US" w:eastAsia="zh-CN"/>
        </w:rPr>
        <w:t>SOHO营销中心15楼1509室</w:t>
      </w:r>
    </w:p>
    <w:p w14:paraId="30888485">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联 系 人：</w:t>
      </w:r>
      <w:r>
        <w:rPr>
          <w:rFonts w:hint="eastAsia" w:ascii="宋体" w:hAnsi="宋体" w:eastAsia="宋体" w:cs="宋体"/>
          <w:color w:val="auto"/>
          <w:sz w:val="24"/>
          <w:highlight w:val="none"/>
          <w:u w:val="none"/>
          <w:lang w:eastAsia="zh-CN"/>
        </w:rPr>
        <w:t>刘亚萍</w:t>
      </w:r>
      <w:r>
        <w:rPr>
          <w:rFonts w:hint="eastAsia" w:ascii="宋体" w:hAnsi="宋体" w:eastAsia="Times New Roman" w:cs="宋体"/>
          <w:color w:val="auto"/>
          <w:sz w:val="24"/>
          <w:highlight w:val="none"/>
          <w:u w:val="none"/>
        </w:rPr>
        <w:t xml:space="preserve">                              </w:t>
      </w:r>
    </w:p>
    <w:p w14:paraId="432CB5AD">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联系方式：</w:t>
      </w:r>
      <w:r>
        <w:rPr>
          <w:rFonts w:hint="eastAsia" w:ascii="宋体" w:hAnsi="宋体" w:eastAsia="宋体" w:cs="宋体"/>
          <w:color w:val="auto"/>
          <w:sz w:val="24"/>
          <w:highlight w:val="none"/>
          <w:u w:val="none"/>
          <w:lang w:eastAsia="zh-CN"/>
        </w:rPr>
        <w:t>15315183185</w:t>
      </w:r>
      <w:r>
        <w:rPr>
          <w:rFonts w:hint="eastAsia" w:ascii="宋体" w:hAnsi="宋体" w:eastAsia="Times New Roman" w:cs="宋体"/>
          <w:color w:val="auto"/>
          <w:sz w:val="24"/>
          <w:highlight w:val="none"/>
          <w:u w:val="none"/>
        </w:rPr>
        <w:t xml:space="preserve"> </w:t>
      </w:r>
    </w:p>
    <w:p w14:paraId="4B0AE398">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ascii="宋体" w:hAnsi="宋体" w:eastAsia="Times New Roman" w:cs="宋体"/>
          <w:color w:val="auto"/>
          <w:sz w:val="24"/>
          <w:highlight w:val="none"/>
          <w:u w:val="none"/>
        </w:rPr>
        <w:fldChar w:fldCharType="begin"/>
      </w:r>
      <w:r>
        <w:rPr>
          <w:rFonts w:ascii="宋体" w:hAnsi="宋体" w:eastAsia="Times New Roman" w:cs="宋体"/>
          <w:color w:val="auto"/>
          <w:sz w:val="24"/>
          <w:highlight w:val="none"/>
          <w:u w:val="none"/>
        </w:rPr>
        <w:instrText xml:space="preserve"> HYPERLINK "mailto:所有质疑以书面形式递交，同时发邮件至tqzcxmb@163.com" </w:instrText>
      </w:r>
      <w:r>
        <w:rPr>
          <w:rFonts w:ascii="宋体" w:hAnsi="宋体" w:eastAsia="Times New Roman" w:cs="宋体"/>
          <w:color w:val="auto"/>
          <w:sz w:val="24"/>
          <w:highlight w:val="none"/>
          <w:u w:val="none"/>
        </w:rPr>
        <w:fldChar w:fldCharType="separate"/>
      </w:r>
      <w:r>
        <w:rPr>
          <w:rStyle w:val="43"/>
          <w:rFonts w:ascii="宋体" w:hAnsi="宋体" w:cs="宋体"/>
          <w:color w:val="auto"/>
          <w:sz w:val="24"/>
          <w:szCs w:val="24"/>
          <w:highlight w:val="none"/>
          <w:u w:val="none"/>
        </w:rPr>
        <w:t>所有质疑以书面形式递交，同时发邮件至</w:t>
      </w:r>
      <w:r>
        <w:rPr>
          <w:rStyle w:val="43"/>
          <w:rFonts w:hint="eastAsia" w:cs="宋体"/>
          <w:color w:val="auto"/>
          <w:sz w:val="24"/>
          <w:szCs w:val="24"/>
          <w:highlight w:val="none"/>
          <w:u w:val="none"/>
          <w:lang w:eastAsia="zh-CN"/>
        </w:rPr>
        <w:t>sdygzdjnfgs</w:t>
      </w:r>
      <w:r>
        <w:rPr>
          <w:rStyle w:val="43"/>
          <w:rFonts w:hint="eastAsia" w:ascii="宋体" w:hAnsi="宋体" w:cs="宋体"/>
          <w:color w:val="auto"/>
          <w:sz w:val="24"/>
          <w:szCs w:val="24"/>
          <w:highlight w:val="none"/>
          <w:u w:val="none"/>
          <w:lang w:eastAsia="zh-CN"/>
        </w:rPr>
        <w:t>@163.com</w:t>
      </w:r>
      <w:r>
        <w:rPr>
          <w:rFonts w:ascii="宋体" w:hAnsi="宋体" w:eastAsia="Times New Roman" w:cs="宋体"/>
          <w:color w:val="auto"/>
          <w:sz w:val="24"/>
          <w:highlight w:val="none"/>
          <w:u w:val="none"/>
        </w:rPr>
        <w:fldChar w:fldCharType="end"/>
      </w:r>
    </w:p>
    <w:p w14:paraId="056D25EE">
      <w:pPr>
        <w:pStyle w:val="8"/>
        <w:rPr>
          <w:color w:val="auto"/>
          <w:highlight w:val="none"/>
        </w:rPr>
      </w:pPr>
    </w:p>
    <w:p w14:paraId="616F4D01">
      <w:pPr>
        <w:tabs>
          <w:tab w:val="left" w:pos="315"/>
        </w:tabs>
        <w:spacing w:line="560" w:lineRule="exact"/>
        <w:ind w:firstLine="482" w:firstLineChars="200"/>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7" w:name="_Toc13343_WPSOffice_Level1"/>
      <w:bookmarkStart w:id="8" w:name="_Toc19927"/>
      <w:r>
        <w:rPr>
          <w:rFonts w:ascii="宋体" w:hAnsi="宋体" w:cs="宋体"/>
          <w:b/>
          <w:color w:val="auto"/>
          <w:sz w:val="24"/>
          <w:highlight w:val="none"/>
        </w:rPr>
        <w:t>第三部分  磋商组织、步骤与评审方法</w:t>
      </w:r>
      <w:bookmarkEnd w:id="7"/>
      <w:bookmarkEnd w:id="8"/>
    </w:p>
    <w:p w14:paraId="0D5EFE60">
      <w:pPr>
        <w:keepNext w:val="0"/>
        <w:keepLines w:val="0"/>
        <w:pageBreakBefore w:val="0"/>
        <w:tabs>
          <w:tab w:val="left" w:pos="1050"/>
        </w:tabs>
        <w:kinsoku/>
        <w:wordWrap/>
        <w:overflowPunct/>
        <w:topLinePunct w:val="0"/>
        <w:autoSpaceDE/>
        <w:autoSpaceDN/>
        <w:bidi w:val="0"/>
        <w:adjustRightInd/>
        <w:spacing w:line="360" w:lineRule="auto"/>
        <w:ind w:firstLine="482"/>
        <w:textAlignment w:val="auto"/>
        <w:outlineLvl w:val="1"/>
        <w:rPr>
          <w:rFonts w:hint="eastAsia" w:ascii="宋体" w:hAnsi="宋体" w:eastAsia="宋体" w:cs="宋体"/>
          <w:b/>
          <w:color w:val="auto"/>
          <w:sz w:val="24"/>
          <w:szCs w:val="24"/>
        </w:rPr>
      </w:pPr>
      <w:bookmarkStart w:id="9" w:name="_Toc18748"/>
      <w:bookmarkStart w:id="10" w:name="_Toc317237623"/>
      <w:bookmarkStart w:id="11" w:name="_Toc20637"/>
      <w:bookmarkStart w:id="12" w:name="_Toc11659840"/>
      <w:r>
        <w:rPr>
          <w:rFonts w:hint="eastAsia" w:ascii="宋体" w:hAnsi="宋体" w:eastAsia="宋体" w:cs="宋体"/>
          <w:b/>
          <w:color w:val="auto"/>
          <w:sz w:val="24"/>
          <w:szCs w:val="24"/>
        </w:rPr>
        <w:t>一、总则</w:t>
      </w:r>
      <w:bookmarkEnd w:id="9"/>
      <w:bookmarkEnd w:id="10"/>
      <w:bookmarkEnd w:id="11"/>
    </w:p>
    <w:p w14:paraId="7C7BDF7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1、根据《中华人民共和国政府采购法》、《政府采购竞争性磋商采购方式管理暂行办法》等法律和规章，结合本采购项目特点制定本评审办法。</w:t>
      </w:r>
    </w:p>
    <w:p w14:paraId="1EB9A98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2、磋商工作由采购人、采购代理机构负责组织，评审由采购人、采购代理机构依法组建的磋商小组负责。磋商小组由采购人代表和有关技术、经济等方面的专家</w:t>
      </w:r>
      <w:r>
        <w:rPr>
          <w:rFonts w:hint="eastAsia" w:cs="宋体"/>
          <w:color w:val="auto"/>
          <w:sz w:val="24"/>
          <w:szCs w:val="24"/>
          <w:lang w:eastAsia="zh-CN"/>
        </w:rPr>
        <w:t>共</w:t>
      </w:r>
      <w:r>
        <w:rPr>
          <w:rFonts w:hint="eastAsia" w:cs="宋体"/>
          <w:color w:val="auto"/>
          <w:sz w:val="24"/>
          <w:szCs w:val="24"/>
          <w:lang w:val="en-US" w:eastAsia="zh-CN"/>
        </w:rPr>
        <w:t>3人组成，其中评审专家人数不少于磋商小组成员总数的2/3</w:t>
      </w:r>
      <w:r>
        <w:rPr>
          <w:rFonts w:hint="eastAsia" w:ascii="宋体" w:hAnsi="宋体" w:eastAsia="宋体" w:cs="宋体"/>
          <w:color w:val="auto"/>
          <w:sz w:val="24"/>
          <w:szCs w:val="24"/>
        </w:rPr>
        <w:t>。</w:t>
      </w:r>
    </w:p>
    <w:p w14:paraId="378E722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6167DB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4、评审过程严格保密。供应商对磋商小组的评审过程或合同授予决定施加影响的任何行为都可能导致其响应文件被拒绝。</w:t>
      </w:r>
    </w:p>
    <w:p w14:paraId="1256DBD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5、磋商小组发现磋商文件表述不明确或需要说明的事项，可提请采购人、采购代理机构书面解释说明。</w:t>
      </w:r>
    </w:p>
    <w:p w14:paraId="47E4EED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6、磋商小组对响应文件的判定，只依据响应文件和磋商过程中认定的文件，不依据磋商后的任何外来证明。</w:t>
      </w:r>
      <w:bookmarkStart w:id="13" w:name="_Toc23709"/>
    </w:p>
    <w:p w14:paraId="252B9EE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二、</w:t>
      </w:r>
      <w:r>
        <w:rPr>
          <w:rFonts w:hint="eastAsia" w:ascii="宋体" w:hAnsi="宋体" w:eastAsia="宋体" w:cs="宋体"/>
          <w:b/>
          <w:color w:val="auto"/>
          <w:sz w:val="24"/>
          <w:szCs w:val="24"/>
        </w:rPr>
        <w:t>评审程序、评审方法和评审标准</w:t>
      </w:r>
      <w:bookmarkEnd w:id="13"/>
    </w:p>
    <w:p w14:paraId="51243054">
      <w:pPr>
        <w:keepNext w:val="0"/>
        <w:keepLines w:val="0"/>
        <w:pageBreakBefore w:val="0"/>
        <w:widowControl w:val="0"/>
        <w:tabs>
          <w:tab w:val="left" w:pos="720"/>
        </w:tabs>
        <w:kinsoku/>
        <w:wordWrap/>
        <w:overflowPunct/>
        <w:topLinePunct w:val="0"/>
        <w:autoSpaceDE/>
        <w:autoSpaceDN/>
        <w:bidi w:val="0"/>
        <w:adjustRightInd/>
        <w:spacing w:line="360" w:lineRule="auto"/>
        <w:ind w:right="-105"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（一）初步评审</w:t>
      </w:r>
    </w:p>
    <w:p w14:paraId="0EF10DC4">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初步评审分为资格审查和符合性审查，由磋商小组负责。</w:t>
      </w:r>
    </w:p>
    <w:p w14:paraId="4B1CBDA2">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1、资格审查</w:t>
      </w:r>
    </w:p>
    <w:p w14:paraId="58ED6D9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1）、磋商小组根据“资格性审查标准”对磋商响应方的资格性进行评审，只有对“资格性审查标准”（详见附表1）所列各项作出实质性响应的才能通过资格评审。</w:t>
      </w:r>
    </w:p>
    <w:p w14:paraId="75B776E0">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2）、资格审查合格的供应商不足三家，则本次采购失败。</w:t>
      </w:r>
    </w:p>
    <w:p w14:paraId="6DEA4E83">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2、符合性审查</w:t>
      </w:r>
    </w:p>
    <w:p w14:paraId="60A67A2E">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1）、磋商小组根据“符合性审查标准”（详见附表2）对通过资格审查的响应文件进行符合性评审，只有对“符合性审查标准”所列各项作出实质性响应的响应文件才能通过符合性审查。</w:t>
      </w:r>
    </w:p>
    <w:p w14:paraId="198B25AC">
      <w:pPr>
        <w:pStyle w:val="34"/>
        <w:keepNext w:val="0"/>
        <w:keepLines w:val="0"/>
        <w:pageBreakBefore w:val="0"/>
        <w:widowControl w:val="0"/>
        <w:kinsoku/>
        <w:wordWrap/>
        <w:overflowPunct/>
        <w:topLinePunct w:val="0"/>
        <w:autoSpaceDE/>
        <w:autoSpaceDN/>
        <w:bidi w:val="0"/>
        <w:adjustRightInd/>
        <w:spacing w:beforeAutospacing="0" w:afterAutospacing="0" w:line="360" w:lineRule="auto"/>
        <w:ind w:firstLine="482"/>
        <w:jc w:val="both"/>
        <w:textAlignment w:val="auto"/>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w:t>
      </w:r>
      <w:r>
        <w:rPr>
          <w:rStyle w:val="83"/>
          <w:rFonts w:hint="eastAsia" w:asciiTheme="minorEastAsia" w:hAnsiTheme="minorEastAsia" w:eastAsiaTheme="minorEastAsia" w:cstheme="minorEastAsia"/>
          <w:b/>
          <w:bCs w:val="0"/>
          <w:color w:val="auto"/>
          <w:sz w:val="24"/>
          <w:szCs w:val="24"/>
        </w:rPr>
        <w:t>磋商小组认为磋商响应方的报价明显低于其他通过符合性审查磋商响应方的报价</w:t>
      </w:r>
      <w:r>
        <w:rPr>
          <w:rFonts w:hint="eastAsia" w:asciiTheme="minorEastAsia" w:hAnsiTheme="minorEastAsia" w:eastAsiaTheme="minorEastAsia" w:cstheme="minorEastAsia"/>
          <w:b/>
          <w:color w:val="auto"/>
        </w:rPr>
        <w:t>，有可能影响产品质量或者不能诚信履约的，将要求其在评审现场接到通知后规定时间内提供书面说明，必要时提交相关证明材料。磋商响应方不能证明其报价合理性的，磋商小组将其作为无效响应文件处理。磋商小组成员对需要共同认定的事项存在争议的，应当按照少数服从多数的原则作出结论。持不同意见的磋商小组成员应当在评审报告上签署不同意见及理由，否则视为同意评审报告。</w:t>
      </w:r>
    </w:p>
    <w:p w14:paraId="25576DCA">
      <w:pPr>
        <w:keepNext w:val="0"/>
        <w:keepLines w:val="0"/>
        <w:pageBreakBefore w:val="0"/>
        <w:widowControl w:val="0"/>
        <w:kinsoku/>
        <w:wordWrap/>
        <w:overflowPunct/>
        <w:topLinePunct w:val="0"/>
        <w:autoSpaceDE/>
        <w:autoSpaceDN/>
        <w:bidi w:val="0"/>
        <w:adjustRightInd/>
        <w:spacing w:line="360" w:lineRule="auto"/>
        <w:ind w:firstLine="359" w:firstLineChars="149"/>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lang w:val="en-US" w:eastAsia="zh-CN"/>
        </w:rPr>
        <w:t>3</w:t>
      </w:r>
      <w:r>
        <w:rPr>
          <w:rFonts w:hint="eastAsia" w:asciiTheme="minorEastAsia" w:hAnsiTheme="minorEastAsia" w:eastAsiaTheme="minorEastAsia" w:cstheme="minorEastAsia"/>
          <w:b/>
          <w:color w:val="auto"/>
          <w:sz w:val="24"/>
        </w:rPr>
        <w:t>.符合性审查合格的供应商不足三家，则本次采购失败</w:t>
      </w:r>
      <w:r>
        <w:rPr>
          <w:rFonts w:hint="eastAsia" w:ascii="宋体" w:hAnsi="宋体" w:eastAsia="宋体" w:cs="宋体"/>
          <w:b/>
          <w:color w:val="auto"/>
          <w:sz w:val="24"/>
          <w:szCs w:val="24"/>
          <w:highlight w:val="none"/>
        </w:rPr>
        <w:t>。</w:t>
      </w:r>
    </w:p>
    <w:p w14:paraId="53CA8F1D">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（二）、分别与单一供应商进行磋商</w:t>
      </w:r>
    </w:p>
    <w:p w14:paraId="00D2892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2.1 </w:t>
      </w:r>
      <w:r>
        <w:rPr>
          <w:rFonts w:hint="eastAsia" w:ascii="宋体" w:hAnsi="宋体" w:eastAsia="宋体" w:cs="宋体"/>
          <w:bCs/>
          <w:color w:val="auto"/>
          <w:sz w:val="24"/>
          <w:szCs w:val="24"/>
          <w:lang w:eastAsia="zh-CN"/>
        </w:rPr>
        <w:t>通过初步评审</w:t>
      </w:r>
      <w:r>
        <w:rPr>
          <w:rFonts w:hint="eastAsia" w:ascii="宋体" w:hAnsi="宋体" w:eastAsia="宋体" w:cs="宋体"/>
          <w:b w:val="0"/>
          <w:bCs w:val="0"/>
          <w:color w:val="auto"/>
          <w:sz w:val="24"/>
          <w:szCs w:val="24"/>
          <w:highlight w:val="none"/>
        </w:rPr>
        <w:t>的供应商进入磋商阶段，</w:t>
      </w:r>
      <w:r>
        <w:rPr>
          <w:rFonts w:ascii="宋体" w:hAnsi="宋体" w:eastAsia="宋体" w:cs="宋体"/>
          <w:color w:val="auto"/>
          <w:sz w:val="24"/>
          <w:szCs w:val="24"/>
        </w:rPr>
        <w:t>磋商小组所有成员应当集中与单一供应商分别进行磋商，并给予所有参加磋商的供应商平等的磋商机会</w:t>
      </w:r>
      <w:r>
        <w:rPr>
          <w:rFonts w:hint="eastAsia" w:ascii="宋体" w:hAnsi="宋体" w:eastAsia="宋体" w:cs="宋体"/>
          <w:bCs/>
          <w:color w:val="auto"/>
          <w:sz w:val="24"/>
          <w:szCs w:val="24"/>
        </w:rPr>
        <w:t>。</w:t>
      </w:r>
    </w:p>
    <w:p w14:paraId="0C097E6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 在磋商过程中，磋商小组可以根据磋商文件和磋商情况实质性变动户用需求书中的技术、服务要求以及合同草案条款，但不得变动磋商文件中的其他内容。实质性变动的内容，须经采购人代表确认。对磋商文件作出的实质性变动是磋商文件的有效组成部分，磋商小组应当及时</w:t>
      </w:r>
      <w:r>
        <w:rPr>
          <w:rFonts w:hint="eastAsia" w:ascii="宋体" w:hAnsi="宋体" w:eastAsia="宋体" w:cs="宋体"/>
          <w:bCs/>
          <w:color w:val="auto"/>
          <w:sz w:val="24"/>
          <w:szCs w:val="24"/>
          <w:lang w:eastAsia="zh-CN"/>
        </w:rPr>
        <w:t>书面</w:t>
      </w:r>
      <w:r>
        <w:rPr>
          <w:rFonts w:hint="eastAsia" w:ascii="宋体" w:hAnsi="宋体" w:eastAsia="宋体" w:cs="宋体"/>
          <w:bCs/>
          <w:color w:val="auto"/>
          <w:sz w:val="24"/>
          <w:szCs w:val="24"/>
        </w:rPr>
        <w:t>通知所有参加磋商的供应商。</w:t>
      </w:r>
    </w:p>
    <w:p w14:paraId="00212232">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（三）、供应商提交最后报价</w:t>
      </w:r>
    </w:p>
    <w:p w14:paraId="6B33A7D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 磋商结束后，磋商小组应当要求所有实质性响应的供应商在规定时间内提交最后报价。</w:t>
      </w:r>
    </w:p>
    <w:p w14:paraId="15174D6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 已提交响应文件的供应商，在提交最后报价之前，可以根据磋商情况退出磋商。采购人、采购代理机构应当退还退出磋商的供应商的磋商保证金。</w:t>
      </w:r>
    </w:p>
    <w:p w14:paraId="27F6CBC7">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（四）、综合评分（详见</w:t>
      </w:r>
      <w:r>
        <w:rPr>
          <w:rFonts w:hint="eastAsia" w:ascii="宋体" w:hAnsi="宋体" w:eastAsia="宋体" w:cs="宋体"/>
          <w:b/>
          <w:color w:val="auto"/>
          <w:sz w:val="24"/>
          <w:szCs w:val="24"/>
          <w:lang w:eastAsia="zh-CN"/>
        </w:rPr>
        <w:t>附表</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详细评审表</w:t>
      </w:r>
      <w:r>
        <w:rPr>
          <w:rFonts w:hint="eastAsia" w:ascii="宋体" w:hAnsi="宋体" w:eastAsia="宋体" w:cs="宋体"/>
          <w:b/>
          <w:color w:val="auto"/>
          <w:sz w:val="24"/>
          <w:szCs w:val="24"/>
        </w:rPr>
        <w:t>”）</w:t>
      </w:r>
    </w:p>
    <w:p w14:paraId="4816598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4.1 经磋商确定最终户用需求书和提交最后报价的供应商后，由磋商小组采用综合评分法对提交最后报价的供应商的响应文件和最后报价进行综合评分。</w:t>
      </w:r>
    </w:p>
    <w:p w14:paraId="4A3CD488">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综合评分法，是指响应文件满足磋商文件全部实质性要求且按评审因素的量化指标评审得分最高的供应商为成交候选供应商的评审方法。</w:t>
      </w:r>
    </w:p>
    <w:p w14:paraId="41D8A71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4.2 综合评分法评审标准中的分值设置应当与评审因素的量化指标相对应。磋商文件中没有规定的评审标准不得作为评审依据。</w:t>
      </w:r>
    </w:p>
    <w:p w14:paraId="567604F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评审时，磋商小组各成员应当独立对每个有效响应的文件进行评价、打分，然后汇总每个供应商每项评分因素的得分。</w:t>
      </w:r>
    </w:p>
    <w:p w14:paraId="214CA2F7">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（五）、推荐成交候选供应商</w:t>
      </w:r>
    </w:p>
    <w:p w14:paraId="33A8472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5.1 磋商小组根据综合评分情况，按照评审得分由高到低顺序推荐3名以上成交候选供应商，并编写评审报告。</w:t>
      </w:r>
    </w:p>
    <w:p w14:paraId="0BD3263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5.2符合《政府采购竞争性磋商采购方式管理暂行办法》第二十一条第三款及《财政部关于政府采购竞争性磋商采购方式管理暂行办法有关问题的补充通知》规定的情形，可以为2家。</w:t>
      </w:r>
      <w:r>
        <w:rPr>
          <w:rFonts w:hint="eastAsia" w:ascii="宋体" w:hAnsi="宋体" w:eastAsia="宋体" w:cs="宋体"/>
          <w:b/>
          <w:bCs/>
          <w:color w:val="auto"/>
          <w:sz w:val="24"/>
          <w:szCs w:val="24"/>
          <w:highlight w:val="none"/>
        </w:rPr>
        <w:t>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hint="eastAsia" w:ascii="宋体" w:hAnsi="宋体" w:eastAsia="宋体" w:cs="宋体"/>
          <w:bCs/>
          <w:color w:val="auto"/>
          <w:sz w:val="24"/>
          <w:szCs w:val="24"/>
        </w:rPr>
        <w:t>。</w:t>
      </w:r>
    </w:p>
    <w:p w14:paraId="447388EA">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（六）、编写评审报告</w:t>
      </w:r>
    </w:p>
    <w:p w14:paraId="5FC24A7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评审报告应当包括以下主要内容：</w:t>
      </w:r>
    </w:p>
    <w:p w14:paraId="4EB4ECE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6.1邀请供应商参加采购活动的具体方式和相关情况；</w:t>
      </w:r>
    </w:p>
    <w:p w14:paraId="0B81FFF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6.2响应文件开启日期和地点；</w:t>
      </w:r>
    </w:p>
    <w:p w14:paraId="752C2EB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6.3获取磋商文件的供应商名单和磋商小组成员名单；</w:t>
      </w:r>
    </w:p>
    <w:p w14:paraId="2D2236E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6.4评审情况记录和说明，包括对供应商的资格审查情况、供应商响应文件评审情况、磋商情况、报价情况等；</w:t>
      </w:r>
    </w:p>
    <w:p w14:paraId="448E56E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6.5提出的成交候选供应商的排序名单及理由。</w:t>
      </w:r>
    </w:p>
    <w:p w14:paraId="0158C46E">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（七）、终止采购</w:t>
      </w:r>
    </w:p>
    <w:p w14:paraId="7DD9554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出现下列情形之一的，采购人或者采购代理机构应当终止竞争性磋商采购活动，发布项目终止公告并说明原因，重新开展采购活动：</w:t>
      </w:r>
    </w:p>
    <w:p w14:paraId="7D63873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7.1因情况变化，不再符合规定的竞争性磋商采购方式适用情形的；</w:t>
      </w:r>
    </w:p>
    <w:p w14:paraId="4CFFEE6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7.2出现影响采购公正的违法、违规行为的；</w:t>
      </w:r>
    </w:p>
    <w:p w14:paraId="335107A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7.3除《政府采购竞争性磋商采购方式管理暂行办法》第二十一条第三款规定的情形外，在采购过程中符合要求的供应商或者报价未超过采购预算的供应商不足3家的（符合《政府采购竞争性磋商采购方式管理暂行办法》第二十一条第三款及《财政部关于政府采购竞争性磋商采购方式管理暂行办法有关问题的补充通知》规定的情形，可以为2家）。</w:t>
      </w:r>
    </w:p>
    <w:p w14:paraId="58FD418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bCs/>
          <w:color w:val="auto"/>
          <w:sz w:val="24"/>
          <w:szCs w:val="24"/>
        </w:rPr>
        <w:sectPr>
          <w:headerReference r:id="rId11" w:type="default"/>
          <w:footerReference r:id="rId12" w:type="default"/>
          <w:pgSz w:w="11906" w:h="16838"/>
          <w:pgMar w:top="1247" w:right="1247" w:bottom="1134" w:left="1644" w:header="851" w:footer="851" w:gutter="0"/>
          <w:cols w:space="720" w:num="1"/>
          <w:docGrid w:type="lines" w:linePitch="312" w:charSpace="0"/>
        </w:sectPr>
      </w:pPr>
      <w:r>
        <w:rPr>
          <w:rFonts w:hint="eastAsia" w:ascii="宋体" w:hAnsi="宋体" w:eastAsia="宋体" w:cs="宋体"/>
          <w:bCs/>
          <w:color w:val="auto"/>
          <w:sz w:val="24"/>
          <w:szCs w:val="24"/>
        </w:rPr>
        <w:t>在采购活动中因重大变故，采购任务取消的，采购人或者采购代理机构应当终止采购活动，通知所有参加采购活动的供应商，并将项目实施情况和采购任务取消原因报送</w:t>
      </w:r>
      <w:r>
        <w:rPr>
          <w:rFonts w:hint="eastAsia" w:ascii="宋体" w:hAnsi="宋体" w:eastAsia="宋体" w:cs="宋体"/>
          <w:bCs/>
          <w:color w:val="auto"/>
          <w:sz w:val="24"/>
          <w:szCs w:val="24"/>
          <w:lang w:eastAsia="zh-CN"/>
        </w:rPr>
        <w:t>相关监督管理</w:t>
      </w:r>
      <w:r>
        <w:rPr>
          <w:rFonts w:hint="eastAsia" w:ascii="宋体" w:hAnsi="宋体" w:eastAsia="宋体" w:cs="宋体"/>
          <w:bCs/>
          <w:color w:val="auto"/>
          <w:sz w:val="24"/>
          <w:szCs w:val="24"/>
        </w:rPr>
        <w:t>部门。</w:t>
      </w:r>
    </w:p>
    <w:p w14:paraId="599090C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right="167"/>
        <w:jc w:val="center"/>
        <w:textAlignment w:val="auto"/>
        <w:outlineLvl w:val="9"/>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详细评审表</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329"/>
        <w:gridCol w:w="855"/>
        <w:gridCol w:w="6099"/>
      </w:tblGrid>
      <w:tr w14:paraId="56C1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69" w:type="pct"/>
            <w:gridSpan w:val="2"/>
            <w:tcBorders>
              <w:tl2br w:val="nil"/>
              <w:tr2bl w:val="nil"/>
            </w:tcBorders>
            <w:vAlign w:val="center"/>
          </w:tcPr>
          <w:p w14:paraId="23F244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434" w:type="pct"/>
            <w:tcBorders>
              <w:tl2br w:val="nil"/>
              <w:tr2bl w:val="nil"/>
            </w:tcBorders>
            <w:vAlign w:val="center"/>
          </w:tcPr>
          <w:p w14:paraId="45B86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3096" w:type="pct"/>
            <w:tcBorders>
              <w:tl2br w:val="nil"/>
              <w:tr2bl w:val="nil"/>
            </w:tcBorders>
            <w:vAlign w:val="center"/>
          </w:tcPr>
          <w:p w14:paraId="0B245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27E4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66EC78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1181" w:type="pct"/>
            <w:tcBorders>
              <w:tl2br w:val="nil"/>
              <w:tr2bl w:val="nil"/>
            </w:tcBorders>
            <w:vAlign w:val="center"/>
          </w:tcPr>
          <w:p w14:paraId="67C7D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434" w:type="pct"/>
            <w:tcBorders>
              <w:tl2br w:val="nil"/>
              <w:tr2bl w:val="nil"/>
            </w:tcBorders>
            <w:vAlign w:val="center"/>
          </w:tcPr>
          <w:p w14:paraId="36506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3096" w:type="pct"/>
            <w:tcBorders>
              <w:tl2br w:val="nil"/>
              <w:tr2bl w:val="nil"/>
            </w:tcBorders>
            <w:vAlign w:val="center"/>
          </w:tcPr>
          <w:p w14:paraId="1010C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w:t>
            </w:r>
          </w:p>
        </w:tc>
      </w:tr>
      <w:tr w14:paraId="1443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 w:type="pct"/>
            <w:tcBorders>
              <w:tl2br w:val="nil"/>
              <w:tr2bl w:val="nil"/>
            </w:tcBorders>
            <w:vAlign w:val="center"/>
          </w:tcPr>
          <w:p w14:paraId="701FC8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1181" w:type="pct"/>
            <w:tcBorders>
              <w:tl2br w:val="nil"/>
              <w:tr2bl w:val="nil"/>
            </w:tcBorders>
            <w:vAlign w:val="center"/>
          </w:tcPr>
          <w:p w14:paraId="5CEFCE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技术部分</w:t>
            </w:r>
          </w:p>
        </w:tc>
        <w:tc>
          <w:tcPr>
            <w:tcW w:w="434" w:type="pct"/>
            <w:tcBorders>
              <w:tl2br w:val="nil"/>
              <w:tr2bl w:val="nil"/>
            </w:tcBorders>
            <w:vAlign w:val="center"/>
          </w:tcPr>
          <w:p w14:paraId="54668D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p>
        </w:tc>
        <w:tc>
          <w:tcPr>
            <w:tcW w:w="3096" w:type="pct"/>
            <w:tcBorders>
              <w:tl2br w:val="nil"/>
              <w:tr2bl w:val="nil"/>
            </w:tcBorders>
            <w:vAlign w:val="center"/>
          </w:tcPr>
          <w:p w14:paraId="0A583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37E6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78DFDD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181" w:type="pct"/>
            <w:tcBorders>
              <w:tl2br w:val="nil"/>
              <w:tr2bl w:val="nil"/>
            </w:tcBorders>
            <w:vAlign w:val="center"/>
          </w:tcPr>
          <w:p w14:paraId="531518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hAnsi="宋体" w:cs="宋体"/>
                <w:bCs/>
                <w:sz w:val="24"/>
                <w:lang w:val="en-US" w:eastAsia="zh-CN"/>
              </w:rPr>
              <w:t>总体方案</w:t>
            </w:r>
          </w:p>
        </w:tc>
        <w:tc>
          <w:tcPr>
            <w:tcW w:w="434" w:type="pct"/>
            <w:tcBorders>
              <w:tl2br w:val="nil"/>
              <w:tr2bl w:val="nil"/>
            </w:tcBorders>
            <w:vAlign w:val="center"/>
          </w:tcPr>
          <w:p w14:paraId="55251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16分</w:t>
            </w:r>
          </w:p>
        </w:tc>
        <w:tc>
          <w:tcPr>
            <w:tcW w:w="3096" w:type="pct"/>
            <w:tcBorders>
              <w:tl2br w:val="nil"/>
              <w:tr2bl w:val="nil"/>
            </w:tcBorders>
            <w:vAlign w:val="top"/>
          </w:tcPr>
          <w:p w14:paraId="4FD9BD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1、根据提供的整体技术解决方案情况，方案科学、一致性强、具有显著技术优势的得8分，方案良好得4分，方案满足基本要求不得分。 </w:t>
            </w:r>
          </w:p>
          <w:p w14:paraId="582D41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2、根据提供的项目实施计划情况，实施计划完整详细的得8分，计划一般得4 分，没有实施计划的不得分。</w:t>
            </w:r>
          </w:p>
        </w:tc>
      </w:tr>
      <w:tr w14:paraId="3D8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7" w:type="pct"/>
            <w:tcBorders>
              <w:tl2br w:val="nil"/>
              <w:tr2bl w:val="nil"/>
            </w:tcBorders>
            <w:vAlign w:val="center"/>
          </w:tcPr>
          <w:p w14:paraId="01400B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1181" w:type="pct"/>
            <w:tcBorders>
              <w:tl2br w:val="nil"/>
              <w:tr2bl w:val="nil"/>
            </w:tcBorders>
            <w:vAlign w:val="center"/>
          </w:tcPr>
          <w:p w14:paraId="356821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hAnsi="宋体" w:cs="宋体"/>
                <w:bCs/>
                <w:sz w:val="24"/>
              </w:rPr>
              <w:t>货物综合性能</w:t>
            </w:r>
          </w:p>
        </w:tc>
        <w:tc>
          <w:tcPr>
            <w:tcW w:w="434" w:type="pct"/>
            <w:tcBorders>
              <w:tl2br w:val="nil"/>
              <w:tr2bl w:val="nil"/>
            </w:tcBorders>
            <w:vAlign w:val="center"/>
          </w:tcPr>
          <w:p w14:paraId="24ADCE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15分</w:t>
            </w:r>
          </w:p>
        </w:tc>
        <w:tc>
          <w:tcPr>
            <w:tcW w:w="3096" w:type="pct"/>
            <w:tcBorders>
              <w:tl2br w:val="nil"/>
              <w:tr2bl w:val="nil"/>
            </w:tcBorders>
            <w:vAlign w:val="top"/>
          </w:tcPr>
          <w:p w14:paraId="446DA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综合考虑投报货物的品质、功能、技术指标以及货物的先进性、可扩展性、可靠性、安全性程度，结合操作的方便性、简易性、易维护性程度进行评定，优得</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分，良得</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分，一般得3分；缺项不得分。</w:t>
            </w:r>
          </w:p>
        </w:tc>
      </w:tr>
      <w:tr w14:paraId="483B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06F53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1181" w:type="pct"/>
            <w:tcBorders>
              <w:tl2br w:val="nil"/>
              <w:tr2bl w:val="nil"/>
            </w:tcBorders>
            <w:vAlign w:val="center"/>
          </w:tcPr>
          <w:p w14:paraId="374720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hAnsi="宋体"/>
                <w:sz w:val="24"/>
              </w:rPr>
              <w:t>售后服务承诺</w:t>
            </w:r>
          </w:p>
        </w:tc>
        <w:tc>
          <w:tcPr>
            <w:tcW w:w="434" w:type="pct"/>
            <w:tcBorders>
              <w:tl2br w:val="nil"/>
              <w:tr2bl w:val="nil"/>
            </w:tcBorders>
            <w:vAlign w:val="center"/>
          </w:tcPr>
          <w:p w14:paraId="71AFE1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9分</w:t>
            </w:r>
          </w:p>
        </w:tc>
        <w:tc>
          <w:tcPr>
            <w:tcW w:w="3096" w:type="pct"/>
            <w:tcBorders>
              <w:tl2br w:val="nil"/>
              <w:tr2bl w:val="nil"/>
            </w:tcBorders>
            <w:vAlign w:val="top"/>
          </w:tcPr>
          <w:p w14:paraId="655D8C4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由磋商小组对供应商在技术支持、售后服务及培训等方面进行综合评定，优得9分，良得6分，一般得3分。缺项不得分。</w:t>
            </w:r>
          </w:p>
          <w:p w14:paraId="046F909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注：供应商须将加盖单位公章的针对本项目的售后服务承诺书，编制在电子响应文件中，否则不予认可。</w:t>
            </w:r>
          </w:p>
        </w:tc>
      </w:tr>
      <w:tr w14:paraId="73A9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7B93F9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81" w:type="pct"/>
            <w:tcBorders>
              <w:tl2br w:val="nil"/>
              <w:tr2bl w:val="nil"/>
            </w:tcBorders>
            <w:vAlign w:val="center"/>
          </w:tcPr>
          <w:p w14:paraId="55FE1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hAnsi="宋体"/>
                <w:sz w:val="24"/>
              </w:rPr>
            </w:pPr>
            <w:r>
              <w:rPr>
                <w:rFonts w:hint="eastAsia" w:ascii="宋体" w:hAnsi="宋体" w:cs="宋体"/>
                <w:bCs/>
                <w:color w:val="000000"/>
                <w:sz w:val="24"/>
              </w:rPr>
              <w:t>供货方案</w:t>
            </w:r>
          </w:p>
        </w:tc>
        <w:tc>
          <w:tcPr>
            <w:tcW w:w="434" w:type="pct"/>
            <w:tcBorders>
              <w:tl2br w:val="nil"/>
              <w:tr2bl w:val="nil"/>
            </w:tcBorders>
            <w:vAlign w:val="center"/>
          </w:tcPr>
          <w:p w14:paraId="664705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3096" w:type="pct"/>
            <w:tcBorders>
              <w:tl2br w:val="nil"/>
              <w:tr2bl w:val="nil"/>
            </w:tcBorders>
            <w:vAlign w:val="top"/>
          </w:tcPr>
          <w:p w14:paraId="2739D86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0" w:firstLineChars="200"/>
              <w:textAlignment w:val="auto"/>
              <w:rPr>
                <w:rFonts w:hint="eastAsia" w:ascii="宋体" w:hAnsi="宋体" w:eastAsia="宋体" w:cs="宋体"/>
                <w:b/>
                <w:bCs w:val="0"/>
                <w:color w:val="auto"/>
                <w:sz w:val="24"/>
                <w:szCs w:val="24"/>
                <w:highlight w:val="none"/>
                <w:lang w:val="en-US" w:eastAsia="zh-CN"/>
              </w:rPr>
            </w:pPr>
            <w:r>
              <w:rPr>
                <w:rFonts w:hint="default" w:eastAsia="宋体"/>
                <w:lang w:val="en-US" w:eastAsia="zh-CN"/>
              </w:rPr>
              <w:t>由磋商小组对供应商提供的供货方案及保障措施进行进行综合评定，优得</w:t>
            </w:r>
            <w:r>
              <w:rPr>
                <w:rFonts w:hint="eastAsia"/>
                <w:lang w:val="en-US" w:eastAsia="zh-CN"/>
              </w:rPr>
              <w:t>10</w:t>
            </w:r>
            <w:r>
              <w:rPr>
                <w:rFonts w:hint="default" w:eastAsia="宋体"/>
                <w:lang w:val="en-US" w:eastAsia="zh-CN"/>
              </w:rPr>
              <w:t>分，良得</w:t>
            </w:r>
            <w:r>
              <w:rPr>
                <w:rFonts w:hint="eastAsia"/>
                <w:lang w:val="en-US" w:eastAsia="zh-CN"/>
              </w:rPr>
              <w:t>6</w:t>
            </w:r>
            <w:r>
              <w:rPr>
                <w:rFonts w:hint="default" w:eastAsia="宋体"/>
                <w:lang w:val="en-US" w:eastAsia="zh-CN"/>
              </w:rPr>
              <w:t>分，一般得</w:t>
            </w:r>
            <w:r>
              <w:rPr>
                <w:rFonts w:hint="eastAsia"/>
                <w:lang w:val="en-US" w:eastAsia="zh-CN"/>
              </w:rPr>
              <w:t>2</w:t>
            </w:r>
            <w:r>
              <w:rPr>
                <w:rFonts w:hint="default" w:eastAsia="宋体"/>
                <w:lang w:val="en-US" w:eastAsia="zh-CN"/>
              </w:rPr>
              <w:t>分。缺项不得分。</w:t>
            </w:r>
          </w:p>
        </w:tc>
      </w:tr>
      <w:tr w14:paraId="635D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7CEB29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1181" w:type="pct"/>
            <w:tcBorders>
              <w:tl2br w:val="nil"/>
              <w:tr2bl w:val="nil"/>
            </w:tcBorders>
            <w:vAlign w:val="center"/>
          </w:tcPr>
          <w:p w14:paraId="1633C2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000000"/>
                <w:sz w:val="24"/>
                <w:lang w:eastAsia="zh-CN"/>
              </w:rPr>
            </w:pPr>
            <w:r>
              <w:rPr>
                <w:rFonts w:hint="eastAsia" w:ascii="宋体" w:hAnsi="宋体" w:cs="宋体"/>
                <w:bCs/>
                <w:color w:val="000000"/>
                <w:sz w:val="24"/>
                <w:lang w:eastAsia="zh-CN"/>
              </w:rPr>
              <w:t>资信部分</w:t>
            </w:r>
          </w:p>
        </w:tc>
        <w:tc>
          <w:tcPr>
            <w:tcW w:w="434" w:type="pct"/>
            <w:tcBorders>
              <w:tl2br w:val="nil"/>
              <w:tr2bl w:val="nil"/>
            </w:tcBorders>
            <w:vAlign w:val="center"/>
          </w:tcPr>
          <w:p w14:paraId="213DC2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c>
          <w:tcPr>
            <w:tcW w:w="3096" w:type="pct"/>
            <w:tcBorders>
              <w:tl2br w:val="nil"/>
              <w:tr2bl w:val="nil"/>
            </w:tcBorders>
            <w:vAlign w:val="top"/>
          </w:tcPr>
          <w:p w14:paraId="6EBADD4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0" w:firstLineChars="200"/>
              <w:textAlignment w:val="auto"/>
              <w:rPr>
                <w:rFonts w:hint="default" w:eastAsia="宋体"/>
                <w:lang w:val="en-US" w:eastAsia="zh-CN"/>
              </w:rPr>
            </w:pPr>
          </w:p>
        </w:tc>
      </w:tr>
      <w:tr w14:paraId="59E8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5FA1D6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29" w:type="dxa"/>
            <w:tcBorders>
              <w:tl2br w:val="nil"/>
              <w:tr2bl w:val="nil"/>
            </w:tcBorders>
            <w:vAlign w:val="center"/>
          </w:tcPr>
          <w:p w14:paraId="615DEF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资质认证</w:t>
            </w:r>
          </w:p>
        </w:tc>
        <w:tc>
          <w:tcPr>
            <w:tcW w:w="855" w:type="dxa"/>
            <w:tcBorders>
              <w:tl2br w:val="nil"/>
              <w:tr2bl w:val="nil"/>
            </w:tcBorders>
            <w:vAlign w:val="center"/>
          </w:tcPr>
          <w:p w14:paraId="030B6D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hAnsi="宋体" w:cs="宋体"/>
                <w:sz w:val="24"/>
                <w:lang w:val="en-US" w:eastAsia="zh-CN"/>
              </w:rPr>
              <w:t>9</w:t>
            </w:r>
            <w:r>
              <w:rPr>
                <w:rFonts w:hint="eastAsia" w:hAnsi="宋体" w:cs="宋体"/>
                <w:sz w:val="24"/>
              </w:rPr>
              <w:t>分</w:t>
            </w:r>
          </w:p>
        </w:tc>
        <w:tc>
          <w:tcPr>
            <w:tcW w:w="6099" w:type="dxa"/>
            <w:tcBorders>
              <w:tl2br w:val="nil"/>
              <w:tr2bl w:val="nil"/>
            </w:tcBorders>
            <w:vAlign w:val="center"/>
          </w:tcPr>
          <w:p w14:paraId="193AE922">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cs="宋体"/>
                <w:bCs/>
                <w:sz w:val="24"/>
                <w:highlight w:val="none"/>
                <w:lang w:eastAsia="zh-CN"/>
              </w:rPr>
            </w:pPr>
            <w:r>
              <w:rPr>
                <w:rFonts w:hint="eastAsia" w:ascii="宋体" w:hAnsi="宋体" w:cs="宋体"/>
                <w:bCs/>
                <w:sz w:val="24"/>
                <w:highlight w:val="none"/>
                <w:lang w:eastAsia="zh-CN"/>
              </w:rPr>
              <w:t>供应商</w:t>
            </w:r>
            <w:r>
              <w:rPr>
                <w:rFonts w:hint="eastAsia" w:ascii="宋体" w:hAnsi="宋体" w:cs="宋体"/>
                <w:bCs/>
                <w:sz w:val="24"/>
                <w:highlight w:val="none"/>
              </w:rPr>
              <w:t>通过ISO9001质量体系认证</w:t>
            </w:r>
            <w:r>
              <w:rPr>
                <w:rFonts w:hint="eastAsia" w:ascii="宋体" w:hAnsi="宋体" w:cs="宋体"/>
                <w:bCs/>
                <w:sz w:val="24"/>
                <w:highlight w:val="none"/>
                <w:lang w:eastAsia="zh-CN"/>
              </w:rPr>
              <w:t>、</w:t>
            </w:r>
            <w:r>
              <w:rPr>
                <w:rFonts w:hint="eastAsia" w:ascii="宋体" w:hAnsi="宋体" w:cs="宋体"/>
                <w:bCs/>
                <w:sz w:val="24"/>
                <w:highlight w:val="none"/>
                <w:lang w:val="en-US" w:eastAsia="zh-CN"/>
              </w:rPr>
              <w:t>ISO14001环境管理体系认证、ISO45001职业健康管理体系认证</w:t>
            </w:r>
            <w:r>
              <w:rPr>
                <w:rFonts w:hint="eastAsia" w:ascii="宋体" w:hAnsi="宋体" w:cs="宋体"/>
                <w:bCs/>
                <w:sz w:val="24"/>
                <w:highlight w:val="none"/>
              </w:rPr>
              <w:t>的</w:t>
            </w:r>
            <w:r>
              <w:rPr>
                <w:rFonts w:hint="eastAsia" w:ascii="宋体" w:hAnsi="宋体" w:cs="宋体"/>
                <w:bCs/>
                <w:sz w:val="24"/>
                <w:highlight w:val="none"/>
                <w:lang w:eastAsia="zh-CN"/>
              </w:rPr>
              <w:t>，每得一项得</w:t>
            </w:r>
            <w:r>
              <w:rPr>
                <w:rFonts w:hint="eastAsia" w:ascii="宋体" w:hAnsi="宋体" w:cs="宋体"/>
                <w:bCs/>
                <w:sz w:val="24"/>
                <w:highlight w:val="none"/>
                <w:lang w:val="en-US" w:eastAsia="zh-CN"/>
              </w:rPr>
              <w:t>1分，最高</w:t>
            </w:r>
            <w:r>
              <w:rPr>
                <w:rFonts w:hint="eastAsia" w:ascii="宋体" w:hAnsi="宋体" w:cs="宋体"/>
                <w:bCs/>
                <w:sz w:val="24"/>
                <w:highlight w:val="none"/>
              </w:rPr>
              <w:t>得</w:t>
            </w:r>
            <w:r>
              <w:rPr>
                <w:rFonts w:hint="eastAsia" w:ascii="宋体" w:hAnsi="宋体" w:cs="宋体"/>
                <w:bCs/>
                <w:sz w:val="24"/>
                <w:highlight w:val="none"/>
                <w:lang w:val="en-US" w:eastAsia="zh-CN"/>
              </w:rPr>
              <w:t>3</w:t>
            </w:r>
            <w:r>
              <w:rPr>
                <w:rFonts w:hint="eastAsia" w:ascii="宋体" w:hAnsi="宋体" w:cs="宋体"/>
                <w:bCs/>
                <w:sz w:val="24"/>
                <w:highlight w:val="none"/>
              </w:rPr>
              <w:t>分</w:t>
            </w:r>
            <w:r>
              <w:rPr>
                <w:rFonts w:hint="eastAsia" w:ascii="宋体" w:hAnsi="宋体" w:cs="宋体"/>
                <w:bCs/>
                <w:sz w:val="24"/>
                <w:highlight w:val="none"/>
                <w:lang w:eastAsia="zh-CN"/>
              </w:rPr>
              <w:t>。</w:t>
            </w:r>
          </w:p>
          <w:p w14:paraId="0DA52E0F">
            <w:pPr>
              <w:pStyle w:val="32"/>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480" w:firstLineChars="0"/>
              <w:textAlignment w:val="auto"/>
              <w:rPr>
                <w:rFonts w:hint="eastAsia" w:ascii="宋体" w:hAnsi="宋体" w:cs="宋体"/>
                <w:bCs/>
                <w:sz w:val="24"/>
                <w:highlight w:val="none"/>
                <w:lang w:val="en-US" w:eastAsia="zh-CN"/>
              </w:rPr>
            </w:pPr>
            <w:r>
              <w:rPr>
                <w:rFonts w:hint="eastAsia" w:ascii="宋体" w:hAnsi="宋体" w:cs="宋体"/>
                <w:bCs/>
                <w:sz w:val="24"/>
                <w:highlight w:val="none"/>
                <w:lang w:eastAsia="zh-CN"/>
              </w:rPr>
              <w:t>供应商获得</w:t>
            </w:r>
            <w:r>
              <w:rPr>
                <w:rFonts w:hint="eastAsia" w:ascii="宋体" w:hAnsi="宋体" w:cs="宋体"/>
                <w:bCs/>
                <w:sz w:val="24"/>
                <w:highlight w:val="none"/>
                <w:lang w:val="en-US" w:eastAsia="zh-CN"/>
              </w:rPr>
              <w:t>AAA企业信用等级认证证书的得3分，没有则不得分。</w:t>
            </w:r>
          </w:p>
          <w:p w14:paraId="6E29194A">
            <w:pPr>
              <w:pStyle w:val="32"/>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480" w:firstLineChars="0"/>
              <w:textAlignment w:val="auto"/>
              <w:rPr>
                <w:rFonts w:hint="default"/>
                <w:lang w:val="en-US" w:eastAsia="zh-CN"/>
              </w:rPr>
            </w:pPr>
            <w:r>
              <w:rPr>
                <w:rFonts w:hint="eastAsia" w:ascii="宋体" w:hAnsi="宋体" w:cs="宋体"/>
                <w:bCs/>
                <w:sz w:val="24"/>
                <w:highlight w:val="none"/>
                <w:lang w:eastAsia="zh-CN"/>
              </w:rPr>
              <w:t>供应商所投标产品有专利证书的</w:t>
            </w:r>
            <w:r>
              <w:rPr>
                <w:rFonts w:hint="eastAsia" w:ascii="宋体" w:hAnsi="宋体" w:cs="宋体"/>
                <w:bCs/>
                <w:sz w:val="24"/>
                <w:highlight w:val="none"/>
                <w:lang w:val="en-US" w:eastAsia="zh-CN"/>
              </w:rPr>
              <w:t>得3分，没有则不得分。</w:t>
            </w:r>
          </w:p>
          <w:p w14:paraId="560E39E7">
            <w:pPr>
              <w:pStyle w:val="8"/>
              <w:keepNext w:val="0"/>
              <w:keepLines w:val="0"/>
              <w:pageBreakBefore w:val="0"/>
              <w:suppressLineNumbers w:val="0"/>
              <w:kinsoku/>
              <w:wordWrap/>
              <w:overflowPunct/>
              <w:topLinePunct w:val="0"/>
              <w:bidi w:val="0"/>
              <w:spacing w:beforeAutospacing="0" w:after="0" w:afterAutospacing="0" w:line="360" w:lineRule="auto"/>
              <w:ind w:left="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lang w:eastAsia="zh-CN"/>
              </w:rPr>
              <w:t>注：验证以认证证书为准，</w:t>
            </w:r>
            <w:r>
              <w:rPr>
                <w:rFonts w:hint="eastAsia" w:ascii="宋体" w:hAnsi="宋体"/>
                <w:b/>
                <w:bCs/>
                <w:sz w:val="24"/>
                <w:highlight w:val="none"/>
              </w:rPr>
              <w:t>供应商须将</w:t>
            </w:r>
            <w:r>
              <w:rPr>
                <w:rFonts w:hint="eastAsia" w:ascii="宋体" w:hAnsi="宋体"/>
                <w:b/>
                <w:bCs/>
                <w:sz w:val="24"/>
                <w:highlight w:val="none"/>
                <w:lang w:eastAsia="zh-CN"/>
              </w:rPr>
              <w:t>认证证书</w:t>
            </w:r>
            <w:r>
              <w:rPr>
                <w:rFonts w:hint="eastAsia" w:ascii="宋体" w:hAnsi="宋体"/>
                <w:b/>
                <w:bCs/>
                <w:sz w:val="24"/>
                <w:highlight w:val="none"/>
              </w:rPr>
              <w:t>的扫描件或复印件</w:t>
            </w:r>
            <w:r>
              <w:rPr>
                <w:rFonts w:hint="eastAsia" w:ascii="宋体" w:hAnsi="宋体"/>
                <w:b/>
                <w:bCs/>
                <w:sz w:val="24"/>
                <w:highlight w:val="none"/>
                <w:lang w:val="en-US" w:eastAsia="zh-CN"/>
              </w:rPr>
              <w:t>编制</w:t>
            </w:r>
            <w:r>
              <w:rPr>
                <w:rFonts w:hint="eastAsia" w:ascii="宋体" w:hAnsi="宋体"/>
                <w:b/>
                <w:bCs/>
                <w:sz w:val="24"/>
                <w:highlight w:val="none"/>
              </w:rPr>
              <w:t>在</w:t>
            </w:r>
            <w:r>
              <w:rPr>
                <w:rFonts w:hint="eastAsia" w:ascii="宋体" w:hAnsi="宋体"/>
                <w:b/>
                <w:bCs/>
                <w:sz w:val="24"/>
                <w:highlight w:val="none"/>
                <w:lang w:val="en-US" w:eastAsia="zh-CN"/>
              </w:rPr>
              <w:t>电子</w:t>
            </w:r>
            <w:r>
              <w:rPr>
                <w:rFonts w:hint="eastAsia" w:ascii="宋体" w:hAnsi="宋体"/>
                <w:b/>
                <w:bCs/>
                <w:sz w:val="24"/>
                <w:highlight w:val="none"/>
              </w:rPr>
              <w:t>响应文件中，否则不予认可</w:t>
            </w:r>
            <w:r>
              <w:rPr>
                <w:rFonts w:hint="eastAsia" w:ascii="宋体" w:hAnsi="宋体"/>
                <w:b/>
                <w:bCs/>
                <w:sz w:val="24"/>
                <w:highlight w:val="none"/>
                <w:lang w:eastAsia="zh-CN"/>
              </w:rPr>
              <w:t>。</w:t>
            </w:r>
          </w:p>
        </w:tc>
      </w:tr>
      <w:tr w14:paraId="0187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659779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29" w:type="dxa"/>
            <w:tcBorders>
              <w:tl2br w:val="nil"/>
              <w:tr2bl w:val="nil"/>
            </w:tcBorders>
            <w:vAlign w:val="center"/>
          </w:tcPr>
          <w:p w14:paraId="355929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p w14:paraId="67A927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855" w:type="dxa"/>
            <w:tcBorders>
              <w:tl2br w:val="nil"/>
              <w:tr2bl w:val="nil"/>
            </w:tcBorders>
            <w:vAlign w:val="center"/>
          </w:tcPr>
          <w:p w14:paraId="1F4032C3">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b/>
                <w:bCs/>
                <w:sz w:val="24"/>
                <w:lang w:val="en-US" w:eastAsia="zh-CN"/>
              </w:rPr>
              <w:t>6</w:t>
            </w:r>
            <w:r>
              <w:rPr>
                <w:rFonts w:hint="eastAsia"/>
                <w:b/>
                <w:bCs/>
                <w:sz w:val="24"/>
              </w:rPr>
              <w:t>分</w:t>
            </w:r>
          </w:p>
        </w:tc>
        <w:tc>
          <w:tcPr>
            <w:tcW w:w="6099" w:type="dxa"/>
            <w:tcBorders>
              <w:tl2br w:val="nil"/>
              <w:tr2bl w:val="nil"/>
            </w:tcBorders>
            <w:vAlign w:val="center"/>
          </w:tcPr>
          <w:p w14:paraId="438940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供应商自2020年1月1日</w:t>
            </w:r>
            <w:r>
              <w:rPr>
                <w:rFonts w:hint="eastAsia" w:ascii="宋体" w:hAnsi="宋体" w:eastAsia="宋体" w:cs="宋体"/>
                <w:color w:val="auto"/>
                <w:sz w:val="24"/>
                <w:szCs w:val="24"/>
                <w:highlight w:val="none"/>
                <w:lang w:eastAsia="zh-CN"/>
              </w:rPr>
              <w:t>以来，具有供热项目换热站热力设备的设备供应及安装业绩</w:t>
            </w:r>
            <w:r>
              <w:rPr>
                <w:rFonts w:hint="eastAsia" w:ascii="宋体" w:hAnsi="宋体" w:cs="宋体"/>
                <w:color w:val="auto"/>
                <w:sz w:val="24"/>
                <w:szCs w:val="24"/>
                <w:highlight w:val="none"/>
                <w:lang w:eastAsia="zh-CN"/>
              </w:rPr>
              <w:t>等类似业绩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每提供一项得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分，本项最多得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5759E0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注：①主要产品业绩：是指供应商业绩或供应商所投产品生产厂家业绩。</w:t>
            </w:r>
          </w:p>
          <w:p w14:paraId="2B4F92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②验证时间以合同为准，</w:t>
            </w:r>
            <w:r>
              <w:rPr>
                <w:rFonts w:hint="eastAsia" w:ascii="宋体" w:hAnsi="宋体" w:cs="宋体"/>
                <w:b/>
                <w:bCs/>
                <w:color w:val="auto"/>
                <w:sz w:val="24"/>
                <w:szCs w:val="24"/>
                <w:highlight w:val="none"/>
                <w:lang w:val="en-US" w:eastAsia="zh-CN"/>
              </w:rPr>
              <w:t>合同中需体现合同双方及签章页、合同范围、服务内容、合同规模、设备参数等主要信息，</w:t>
            </w:r>
            <w:r>
              <w:rPr>
                <w:rFonts w:hint="eastAsia" w:ascii="宋体" w:hAnsi="宋体" w:eastAsia="宋体" w:cs="宋体"/>
                <w:b/>
                <w:bCs/>
                <w:color w:val="auto"/>
                <w:sz w:val="24"/>
                <w:szCs w:val="24"/>
                <w:highlight w:val="none"/>
                <w:lang w:val="en-US" w:eastAsia="zh-CN"/>
              </w:rPr>
              <w:t>供应商须将合同的扫描件或复印件编制在电子响应文件中，否则不予认可。</w:t>
            </w:r>
          </w:p>
        </w:tc>
      </w:tr>
      <w:tr w14:paraId="17A7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10DB2B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29" w:type="dxa"/>
            <w:tcBorders>
              <w:tl2br w:val="nil"/>
              <w:tr2bl w:val="nil"/>
            </w:tcBorders>
            <w:vAlign w:val="center"/>
          </w:tcPr>
          <w:p w14:paraId="75E43B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p w14:paraId="4AA93A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855" w:type="dxa"/>
            <w:tcBorders>
              <w:tl2br w:val="nil"/>
              <w:tr2bl w:val="nil"/>
            </w:tcBorders>
            <w:vAlign w:val="center"/>
          </w:tcPr>
          <w:p w14:paraId="71A221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099" w:type="dxa"/>
            <w:tcBorders>
              <w:tl2br w:val="nil"/>
              <w:tr2bl w:val="nil"/>
            </w:tcBorders>
            <w:vAlign w:val="center"/>
          </w:tcPr>
          <w:p w14:paraId="542D8C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免费质保期满足竞争性磋商文件要求不得分，每增加一年得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分，本项最多得为</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3CCB10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注：供应商须将针对本项目的质保函（加盖本单位公章）</w:t>
            </w:r>
            <w:r>
              <w:rPr>
                <w:rFonts w:hint="eastAsia" w:ascii="宋体" w:hAnsi="宋体" w:eastAsia="宋体" w:cs="宋体"/>
                <w:b/>
                <w:bCs/>
                <w:color w:val="auto"/>
                <w:sz w:val="24"/>
                <w:szCs w:val="24"/>
                <w:highlight w:val="none"/>
                <w:lang w:val="en-US" w:eastAsia="zh-CN"/>
              </w:rPr>
              <w:t>编制</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电子</w:t>
            </w:r>
            <w:r>
              <w:rPr>
                <w:rFonts w:hint="eastAsia" w:ascii="宋体" w:hAnsi="宋体" w:eastAsia="宋体" w:cs="宋体"/>
                <w:b/>
                <w:bCs/>
                <w:color w:val="auto"/>
                <w:sz w:val="24"/>
                <w:szCs w:val="24"/>
                <w:highlight w:val="none"/>
              </w:rPr>
              <w:t>响应文件中，否则不得分。</w:t>
            </w:r>
          </w:p>
        </w:tc>
      </w:tr>
      <w:tr w14:paraId="2412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5EFE9B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329" w:type="dxa"/>
            <w:tcBorders>
              <w:tl2br w:val="nil"/>
              <w:tr2bl w:val="nil"/>
            </w:tcBorders>
            <w:vAlign w:val="center"/>
          </w:tcPr>
          <w:p w14:paraId="495A4C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855" w:type="dxa"/>
            <w:tcBorders>
              <w:tl2br w:val="nil"/>
              <w:tr2bl w:val="nil"/>
            </w:tcBorders>
            <w:vAlign w:val="center"/>
          </w:tcPr>
          <w:p w14:paraId="6AFDB7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6099" w:type="dxa"/>
            <w:tcBorders>
              <w:tl2br w:val="nil"/>
              <w:tr2bl w:val="nil"/>
            </w:tcBorders>
            <w:vAlign w:val="center"/>
          </w:tcPr>
          <w:p w14:paraId="740963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供货期满足竞争性磋商文件要求不得分，每提前</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天得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eastAsia="zh-CN"/>
              </w:rPr>
              <w:t>分，本项最多得为</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75B629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注：供应商须将针对本项目的</w:t>
            </w:r>
            <w:r>
              <w:rPr>
                <w:rFonts w:hint="eastAsia" w:ascii="宋体" w:hAnsi="宋体" w:cs="宋体"/>
                <w:b/>
                <w:bCs/>
                <w:color w:val="auto"/>
                <w:sz w:val="24"/>
                <w:szCs w:val="24"/>
                <w:highlight w:val="none"/>
                <w:lang w:eastAsia="zh-CN"/>
              </w:rPr>
              <w:t>具体供货安装时间</w:t>
            </w:r>
            <w:r>
              <w:rPr>
                <w:rFonts w:hint="eastAsia" w:ascii="宋体" w:hAnsi="宋体" w:eastAsia="宋体" w:cs="宋体"/>
                <w:b/>
                <w:bCs/>
                <w:color w:val="auto"/>
                <w:sz w:val="24"/>
                <w:szCs w:val="24"/>
                <w:highlight w:val="none"/>
                <w:lang w:val="en-US" w:eastAsia="zh-CN"/>
              </w:rPr>
              <w:t>编制</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电子</w:t>
            </w:r>
            <w:r>
              <w:rPr>
                <w:rFonts w:hint="eastAsia" w:ascii="宋体" w:hAnsi="宋体" w:eastAsia="宋体" w:cs="宋体"/>
                <w:b/>
                <w:bCs/>
                <w:color w:val="auto"/>
                <w:sz w:val="24"/>
                <w:szCs w:val="24"/>
                <w:highlight w:val="none"/>
              </w:rPr>
              <w:t>响应文件中（加盖本单位公章），否则不得分。</w:t>
            </w:r>
          </w:p>
        </w:tc>
      </w:tr>
    </w:tbl>
    <w:p w14:paraId="36E58ADD">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注：一、总得分相同者，按最终报价低的名次在前；总得分相同，最终报价也相同的，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hint="eastAsia" w:ascii="宋体" w:hAnsi="宋体" w:eastAsia="宋体" w:cs="宋体"/>
          <w:b/>
          <w:bCs/>
          <w:color w:val="auto"/>
          <w:sz w:val="24"/>
          <w:szCs w:val="24"/>
          <w:highlight w:val="none"/>
        </w:rPr>
        <w:t>。</w:t>
      </w:r>
    </w:p>
    <w:p w14:paraId="287206ED">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二、评分分值计算保留小数点后两位，小数点后第三位“四舍五入”。</w:t>
      </w:r>
    </w:p>
    <w:p w14:paraId="6325802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三、评分办法中涉及资信按照相关要求提供，供应商应保证相关证件的真实性。</w:t>
      </w:r>
    </w:p>
    <w:p w14:paraId="137E011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、提供虚假证明材料的，取消其竞标资格；若如日后查出以虚假证明材料谋取成交的，一经查实，采购人可以随时终止采购合同，并由该单位赔偿采购人的一切损失。</w:t>
      </w:r>
    </w:p>
    <w:p w14:paraId="433F0F35">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6C64997">
      <w:pPr>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14" w:name="_Toc17240_WPSOffice_Level1"/>
      <w:bookmarkStart w:id="15" w:name="_Toc2171"/>
      <w:r>
        <w:rPr>
          <w:rFonts w:ascii="宋体" w:hAnsi="宋体" w:cs="宋体"/>
          <w:b/>
          <w:color w:val="auto"/>
          <w:sz w:val="24"/>
          <w:highlight w:val="none"/>
        </w:rPr>
        <w:t>第四部分  采购内容及要求</w:t>
      </w:r>
      <w:bookmarkEnd w:id="12"/>
      <w:bookmarkEnd w:id="14"/>
      <w:bookmarkEnd w:id="15"/>
    </w:p>
    <w:p w14:paraId="0532CB16">
      <w:pPr>
        <w:adjustRightInd w:val="0"/>
        <w:snapToGrid w:val="0"/>
        <w:spacing w:line="56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lang w:eastAsia="zh-CN"/>
        </w:rPr>
        <w:t>第一部分：</w:t>
      </w:r>
      <w:r>
        <w:rPr>
          <w:rFonts w:ascii="宋体" w:hAnsi="宋体" w:cs="宋体"/>
          <w:b/>
          <w:bCs/>
          <w:color w:val="auto"/>
          <w:sz w:val="24"/>
          <w:highlight w:val="none"/>
        </w:rPr>
        <w:t>重要说明：</w:t>
      </w:r>
    </w:p>
    <w:p w14:paraId="47ADE788">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1、以下采购项目需求为采购人提出，根据《政府采购法实施条例》第二十条规定：采购人或者采购代理机构有下列情形之一的，属于以不合理的条件对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6081190F">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4E966844">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70CBE64A">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36AFEDD3">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42AF0E4A">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325F91A7">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7917CE21">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3726F4DB">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5F2A306C">
      <w:pPr>
        <w:spacing w:line="560" w:lineRule="exact"/>
        <w:ind w:firstLine="480" w:firstLineChars="200"/>
        <w:rPr>
          <w:rFonts w:hint="default" w:ascii="宋体" w:hAnsi="宋体" w:cs="宋体"/>
          <w:color w:val="auto"/>
          <w:sz w:val="24"/>
          <w:highlight w:val="none"/>
        </w:rPr>
      </w:pPr>
      <w:r>
        <w:rPr>
          <w:rFonts w:hint="default" w:ascii="宋体" w:hAnsi="宋体" w:cs="宋体"/>
          <w:color w:val="auto"/>
          <w:sz w:val="24"/>
          <w:highlight w:val="none"/>
        </w:rPr>
        <w:t>2、质疑方式及电话：</w:t>
      </w:r>
    </w:p>
    <w:p w14:paraId="4C30E9E1">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.采购人信息</w:t>
      </w:r>
      <w:r>
        <w:rPr>
          <w:rFonts w:hint="eastAsia" w:ascii="宋体" w:hAnsi="宋体" w:eastAsia="宋体" w:cs="宋体"/>
          <w:color w:val="auto"/>
          <w:sz w:val="24"/>
          <w:szCs w:val="24"/>
        </w:rPr>
        <w:t xml:space="preserve"> </w:t>
      </w:r>
    </w:p>
    <w:p w14:paraId="665550A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cs="宋体"/>
          <w:color w:val="auto"/>
          <w:sz w:val="24"/>
          <w:szCs w:val="24"/>
          <w:lang w:eastAsia="zh-CN"/>
        </w:rPr>
        <w:t>邹城市钢山街道崇义庄村村民委员会</w:t>
      </w:r>
      <w:r>
        <w:rPr>
          <w:rFonts w:hint="eastAsia" w:ascii="宋体" w:hAnsi="宋体" w:eastAsia="宋体" w:cs="宋体"/>
          <w:color w:val="auto"/>
          <w:sz w:val="24"/>
          <w:szCs w:val="24"/>
        </w:rPr>
        <w:t xml:space="preserve">     </w:t>
      </w:r>
    </w:p>
    <w:p w14:paraId="39B00CC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cs="宋体"/>
          <w:color w:val="auto"/>
          <w:sz w:val="24"/>
          <w:szCs w:val="24"/>
          <w:lang w:eastAsia="zh-CN"/>
        </w:rPr>
        <w:t>邹城市崇义家园</w:t>
      </w:r>
      <w:r>
        <w:rPr>
          <w:rFonts w:hint="eastAsia" w:ascii="宋体" w:hAnsi="宋体" w:eastAsia="宋体" w:cs="宋体"/>
          <w:color w:val="auto"/>
          <w:sz w:val="24"/>
          <w:szCs w:val="24"/>
        </w:rPr>
        <w:t xml:space="preserve"> </w:t>
      </w:r>
    </w:p>
    <w:p w14:paraId="7BEF659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cs="宋体"/>
          <w:color w:val="auto"/>
          <w:sz w:val="24"/>
          <w:szCs w:val="24"/>
          <w:lang w:eastAsia="zh-CN"/>
        </w:rPr>
        <w:t>侯主任</w:t>
      </w:r>
      <w:r>
        <w:rPr>
          <w:rFonts w:hint="eastAsia" w:ascii="宋体" w:hAnsi="宋体" w:eastAsia="宋体" w:cs="宋体"/>
          <w:color w:val="auto"/>
          <w:sz w:val="24"/>
          <w:szCs w:val="24"/>
        </w:rPr>
        <w:t xml:space="preserve">                                 </w:t>
      </w:r>
    </w:p>
    <w:p w14:paraId="167BCFF8">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cs="宋体"/>
          <w:color w:val="auto"/>
          <w:sz w:val="24"/>
          <w:szCs w:val="24"/>
          <w:lang w:eastAsia="zh-CN"/>
        </w:rPr>
        <w:t>13153709768</w:t>
      </w:r>
    </w:p>
    <w:p w14:paraId="782DA518">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cs="宋体"/>
          <w:b w:val="0"/>
          <w:bCs w:val="0"/>
          <w:color w:val="auto"/>
          <w:sz w:val="24"/>
          <w:szCs w:val="24"/>
          <w:lang w:eastAsia="zh-CN"/>
        </w:rPr>
        <w:t>（</w:t>
      </w:r>
      <w:r>
        <w:rPr>
          <w:rFonts w:hint="eastAsia" w:cs="宋体"/>
          <w:b w:val="0"/>
          <w:bCs w:val="0"/>
          <w:color w:val="auto"/>
          <w:sz w:val="24"/>
          <w:szCs w:val="24"/>
          <w:lang w:val="en-US" w:eastAsia="zh-CN"/>
        </w:rPr>
        <w:t>2</w:t>
      </w:r>
      <w:r>
        <w:rPr>
          <w:rFonts w:hint="eastAsia" w:cs="宋体"/>
          <w:b w:val="0"/>
          <w:bCs w:val="0"/>
          <w:color w:val="auto"/>
          <w:sz w:val="24"/>
          <w:szCs w:val="24"/>
          <w:lang w:eastAsia="zh-CN"/>
        </w:rPr>
        <w:t>）</w:t>
      </w:r>
      <w:r>
        <w:rPr>
          <w:rFonts w:hint="eastAsia" w:ascii="宋体" w:hAnsi="宋体" w:eastAsia="宋体" w:cs="宋体"/>
          <w:b w:val="0"/>
          <w:bCs w:val="0"/>
          <w:color w:val="auto"/>
          <w:sz w:val="24"/>
          <w:szCs w:val="24"/>
        </w:rPr>
        <w:t>.采购代理机构信息</w:t>
      </w:r>
      <w:r>
        <w:rPr>
          <w:rFonts w:hint="eastAsia" w:ascii="宋体" w:hAnsi="宋体" w:eastAsia="宋体" w:cs="宋体"/>
          <w:color w:val="auto"/>
          <w:sz w:val="24"/>
          <w:szCs w:val="24"/>
        </w:rPr>
        <w:t xml:space="preserve"> </w:t>
      </w:r>
    </w:p>
    <w:p w14:paraId="13BCF63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cs="宋体"/>
          <w:color w:val="auto"/>
          <w:sz w:val="24"/>
          <w:szCs w:val="24"/>
          <w:lang w:eastAsia="zh-CN"/>
        </w:rPr>
        <w:t>山东阳光正大建设项目管理有限公司</w:t>
      </w:r>
      <w:r>
        <w:rPr>
          <w:rFonts w:hint="eastAsia" w:ascii="宋体" w:hAnsi="宋体" w:eastAsia="宋体" w:cs="宋体"/>
          <w:color w:val="auto"/>
          <w:sz w:val="24"/>
          <w:szCs w:val="24"/>
        </w:rPr>
        <w:t xml:space="preserve">       </w:t>
      </w:r>
    </w:p>
    <w:p w14:paraId="32A25B0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cs="宋体"/>
          <w:color w:val="auto"/>
          <w:sz w:val="24"/>
          <w:szCs w:val="24"/>
          <w:lang w:eastAsia="zh-CN"/>
        </w:rPr>
        <w:t>山东阳光正大建设项目管理有限公司</w:t>
      </w:r>
    </w:p>
    <w:p w14:paraId="49C83211">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s="宋体"/>
          <w:color w:val="auto"/>
          <w:sz w:val="24"/>
          <w:szCs w:val="24"/>
          <w:lang w:eastAsia="zh-CN"/>
        </w:rPr>
        <w:t>刘亚萍</w:t>
      </w:r>
      <w:r>
        <w:rPr>
          <w:rFonts w:hint="eastAsia" w:ascii="宋体" w:hAnsi="宋体" w:eastAsia="宋体" w:cs="宋体"/>
          <w:color w:val="auto"/>
          <w:sz w:val="24"/>
          <w:szCs w:val="24"/>
        </w:rPr>
        <w:t xml:space="preserve">                              </w:t>
      </w:r>
    </w:p>
    <w:p w14:paraId="7693110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联系方式：</w:t>
      </w:r>
      <w:r>
        <w:rPr>
          <w:rFonts w:hint="eastAsia" w:cs="宋体"/>
          <w:color w:val="auto"/>
          <w:sz w:val="24"/>
          <w:szCs w:val="24"/>
          <w:lang w:eastAsia="zh-CN"/>
        </w:rPr>
        <w:t>15315183185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none"/>
        </w:rPr>
        <w:t>　</w:t>
      </w:r>
    </w:p>
    <w:p w14:paraId="68F504E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"mailto:所有质疑以书面形式递交，同时发邮件至tqzcxmb@163.com" </w:instrText>
      </w:r>
      <w:r>
        <w:rPr>
          <w:rFonts w:hint="eastAsia" w:ascii="宋体" w:hAnsi="宋体" w:eastAsia="宋体" w:cs="宋体"/>
          <w:color w:val="auto"/>
          <w:sz w:val="24"/>
          <w:szCs w:val="24"/>
          <w:u w:val="none"/>
        </w:rPr>
        <w:fldChar w:fldCharType="separate"/>
      </w:r>
      <w:r>
        <w:rPr>
          <w:rFonts w:hint="eastAsia" w:ascii="宋体" w:hAnsi="宋体" w:eastAsia="宋体" w:cs="宋体"/>
          <w:color w:val="auto"/>
          <w:sz w:val="24"/>
          <w:szCs w:val="24"/>
          <w:u w:val="none"/>
        </w:rPr>
        <w:t>所有质疑以书面形式递交，同时发邮件至</w:t>
      </w:r>
      <w:r>
        <w:rPr>
          <w:rFonts w:hint="eastAsia" w:cs="宋体"/>
          <w:color w:val="auto"/>
          <w:sz w:val="24"/>
          <w:szCs w:val="24"/>
          <w:u w:val="none"/>
          <w:lang w:eastAsia="zh-CN"/>
        </w:rPr>
        <w:t>sdygzdjnfgs@163.com</w:t>
      </w:r>
      <w:r>
        <w:rPr>
          <w:rFonts w:hint="eastAsia" w:ascii="宋体" w:hAnsi="宋体" w:eastAsia="宋体" w:cs="宋体"/>
          <w:color w:val="auto"/>
          <w:sz w:val="24"/>
          <w:szCs w:val="24"/>
          <w:u w:val="none"/>
        </w:rPr>
        <w:fldChar w:fldCharType="end"/>
      </w:r>
    </w:p>
    <w:p w14:paraId="780237CA">
      <w:pPr>
        <w:rPr>
          <w:rFonts w:hint="eastAsia" w:ascii="宋体" w:hAnsi="宋体" w:cs="宋体"/>
          <w:b/>
          <w:color w:val="auto"/>
          <w:kern w:val="0"/>
          <w:sz w:val="24"/>
          <w:highlight w:val="none"/>
          <w:lang w:eastAsia="zh-CN"/>
        </w:rPr>
      </w:pPr>
      <w:bookmarkStart w:id="16" w:name="_Toc28117"/>
      <w:r>
        <w:rPr>
          <w:rFonts w:hint="eastAsia" w:ascii="宋体" w:hAnsi="宋体" w:cs="宋体"/>
          <w:b/>
          <w:color w:val="auto"/>
          <w:kern w:val="0"/>
          <w:sz w:val="24"/>
          <w:highlight w:val="none"/>
          <w:lang w:eastAsia="zh-CN"/>
        </w:rPr>
        <w:br w:type="page"/>
      </w:r>
    </w:p>
    <w:p w14:paraId="6045C250">
      <w:pPr>
        <w:spacing w:line="360" w:lineRule="auto"/>
        <w:rPr>
          <w:rFonts w:ascii="宋体" w:hAnsi="宋体"/>
          <w:b/>
          <w:color w:val="auto"/>
          <w:sz w:val="24"/>
        </w:rPr>
      </w:pPr>
      <w:r>
        <w:rPr>
          <w:rFonts w:hint="eastAsia" w:ascii="宋体" w:hAnsi="宋体" w:cs="宋体"/>
          <w:b/>
          <w:color w:val="auto"/>
          <w:kern w:val="0"/>
          <w:sz w:val="24"/>
          <w:highlight w:val="none"/>
          <w:lang w:eastAsia="zh-CN"/>
        </w:rPr>
        <w:t>第二部分</w:t>
      </w:r>
      <w:bookmarkEnd w:id="16"/>
      <w:bookmarkStart w:id="17" w:name="_Toc11659841"/>
      <w:r>
        <w:rPr>
          <w:rFonts w:hint="eastAsia" w:ascii="宋体" w:hAnsi="宋体" w:cs="宋体"/>
          <w:b/>
          <w:color w:val="auto"/>
          <w:kern w:val="0"/>
          <w:sz w:val="24"/>
          <w:highlight w:val="none"/>
          <w:lang w:eastAsia="zh-CN"/>
        </w:rPr>
        <w:t>：</w:t>
      </w:r>
      <w:r>
        <w:rPr>
          <w:rFonts w:hint="eastAsia" w:ascii="宋体" w:hAnsi="宋体"/>
          <w:b/>
          <w:color w:val="auto"/>
          <w:sz w:val="24"/>
        </w:rPr>
        <w:t>采购内容</w:t>
      </w:r>
    </w:p>
    <w:p w14:paraId="6D859DF8">
      <w:pPr>
        <w:spacing w:line="440" w:lineRule="exact"/>
        <w:jc w:val="center"/>
        <w:rPr>
          <w:rFonts w:hAnsi="宋体" w:cs="Arial"/>
          <w:b/>
          <w:sz w:val="21"/>
          <w:szCs w:val="21"/>
        </w:rPr>
      </w:pPr>
      <w:bookmarkStart w:id="18" w:name="_Toc28805"/>
      <w:bookmarkStart w:id="19" w:name="_Toc4782_WPSOffice_Level1"/>
      <w:r>
        <w:rPr>
          <w:rFonts w:hint="eastAsia" w:eastAsia="黑体"/>
          <w:sz w:val="30"/>
          <w:szCs w:val="30"/>
        </w:rPr>
        <w:t>第一部分 货物需求表</w:t>
      </w:r>
    </w:p>
    <w:p w14:paraId="76B7E2B3">
      <w:pPr>
        <w:spacing w:before="312" w:beforeLines="100" w:after="312" w:afterLines="100" w:line="440" w:lineRule="exact"/>
        <w:jc w:val="center"/>
        <w:rPr>
          <w:rFonts w:hint="eastAsia" w:ascii="黑体" w:eastAsia="黑体"/>
          <w:sz w:val="28"/>
          <w:szCs w:val="28"/>
        </w:rPr>
      </w:pPr>
      <w:r>
        <w:rPr>
          <w:rFonts w:hint="eastAsia" w:ascii="黑体" w:eastAsia="黑体"/>
          <w:sz w:val="28"/>
          <w:szCs w:val="28"/>
        </w:rPr>
        <w:t>全自动软化水处理设备参数及数量</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2259"/>
      </w:tblGrid>
      <w:tr w14:paraId="194F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58" w:type="dxa"/>
            <w:noWrap w:val="0"/>
            <w:vAlign w:val="center"/>
          </w:tcPr>
          <w:p w14:paraId="2AE9DCD1">
            <w:pPr>
              <w:keepNext w:val="0"/>
              <w:keepLines w:val="0"/>
              <w:suppressLineNumbers w:val="0"/>
              <w:spacing w:before="0" w:beforeAutospacing="0" w:after="0" w:afterAutospacing="0" w:line="440" w:lineRule="exact"/>
              <w:ind w:left="0" w:right="0"/>
              <w:jc w:val="center"/>
              <w:rPr>
                <w:rFonts w:hint="eastAsia"/>
                <w:sz w:val="21"/>
                <w:szCs w:val="21"/>
              </w:rPr>
            </w:pPr>
          </w:p>
        </w:tc>
        <w:tc>
          <w:tcPr>
            <w:tcW w:w="2259" w:type="dxa"/>
            <w:noWrap w:val="0"/>
            <w:vAlign w:val="center"/>
          </w:tcPr>
          <w:p w14:paraId="3AA771F1">
            <w:pPr>
              <w:keepNext w:val="0"/>
              <w:keepLines w:val="0"/>
              <w:suppressLineNumbers w:val="0"/>
              <w:spacing w:before="0" w:beforeAutospacing="0" w:after="0" w:afterAutospacing="0" w:line="440" w:lineRule="exact"/>
              <w:ind w:left="0" w:right="0"/>
              <w:jc w:val="center"/>
              <w:rPr>
                <w:rFonts w:hint="eastAsia"/>
                <w:b/>
                <w:bCs/>
                <w:sz w:val="21"/>
                <w:szCs w:val="21"/>
              </w:rPr>
            </w:pPr>
            <w:r>
              <w:rPr>
                <w:rFonts w:hint="eastAsia"/>
                <w:b/>
                <w:bCs/>
                <w:sz w:val="21"/>
                <w:szCs w:val="21"/>
              </w:rPr>
              <w:t>1</w:t>
            </w:r>
          </w:p>
        </w:tc>
      </w:tr>
      <w:tr w14:paraId="2FE4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58" w:type="dxa"/>
            <w:noWrap w:val="0"/>
            <w:vAlign w:val="center"/>
          </w:tcPr>
          <w:p w14:paraId="581E43FD">
            <w:pPr>
              <w:keepNext w:val="0"/>
              <w:keepLines w:val="0"/>
              <w:suppressLineNumbers w:val="0"/>
              <w:spacing w:before="0" w:beforeAutospacing="0" w:after="0" w:afterAutospacing="0" w:line="440" w:lineRule="exact"/>
              <w:ind w:left="0" w:right="0"/>
              <w:jc w:val="center"/>
              <w:rPr>
                <w:rFonts w:hint="eastAsia"/>
                <w:sz w:val="21"/>
                <w:szCs w:val="21"/>
              </w:rPr>
            </w:pPr>
            <w:r>
              <w:rPr>
                <w:rFonts w:hint="eastAsia"/>
                <w:sz w:val="21"/>
                <w:szCs w:val="21"/>
              </w:rPr>
              <w:t>进水压力（Mpa）</w:t>
            </w:r>
          </w:p>
        </w:tc>
        <w:tc>
          <w:tcPr>
            <w:tcW w:w="2259" w:type="dxa"/>
            <w:noWrap w:val="0"/>
            <w:vAlign w:val="center"/>
          </w:tcPr>
          <w:p w14:paraId="5CDB7961">
            <w:pPr>
              <w:keepNext w:val="0"/>
              <w:keepLines w:val="0"/>
              <w:suppressLineNumbers w:val="0"/>
              <w:spacing w:before="0" w:beforeAutospacing="0" w:after="0" w:afterAutospacing="0" w:line="440" w:lineRule="exact"/>
              <w:ind w:left="0" w:right="0"/>
              <w:jc w:val="center"/>
              <w:rPr>
                <w:rFonts w:hint="eastAsia"/>
                <w:b/>
                <w:bCs/>
                <w:sz w:val="21"/>
                <w:szCs w:val="21"/>
              </w:rPr>
            </w:pPr>
            <w:r>
              <w:rPr>
                <w:rFonts w:hint="eastAsia"/>
                <w:b/>
                <w:bCs/>
                <w:sz w:val="21"/>
                <w:szCs w:val="21"/>
              </w:rPr>
              <w:t>≥0.2</w:t>
            </w:r>
          </w:p>
        </w:tc>
      </w:tr>
      <w:tr w14:paraId="48FA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58" w:type="dxa"/>
            <w:noWrap w:val="0"/>
            <w:vAlign w:val="center"/>
          </w:tcPr>
          <w:p w14:paraId="28E30EF2">
            <w:pPr>
              <w:keepNext w:val="0"/>
              <w:keepLines w:val="0"/>
              <w:suppressLineNumbers w:val="0"/>
              <w:spacing w:before="0" w:beforeAutospacing="0" w:after="0" w:afterAutospacing="0" w:line="440" w:lineRule="exact"/>
              <w:ind w:left="0" w:right="0"/>
              <w:jc w:val="center"/>
              <w:rPr>
                <w:rFonts w:hint="eastAsia"/>
                <w:sz w:val="21"/>
                <w:szCs w:val="21"/>
              </w:rPr>
            </w:pPr>
            <w:r>
              <w:rPr>
                <w:rFonts w:hint="eastAsia"/>
                <w:sz w:val="21"/>
                <w:szCs w:val="21"/>
              </w:rPr>
              <w:t>进水介质</w:t>
            </w:r>
          </w:p>
        </w:tc>
        <w:tc>
          <w:tcPr>
            <w:tcW w:w="2259" w:type="dxa"/>
            <w:noWrap w:val="0"/>
            <w:vAlign w:val="center"/>
          </w:tcPr>
          <w:p w14:paraId="222EFB87">
            <w:pPr>
              <w:keepNext w:val="0"/>
              <w:keepLines w:val="0"/>
              <w:suppressLineNumbers w:val="0"/>
              <w:spacing w:before="0" w:beforeAutospacing="0" w:after="0" w:afterAutospacing="0" w:line="440" w:lineRule="exact"/>
              <w:ind w:left="0" w:right="0"/>
              <w:jc w:val="center"/>
              <w:rPr>
                <w:rFonts w:hint="eastAsia"/>
                <w:b/>
                <w:bCs/>
                <w:sz w:val="21"/>
                <w:szCs w:val="21"/>
              </w:rPr>
            </w:pPr>
            <w:r>
              <w:rPr>
                <w:rFonts w:hint="eastAsia"/>
                <w:b/>
                <w:bCs/>
                <w:sz w:val="21"/>
                <w:szCs w:val="21"/>
              </w:rPr>
              <w:t>自来水</w:t>
            </w:r>
          </w:p>
        </w:tc>
      </w:tr>
      <w:tr w14:paraId="59FF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58" w:type="dxa"/>
            <w:noWrap w:val="0"/>
            <w:vAlign w:val="center"/>
          </w:tcPr>
          <w:p w14:paraId="0E5D9FFC">
            <w:pPr>
              <w:keepNext w:val="0"/>
              <w:keepLines w:val="0"/>
              <w:suppressLineNumbers w:val="0"/>
              <w:spacing w:before="0" w:beforeAutospacing="0" w:after="0" w:afterAutospacing="0" w:line="440" w:lineRule="exact"/>
              <w:ind w:left="0" w:right="0"/>
              <w:jc w:val="center"/>
              <w:rPr>
                <w:rFonts w:hint="eastAsia"/>
                <w:sz w:val="21"/>
                <w:szCs w:val="21"/>
              </w:rPr>
            </w:pPr>
            <w:r>
              <w:rPr>
                <w:rFonts w:hint="eastAsia"/>
                <w:sz w:val="21"/>
                <w:szCs w:val="21"/>
              </w:rPr>
              <w:t>工作介质温度（</w:t>
            </w:r>
            <w:r>
              <w:rPr>
                <w:rFonts w:hint="eastAsia" w:hAnsi="宋体"/>
                <w:sz w:val="21"/>
                <w:szCs w:val="21"/>
              </w:rPr>
              <w:t>℃</w:t>
            </w:r>
          </w:p>
        </w:tc>
        <w:tc>
          <w:tcPr>
            <w:tcW w:w="2259" w:type="dxa"/>
            <w:noWrap w:val="0"/>
            <w:vAlign w:val="center"/>
          </w:tcPr>
          <w:p w14:paraId="1E7C985C">
            <w:pPr>
              <w:keepNext w:val="0"/>
              <w:keepLines w:val="0"/>
              <w:suppressLineNumbers w:val="0"/>
              <w:spacing w:before="0" w:beforeAutospacing="0" w:after="0" w:afterAutospacing="0" w:line="440" w:lineRule="exact"/>
              <w:ind w:left="0" w:right="0"/>
              <w:jc w:val="center"/>
              <w:rPr>
                <w:rFonts w:hint="eastAsia"/>
                <w:b/>
                <w:bCs/>
                <w:sz w:val="21"/>
                <w:szCs w:val="21"/>
              </w:rPr>
            </w:pPr>
            <w:r>
              <w:rPr>
                <w:rFonts w:hint="eastAsia"/>
                <w:b/>
                <w:bCs/>
                <w:sz w:val="21"/>
                <w:szCs w:val="21"/>
              </w:rPr>
              <w:t>常温</w:t>
            </w:r>
          </w:p>
        </w:tc>
      </w:tr>
      <w:tr w14:paraId="4DE0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58" w:type="dxa"/>
            <w:noWrap w:val="0"/>
            <w:vAlign w:val="center"/>
          </w:tcPr>
          <w:p w14:paraId="03952567">
            <w:pPr>
              <w:keepNext w:val="0"/>
              <w:keepLines w:val="0"/>
              <w:suppressLineNumbers w:val="0"/>
              <w:spacing w:before="0" w:beforeAutospacing="0" w:after="0" w:afterAutospacing="0" w:line="440" w:lineRule="exact"/>
              <w:ind w:left="0" w:right="0"/>
              <w:jc w:val="center"/>
              <w:rPr>
                <w:rFonts w:hint="eastAsia"/>
                <w:sz w:val="21"/>
                <w:szCs w:val="21"/>
              </w:rPr>
            </w:pPr>
            <w:r>
              <w:rPr>
                <w:rFonts w:hint="eastAsia"/>
                <w:sz w:val="21"/>
                <w:szCs w:val="21"/>
              </w:rPr>
              <w:t>处理量（m</w:t>
            </w:r>
            <w:r>
              <w:rPr>
                <w:rFonts w:hint="eastAsia"/>
                <w:sz w:val="21"/>
                <w:szCs w:val="21"/>
                <w:vertAlign w:val="superscript"/>
              </w:rPr>
              <w:t>3</w:t>
            </w:r>
            <w:r>
              <w:rPr>
                <w:rFonts w:hint="eastAsia"/>
                <w:sz w:val="21"/>
                <w:szCs w:val="21"/>
              </w:rPr>
              <w:t>/h）</w:t>
            </w:r>
          </w:p>
        </w:tc>
        <w:tc>
          <w:tcPr>
            <w:tcW w:w="2259" w:type="dxa"/>
            <w:noWrap w:val="0"/>
            <w:vAlign w:val="center"/>
          </w:tcPr>
          <w:p w14:paraId="047038F3">
            <w:pPr>
              <w:keepNext w:val="0"/>
              <w:keepLines w:val="0"/>
              <w:suppressLineNumbers w:val="0"/>
              <w:spacing w:before="0" w:beforeAutospacing="0" w:after="0" w:afterAutospacing="0" w:line="440" w:lineRule="exact"/>
              <w:ind w:left="0" w:right="0"/>
              <w:jc w:val="center"/>
              <w:rPr>
                <w:rFonts w:hint="eastAsia" w:eastAsia="宋体"/>
                <w:b/>
                <w:bCs/>
                <w:sz w:val="21"/>
                <w:szCs w:val="21"/>
                <w:lang w:val="en-US" w:eastAsia="zh-CN"/>
              </w:rPr>
            </w:pPr>
            <w:r>
              <w:rPr>
                <w:rFonts w:hint="eastAsia"/>
                <w:b/>
                <w:bCs/>
                <w:sz w:val="21"/>
                <w:szCs w:val="21"/>
                <w:lang w:val="en-US" w:eastAsia="zh-CN"/>
              </w:rPr>
              <w:t>10</w:t>
            </w:r>
          </w:p>
        </w:tc>
      </w:tr>
      <w:tr w14:paraId="4F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58" w:type="dxa"/>
            <w:noWrap w:val="0"/>
            <w:vAlign w:val="center"/>
          </w:tcPr>
          <w:p w14:paraId="2D81ACA3">
            <w:pPr>
              <w:keepNext w:val="0"/>
              <w:keepLines w:val="0"/>
              <w:suppressLineNumbers w:val="0"/>
              <w:spacing w:before="0" w:beforeAutospacing="0" w:after="0" w:afterAutospacing="0" w:line="440" w:lineRule="exact"/>
              <w:ind w:left="0" w:right="0"/>
              <w:jc w:val="center"/>
              <w:rPr>
                <w:rFonts w:hint="eastAsia"/>
                <w:sz w:val="21"/>
                <w:szCs w:val="21"/>
              </w:rPr>
            </w:pPr>
            <w:r>
              <w:rPr>
                <w:rFonts w:hint="eastAsia"/>
                <w:sz w:val="21"/>
                <w:szCs w:val="21"/>
              </w:rPr>
              <w:t>配用法兰压力（Mpa）</w:t>
            </w:r>
          </w:p>
        </w:tc>
        <w:tc>
          <w:tcPr>
            <w:tcW w:w="2259" w:type="dxa"/>
            <w:noWrap w:val="0"/>
            <w:vAlign w:val="center"/>
          </w:tcPr>
          <w:p w14:paraId="12E3D9BD">
            <w:pPr>
              <w:keepNext w:val="0"/>
              <w:keepLines w:val="0"/>
              <w:suppressLineNumbers w:val="0"/>
              <w:spacing w:before="0" w:beforeAutospacing="0" w:after="0" w:afterAutospacing="0" w:line="440" w:lineRule="exact"/>
              <w:ind w:left="0" w:right="0"/>
              <w:jc w:val="center"/>
              <w:rPr>
                <w:rFonts w:hint="eastAsia"/>
                <w:b/>
                <w:bCs/>
                <w:sz w:val="21"/>
                <w:szCs w:val="21"/>
              </w:rPr>
            </w:pPr>
            <w:r>
              <w:rPr>
                <w:rFonts w:hint="eastAsia"/>
                <w:b/>
                <w:bCs/>
                <w:sz w:val="21"/>
                <w:szCs w:val="21"/>
              </w:rPr>
              <w:t>1.0</w:t>
            </w:r>
          </w:p>
        </w:tc>
      </w:tr>
      <w:tr w14:paraId="2F0E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58" w:type="dxa"/>
            <w:noWrap w:val="0"/>
            <w:vAlign w:val="center"/>
          </w:tcPr>
          <w:p w14:paraId="42E635FA">
            <w:pPr>
              <w:keepNext w:val="0"/>
              <w:keepLines w:val="0"/>
              <w:suppressLineNumbers w:val="0"/>
              <w:spacing w:before="0" w:beforeAutospacing="0" w:after="0" w:afterAutospacing="0" w:line="440" w:lineRule="exact"/>
              <w:ind w:left="0" w:right="0"/>
              <w:jc w:val="center"/>
              <w:rPr>
                <w:rFonts w:hint="eastAsia"/>
                <w:color w:val="auto"/>
                <w:sz w:val="21"/>
                <w:szCs w:val="21"/>
              </w:rPr>
            </w:pPr>
            <w:r>
              <w:rPr>
                <w:rFonts w:hint="eastAsia"/>
                <w:color w:val="auto"/>
                <w:sz w:val="21"/>
                <w:szCs w:val="21"/>
              </w:rPr>
              <w:t>数量（台）</w:t>
            </w:r>
          </w:p>
        </w:tc>
        <w:tc>
          <w:tcPr>
            <w:tcW w:w="2259" w:type="dxa"/>
            <w:noWrap w:val="0"/>
            <w:vAlign w:val="center"/>
          </w:tcPr>
          <w:p w14:paraId="6C8D74C7">
            <w:pPr>
              <w:keepNext w:val="0"/>
              <w:keepLines w:val="0"/>
              <w:suppressLineNumbers w:val="0"/>
              <w:spacing w:before="0" w:beforeAutospacing="0" w:after="0" w:afterAutospacing="0" w:line="440" w:lineRule="exact"/>
              <w:ind w:left="0" w:right="0"/>
              <w:jc w:val="center"/>
              <w:rPr>
                <w:rFonts w:hint="eastAsia" w:eastAsia="宋体"/>
                <w:b/>
                <w:bCs/>
                <w:color w:val="auto"/>
                <w:sz w:val="21"/>
                <w:szCs w:val="21"/>
                <w:lang w:val="en-US" w:eastAsia="zh-CN"/>
              </w:rPr>
            </w:pPr>
            <w:r>
              <w:rPr>
                <w:rFonts w:hint="eastAsia"/>
                <w:b/>
                <w:bCs/>
                <w:color w:val="auto"/>
                <w:sz w:val="21"/>
                <w:szCs w:val="21"/>
                <w:lang w:val="en-US" w:eastAsia="zh-CN"/>
              </w:rPr>
              <w:t>1</w:t>
            </w:r>
          </w:p>
        </w:tc>
      </w:tr>
      <w:tr w14:paraId="4629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17" w:type="dxa"/>
            <w:gridSpan w:val="2"/>
            <w:noWrap w:val="0"/>
            <w:vAlign w:val="center"/>
          </w:tcPr>
          <w:p w14:paraId="10B9D2D8">
            <w:pPr>
              <w:keepNext w:val="0"/>
              <w:keepLines w:val="0"/>
              <w:suppressLineNumbers w:val="0"/>
              <w:spacing w:before="0" w:beforeAutospacing="0" w:after="0" w:afterAutospacing="0" w:line="440" w:lineRule="exact"/>
              <w:ind w:left="0" w:right="0"/>
              <w:jc w:val="left"/>
              <w:rPr>
                <w:rFonts w:hint="eastAsia"/>
                <w:b/>
                <w:bCs/>
                <w:color w:val="auto"/>
                <w:sz w:val="21"/>
                <w:szCs w:val="21"/>
                <w:lang w:val="en-US" w:eastAsia="zh-CN"/>
              </w:rPr>
            </w:pPr>
            <w:r>
              <w:rPr>
                <w:rFonts w:hint="eastAsia"/>
                <w:b/>
                <w:bCs/>
                <w:color w:val="auto"/>
                <w:sz w:val="21"/>
                <w:szCs w:val="21"/>
                <w:lang w:val="en-US" w:eastAsia="zh-CN"/>
              </w:rPr>
              <w:t>备注：供货数量及型号以此表为准</w:t>
            </w:r>
          </w:p>
        </w:tc>
      </w:tr>
    </w:tbl>
    <w:p w14:paraId="5B6BEBE7">
      <w:pPr>
        <w:spacing w:line="440" w:lineRule="exact"/>
        <w:ind w:firstLine="550" w:firstLineChars="250"/>
        <w:rPr>
          <w:rFonts w:hint="eastAsia"/>
          <w:spacing w:val="5"/>
          <w:sz w:val="21"/>
          <w:szCs w:val="21"/>
        </w:rPr>
      </w:pPr>
    </w:p>
    <w:p w14:paraId="1E9741EB">
      <w:pPr>
        <w:pStyle w:val="64"/>
        <w:spacing w:line="440" w:lineRule="exact"/>
        <w:jc w:val="center"/>
        <w:outlineLvl w:val="1"/>
        <w:rPr>
          <w:rFonts w:hint="eastAsia"/>
          <w:b/>
          <w:sz w:val="21"/>
          <w:szCs w:val="21"/>
        </w:rPr>
      </w:pPr>
      <w:bookmarkStart w:id="20" w:name="_Toc300073130"/>
      <w:bookmarkStart w:id="21" w:name="_Toc268793190"/>
      <w:bookmarkStart w:id="22" w:name="_Toc271049302"/>
      <w:bookmarkStart w:id="23" w:name="_Toc270453089"/>
      <w:r>
        <w:rPr>
          <w:rFonts w:hint="eastAsia" w:eastAsia="黑体"/>
          <w:sz w:val="30"/>
          <w:szCs w:val="30"/>
        </w:rPr>
        <w:t xml:space="preserve">第二部分 </w:t>
      </w:r>
      <w:bookmarkEnd w:id="20"/>
      <w:bookmarkEnd w:id="21"/>
      <w:r>
        <w:rPr>
          <w:rFonts w:hint="eastAsia" w:eastAsia="黑体"/>
          <w:sz w:val="30"/>
          <w:szCs w:val="30"/>
        </w:rPr>
        <w:t>技术规范书</w:t>
      </w:r>
    </w:p>
    <w:p w14:paraId="44215144">
      <w:pPr>
        <w:pStyle w:val="64"/>
        <w:spacing w:line="440" w:lineRule="exact"/>
        <w:outlineLvl w:val="1"/>
        <w:rPr>
          <w:rFonts w:hint="eastAsia"/>
          <w:b/>
          <w:sz w:val="21"/>
          <w:szCs w:val="21"/>
        </w:rPr>
      </w:pPr>
      <w:r>
        <w:rPr>
          <w:rFonts w:hint="eastAsia"/>
          <w:b/>
          <w:sz w:val="21"/>
          <w:szCs w:val="21"/>
        </w:rPr>
        <w:t>1</w:t>
      </w:r>
      <w:r>
        <w:rPr>
          <w:rFonts w:hint="eastAsia"/>
          <w:b/>
          <w:sz w:val="21"/>
          <w:szCs w:val="21"/>
        </w:rPr>
        <w:tab/>
      </w:r>
      <w:r>
        <w:rPr>
          <w:rFonts w:hint="eastAsia"/>
          <w:b/>
          <w:sz w:val="21"/>
          <w:szCs w:val="21"/>
        </w:rPr>
        <w:t>总则</w:t>
      </w:r>
      <w:bookmarkEnd w:id="22"/>
      <w:bookmarkEnd w:id="23"/>
    </w:p>
    <w:p w14:paraId="012F2F1C">
      <w:pPr>
        <w:tabs>
          <w:tab w:val="left" w:pos="567"/>
        </w:tabs>
        <w:spacing w:line="440" w:lineRule="exact"/>
        <w:rPr>
          <w:rFonts w:hint="eastAsia"/>
          <w:sz w:val="21"/>
          <w:szCs w:val="21"/>
        </w:rPr>
      </w:pPr>
      <w:r>
        <w:rPr>
          <w:sz w:val="21"/>
          <w:szCs w:val="21"/>
        </w:rPr>
        <w:t xml:space="preserve">1.1  </w:t>
      </w:r>
      <w:r>
        <w:rPr>
          <w:rFonts w:hint="eastAsia"/>
          <w:sz w:val="21"/>
          <w:szCs w:val="21"/>
        </w:rPr>
        <w:t>本技术规范书适用于邹城市集中供热改造工程为换热站补水软化系统所设的设备及其配套设备及补水流量表。它提出了该设备的功能设计、结构、性能、安装和试验等方面的技术要求。</w:t>
      </w:r>
    </w:p>
    <w:p w14:paraId="189701F5">
      <w:pPr>
        <w:tabs>
          <w:tab w:val="left" w:pos="567"/>
        </w:tabs>
        <w:spacing w:line="440" w:lineRule="exact"/>
        <w:rPr>
          <w:sz w:val="21"/>
          <w:szCs w:val="21"/>
        </w:rPr>
      </w:pPr>
      <w:r>
        <w:rPr>
          <w:sz w:val="21"/>
          <w:szCs w:val="21"/>
        </w:rPr>
        <w:t>1.</w:t>
      </w:r>
      <w:r>
        <w:rPr>
          <w:rFonts w:hint="eastAsia"/>
          <w:sz w:val="21"/>
          <w:szCs w:val="21"/>
        </w:rPr>
        <w:t>2</w:t>
      </w:r>
      <w:r>
        <w:rPr>
          <w:sz w:val="21"/>
          <w:szCs w:val="21"/>
        </w:rPr>
        <w:t xml:space="preserve">  </w:t>
      </w:r>
      <w:r>
        <w:rPr>
          <w:rFonts w:hint="eastAsia"/>
          <w:sz w:val="21"/>
          <w:szCs w:val="21"/>
        </w:rPr>
        <w:t>本规范书提出了最低限度要求，并未对一些技术细节作出规定。也未充分引述有关标准和规范的条文，供方应保证提供符合本规范书和有关工业标准和企业标准的优质产品。</w:t>
      </w:r>
    </w:p>
    <w:p w14:paraId="26D1E516">
      <w:pPr>
        <w:tabs>
          <w:tab w:val="left" w:pos="567"/>
        </w:tabs>
        <w:spacing w:line="440" w:lineRule="exact"/>
        <w:rPr>
          <w:sz w:val="21"/>
          <w:szCs w:val="21"/>
        </w:rPr>
      </w:pPr>
      <w:r>
        <w:rPr>
          <w:sz w:val="21"/>
          <w:szCs w:val="21"/>
        </w:rPr>
        <w:t>1.</w:t>
      </w:r>
      <w:r>
        <w:rPr>
          <w:rFonts w:hint="eastAsia"/>
          <w:sz w:val="21"/>
          <w:szCs w:val="21"/>
        </w:rPr>
        <w:t>3</w:t>
      </w:r>
      <w:r>
        <w:rPr>
          <w:sz w:val="21"/>
          <w:szCs w:val="21"/>
        </w:rPr>
        <w:t xml:space="preserve">  </w:t>
      </w:r>
      <w:r>
        <w:rPr>
          <w:rFonts w:hint="eastAsia"/>
          <w:sz w:val="21"/>
          <w:szCs w:val="21"/>
        </w:rPr>
        <w:t>如果买方有除本技术规范书以外的特殊要求，以书面行式提出并做详细说明，附于本技术规范书之后，双方可协商解决。</w:t>
      </w:r>
    </w:p>
    <w:p w14:paraId="149744D4">
      <w:pPr>
        <w:tabs>
          <w:tab w:val="left" w:pos="567"/>
        </w:tabs>
        <w:spacing w:line="440" w:lineRule="exact"/>
        <w:rPr>
          <w:sz w:val="21"/>
          <w:szCs w:val="21"/>
        </w:rPr>
      </w:pPr>
      <w:r>
        <w:rPr>
          <w:sz w:val="21"/>
          <w:szCs w:val="21"/>
        </w:rPr>
        <w:t>1.</w:t>
      </w:r>
      <w:r>
        <w:rPr>
          <w:rFonts w:hint="eastAsia"/>
          <w:sz w:val="21"/>
          <w:szCs w:val="21"/>
        </w:rPr>
        <w:t>4</w:t>
      </w:r>
      <w:r>
        <w:rPr>
          <w:sz w:val="21"/>
          <w:szCs w:val="21"/>
        </w:rPr>
        <w:t xml:space="preserve">  </w:t>
      </w:r>
      <w:r>
        <w:rPr>
          <w:rFonts w:hint="eastAsia"/>
          <w:sz w:val="21"/>
          <w:szCs w:val="21"/>
        </w:rPr>
        <w:t>如果供方对本技术规范书中的条文有异议或对其制造标准有不同见解，应以书面形式提出并做详细说明，附于本技术规范书之后，双方协商解决。</w:t>
      </w:r>
    </w:p>
    <w:p w14:paraId="0D5F4A41">
      <w:pPr>
        <w:tabs>
          <w:tab w:val="left" w:pos="567"/>
        </w:tabs>
        <w:spacing w:line="440" w:lineRule="exact"/>
        <w:rPr>
          <w:sz w:val="21"/>
          <w:szCs w:val="21"/>
        </w:rPr>
      </w:pPr>
      <w:r>
        <w:rPr>
          <w:sz w:val="21"/>
          <w:szCs w:val="21"/>
        </w:rPr>
        <w:t>1.</w:t>
      </w:r>
      <w:r>
        <w:rPr>
          <w:rFonts w:hint="eastAsia"/>
          <w:sz w:val="21"/>
          <w:szCs w:val="21"/>
        </w:rPr>
        <w:t>5</w:t>
      </w:r>
      <w:r>
        <w:rPr>
          <w:sz w:val="21"/>
          <w:szCs w:val="21"/>
        </w:rPr>
        <w:t xml:space="preserve">  </w:t>
      </w:r>
      <w:r>
        <w:rPr>
          <w:rFonts w:hint="eastAsia"/>
          <w:sz w:val="21"/>
          <w:szCs w:val="21"/>
        </w:rPr>
        <w:t>如果供方提供的报价与本技术规范书有偏差，以书面形式对本技术规范书的条文提出变更通知并做详细说明，买方根据情况进行裁定。</w:t>
      </w:r>
    </w:p>
    <w:p w14:paraId="5C7BE79F">
      <w:pPr>
        <w:spacing w:line="440" w:lineRule="exact"/>
        <w:rPr>
          <w:rFonts w:hint="eastAsia"/>
          <w:sz w:val="21"/>
          <w:szCs w:val="21"/>
        </w:rPr>
      </w:pPr>
      <w:r>
        <w:rPr>
          <w:rFonts w:hint="eastAsia"/>
          <w:sz w:val="21"/>
          <w:szCs w:val="21"/>
        </w:rPr>
        <w:t>1.6  产品应在相应工程或相似条件下有5台运行并超过两年</w:t>
      </w:r>
      <w:r>
        <w:rPr>
          <w:sz w:val="21"/>
          <w:szCs w:val="21"/>
        </w:rPr>
        <w:t>,</w:t>
      </w:r>
      <w:r>
        <w:rPr>
          <w:rFonts w:hint="eastAsia"/>
          <w:sz w:val="21"/>
          <w:szCs w:val="21"/>
        </w:rPr>
        <w:t>已证明安全可靠。</w:t>
      </w:r>
    </w:p>
    <w:p w14:paraId="33E09C51">
      <w:pPr>
        <w:spacing w:line="440" w:lineRule="exact"/>
        <w:rPr>
          <w:rFonts w:hint="eastAsia"/>
          <w:sz w:val="21"/>
          <w:szCs w:val="21"/>
        </w:rPr>
      </w:pPr>
      <w:r>
        <w:rPr>
          <w:rFonts w:hint="eastAsia"/>
          <w:sz w:val="21"/>
          <w:szCs w:val="21"/>
        </w:rPr>
        <w:t>1.7  凡系统所必需的但在规范中未体现的，供方应无条件免费提供，确保系统设备的完整性。</w:t>
      </w:r>
    </w:p>
    <w:p w14:paraId="0544C719">
      <w:pPr>
        <w:pStyle w:val="64"/>
        <w:spacing w:line="440" w:lineRule="exact"/>
        <w:outlineLvl w:val="1"/>
        <w:rPr>
          <w:rFonts w:hint="eastAsia"/>
          <w:b/>
          <w:sz w:val="21"/>
          <w:szCs w:val="21"/>
        </w:rPr>
      </w:pPr>
      <w:bookmarkStart w:id="24" w:name="_Toc271049303"/>
      <w:bookmarkStart w:id="25" w:name="_Toc270453090"/>
      <w:r>
        <w:rPr>
          <w:rFonts w:hint="eastAsia"/>
          <w:b/>
          <w:sz w:val="21"/>
          <w:szCs w:val="21"/>
        </w:rPr>
        <w:t>2 技术要求</w:t>
      </w:r>
      <w:bookmarkEnd w:id="24"/>
      <w:bookmarkEnd w:id="25"/>
    </w:p>
    <w:p w14:paraId="4B2829B7">
      <w:pPr>
        <w:spacing w:line="440" w:lineRule="exact"/>
        <w:rPr>
          <w:rFonts w:hint="eastAsia"/>
          <w:sz w:val="21"/>
          <w:szCs w:val="21"/>
        </w:rPr>
      </w:pPr>
      <w:r>
        <w:rPr>
          <w:rFonts w:hint="eastAsia"/>
          <w:sz w:val="21"/>
          <w:szCs w:val="21"/>
        </w:rPr>
        <w:t>2</w:t>
      </w:r>
      <w:r>
        <w:rPr>
          <w:sz w:val="21"/>
          <w:szCs w:val="21"/>
        </w:rPr>
        <w:t>.</w:t>
      </w:r>
      <w:r>
        <w:rPr>
          <w:rFonts w:hint="eastAsia"/>
          <w:sz w:val="21"/>
          <w:szCs w:val="21"/>
        </w:rPr>
        <w:t>1 规定和标准</w:t>
      </w:r>
    </w:p>
    <w:p w14:paraId="521E496F">
      <w:pPr>
        <w:spacing w:line="440" w:lineRule="exact"/>
        <w:rPr>
          <w:rFonts w:hint="eastAsia"/>
          <w:sz w:val="21"/>
          <w:szCs w:val="21"/>
        </w:rPr>
      </w:pPr>
      <w:r>
        <w:rPr>
          <w:rFonts w:hint="eastAsia"/>
          <w:sz w:val="21"/>
          <w:szCs w:val="21"/>
        </w:rPr>
        <w:t>2</w:t>
      </w:r>
      <w:r>
        <w:rPr>
          <w:sz w:val="21"/>
          <w:szCs w:val="21"/>
        </w:rPr>
        <w:t>.</w:t>
      </w:r>
      <w:r>
        <w:rPr>
          <w:rFonts w:hint="eastAsia"/>
          <w:sz w:val="21"/>
          <w:szCs w:val="21"/>
        </w:rPr>
        <w:t>1</w:t>
      </w:r>
      <w:r>
        <w:rPr>
          <w:sz w:val="21"/>
          <w:szCs w:val="21"/>
        </w:rPr>
        <w:t>.</w:t>
      </w:r>
      <w:r>
        <w:rPr>
          <w:rFonts w:hint="eastAsia"/>
          <w:sz w:val="21"/>
          <w:szCs w:val="21"/>
        </w:rPr>
        <w:t>1  设备制造和材料应符合下列标准和规定的最新版本的要求。</w:t>
      </w:r>
    </w:p>
    <w:p w14:paraId="4071CDF2">
      <w:pPr>
        <w:spacing w:line="440" w:lineRule="exact"/>
        <w:ind w:firstLine="482"/>
        <w:rPr>
          <w:rFonts w:hint="eastAsia"/>
          <w:sz w:val="21"/>
          <w:szCs w:val="21"/>
        </w:rPr>
      </w:pPr>
      <w:r>
        <w:rPr>
          <w:rFonts w:hint="eastAsia"/>
          <w:sz w:val="21"/>
          <w:szCs w:val="21"/>
        </w:rPr>
        <w:t>GB150《钢制压力容器》</w:t>
      </w:r>
    </w:p>
    <w:p w14:paraId="6A063080">
      <w:pPr>
        <w:spacing w:line="440" w:lineRule="exact"/>
        <w:ind w:firstLine="482"/>
        <w:rPr>
          <w:rFonts w:hint="eastAsia"/>
          <w:sz w:val="21"/>
          <w:szCs w:val="21"/>
        </w:rPr>
      </w:pPr>
      <w:r>
        <w:rPr>
          <w:rFonts w:hint="eastAsia"/>
          <w:sz w:val="21"/>
          <w:szCs w:val="21"/>
        </w:rPr>
        <w:t>JB/T4735《钢制焊制常压容器》</w:t>
      </w:r>
    </w:p>
    <w:p w14:paraId="1E1722F7">
      <w:pPr>
        <w:spacing w:line="440" w:lineRule="exact"/>
        <w:ind w:firstLine="482"/>
        <w:rPr>
          <w:rFonts w:hint="eastAsia"/>
          <w:sz w:val="21"/>
          <w:szCs w:val="21"/>
        </w:rPr>
      </w:pPr>
      <w:r>
        <w:rPr>
          <w:rFonts w:hint="eastAsia" w:hAnsi="宋体"/>
          <w:sz w:val="21"/>
          <w:szCs w:val="21"/>
        </w:rPr>
        <w:t>DL/T5068《火力发电厂化学设计技术规程》</w:t>
      </w:r>
    </w:p>
    <w:p w14:paraId="72119436">
      <w:pPr>
        <w:spacing w:line="440" w:lineRule="exact"/>
        <w:ind w:firstLine="482"/>
        <w:rPr>
          <w:rFonts w:hint="eastAsia" w:hAnsi="宋体"/>
          <w:sz w:val="21"/>
          <w:szCs w:val="21"/>
        </w:rPr>
      </w:pPr>
      <w:r>
        <w:rPr>
          <w:rFonts w:hint="eastAsia" w:hAnsi="宋体"/>
          <w:sz w:val="21"/>
          <w:szCs w:val="21"/>
        </w:rPr>
        <w:t>JB2932《水处理设备制造技术条件》</w:t>
      </w:r>
    </w:p>
    <w:p w14:paraId="6FE2A731">
      <w:pPr>
        <w:spacing w:line="440" w:lineRule="exact"/>
        <w:ind w:firstLine="482"/>
        <w:rPr>
          <w:rFonts w:hint="eastAsia" w:hAnsi="宋体"/>
          <w:sz w:val="21"/>
          <w:szCs w:val="21"/>
        </w:rPr>
      </w:pPr>
      <w:r>
        <w:rPr>
          <w:rFonts w:hint="eastAsia" w:hAnsi="宋体"/>
          <w:sz w:val="21"/>
          <w:szCs w:val="21"/>
        </w:rPr>
        <w:t>ZBJ98003《水处理设备油漆包装技术条件》</w:t>
      </w:r>
    </w:p>
    <w:p w14:paraId="06DFB9AF">
      <w:pPr>
        <w:spacing w:line="440" w:lineRule="exact"/>
        <w:ind w:firstLine="482"/>
        <w:rPr>
          <w:rFonts w:hint="eastAsia" w:hAnsi="宋体"/>
          <w:sz w:val="21"/>
          <w:szCs w:val="21"/>
        </w:rPr>
      </w:pPr>
      <w:r>
        <w:rPr>
          <w:rFonts w:hint="eastAsia" w:hAnsi="宋体"/>
          <w:sz w:val="21"/>
          <w:szCs w:val="21"/>
        </w:rPr>
        <w:t>D1543《电厂用水处理设备质量验收标准》</w:t>
      </w:r>
    </w:p>
    <w:p w14:paraId="60570083">
      <w:pPr>
        <w:spacing w:line="440" w:lineRule="exact"/>
        <w:ind w:firstLine="482"/>
        <w:rPr>
          <w:rFonts w:hint="eastAsia"/>
          <w:sz w:val="21"/>
          <w:szCs w:val="21"/>
        </w:rPr>
      </w:pPr>
      <w:r>
        <w:rPr>
          <w:rFonts w:hint="eastAsia"/>
          <w:sz w:val="21"/>
          <w:szCs w:val="21"/>
        </w:rPr>
        <w:t>HGJ32《橡胶衬里化工设备》</w:t>
      </w:r>
    </w:p>
    <w:p w14:paraId="3B2EB58E">
      <w:pPr>
        <w:spacing w:line="440" w:lineRule="exact"/>
        <w:ind w:firstLine="482"/>
        <w:rPr>
          <w:rFonts w:hint="eastAsia"/>
          <w:sz w:val="21"/>
          <w:szCs w:val="21"/>
        </w:rPr>
      </w:pPr>
      <w:r>
        <w:rPr>
          <w:rFonts w:hint="eastAsia"/>
          <w:sz w:val="21"/>
          <w:szCs w:val="21"/>
        </w:rPr>
        <w:t>《压力容器安全技术监察规程》</w:t>
      </w:r>
    </w:p>
    <w:p w14:paraId="40C0322C">
      <w:pPr>
        <w:spacing w:line="440" w:lineRule="exact"/>
        <w:rPr>
          <w:rFonts w:hint="eastAsia"/>
          <w:sz w:val="21"/>
          <w:szCs w:val="21"/>
        </w:rPr>
      </w:pPr>
      <w:r>
        <w:rPr>
          <w:rFonts w:hint="eastAsia"/>
          <w:sz w:val="21"/>
          <w:szCs w:val="21"/>
        </w:rPr>
        <w:t xml:space="preserve"> 2</w:t>
      </w:r>
      <w:r>
        <w:rPr>
          <w:sz w:val="21"/>
          <w:szCs w:val="21"/>
        </w:rPr>
        <w:t>.</w:t>
      </w:r>
      <w:r>
        <w:rPr>
          <w:rFonts w:hint="eastAsia"/>
          <w:sz w:val="21"/>
          <w:szCs w:val="21"/>
        </w:rPr>
        <w:t>1</w:t>
      </w:r>
      <w:r>
        <w:rPr>
          <w:sz w:val="21"/>
          <w:szCs w:val="21"/>
        </w:rPr>
        <w:t>.</w:t>
      </w:r>
      <w:r>
        <w:rPr>
          <w:rFonts w:hint="eastAsia"/>
          <w:sz w:val="21"/>
          <w:szCs w:val="21"/>
        </w:rPr>
        <w:t>2  对外接口法兰应符合下列要求</w:t>
      </w:r>
    </w:p>
    <w:p w14:paraId="67F41789">
      <w:pPr>
        <w:spacing w:line="440" w:lineRule="exact"/>
        <w:ind w:firstLine="482"/>
        <w:rPr>
          <w:rFonts w:hint="eastAsia"/>
          <w:sz w:val="21"/>
          <w:szCs w:val="21"/>
        </w:rPr>
      </w:pPr>
      <w:r>
        <w:rPr>
          <w:rFonts w:hint="eastAsia"/>
          <w:sz w:val="21"/>
          <w:szCs w:val="21"/>
        </w:rPr>
        <w:t>87GB《火力发电厂汽水管道零件及部件典型设计手册》</w:t>
      </w:r>
    </w:p>
    <w:p w14:paraId="40DA8C13">
      <w:pPr>
        <w:spacing w:line="440" w:lineRule="exact"/>
        <w:ind w:firstLine="482"/>
        <w:rPr>
          <w:rFonts w:hint="eastAsia"/>
          <w:sz w:val="21"/>
          <w:szCs w:val="21"/>
        </w:rPr>
      </w:pPr>
      <w:r>
        <w:rPr>
          <w:sz w:val="21"/>
          <w:szCs w:val="21"/>
        </w:rPr>
        <w:t>JB/T74---94</w:t>
      </w:r>
      <w:r>
        <w:rPr>
          <w:rFonts w:hint="eastAsia"/>
          <w:sz w:val="21"/>
          <w:szCs w:val="21"/>
        </w:rPr>
        <w:t>《管路法兰技术条件》</w:t>
      </w:r>
    </w:p>
    <w:p w14:paraId="7BD86FA0">
      <w:pPr>
        <w:spacing w:line="440" w:lineRule="exact"/>
        <w:ind w:firstLine="482"/>
        <w:rPr>
          <w:rFonts w:hint="eastAsia"/>
          <w:sz w:val="21"/>
          <w:szCs w:val="21"/>
        </w:rPr>
      </w:pPr>
      <w:r>
        <w:rPr>
          <w:sz w:val="21"/>
          <w:szCs w:val="21"/>
        </w:rPr>
        <w:t>JB/T75---94</w:t>
      </w:r>
      <w:r>
        <w:rPr>
          <w:rFonts w:hint="eastAsia"/>
          <w:sz w:val="21"/>
          <w:szCs w:val="21"/>
        </w:rPr>
        <w:t>《管路法兰类型》</w:t>
      </w:r>
    </w:p>
    <w:p w14:paraId="6ADAF468">
      <w:pPr>
        <w:spacing w:line="440" w:lineRule="exact"/>
        <w:ind w:firstLine="482"/>
        <w:rPr>
          <w:rFonts w:hint="eastAsia"/>
          <w:sz w:val="21"/>
          <w:szCs w:val="21"/>
        </w:rPr>
      </w:pPr>
      <w:r>
        <w:rPr>
          <w:sz w:val="21"/>
          <w:szCs w:val="21"/>
        </w:rPr>
        <w:t>JB/T81---94</w:t>
      </w:r>
      <w:r>
        <w:rPr>
          <w:rFonts w:hint="eastAsia"/>
          <w:sz w:val="21"/>
          <w:szCs w:val="21"/>
        </w:rPr>
        <w:t>《凸面板式平焊钢制管法兰》</w:t>
      </w:r>
    </w:p>
    <w:p w14:paraId="77683BD6">
      <w:pPr>
        <w:spacing w:line="440" w:lineRule="exact"/>
        <w:ind w:firstLine="482"/>
        <w:rPr>
          <w:rFonts w:hint="eastAsia"/>
          <w:sz w:val="21"/>
          <w:szCs w:val="21"/>
        </w:rPr>
      </w:pPr>
      <w:r>
        <w:rPr>
          <w:rFonts w:hint="eastAsia"/>
          <w:sz w:val="21"/>
          <w:szCs w:val="21"/>
        </w:rPr>
        <w:t>接口标准应与阀门的法兰标准配套。</w:t>
      </w:r>
    </w:p>
    <w:p w14:paraId="71275A33">
      <w:pPr>
        <w:spacing w:line="440" w:lineRule="exact"/>
        <w:rPr>
          <w:rFonts w:hint="eastAsia"/>
          <w:sz w:val="21"/>
          <w:szCs w:val="21"/>
        </w:rPr>
      </w:pPr>
      <w:r>
        <w:rPr>
          <w:rFonts w:hint="eastAsia"/>
          <w:sz w:val="21"/>
          <w:szCs w:val="21"/>
        </w:rPr>
        <w:t>2</w:t>
      </w:r>
      <w:r>
        <w:rPr>
          <w:sz w:val="21"/>
          <w:szCs w:val="21"/>
        </w:rPr>
        <w:t>.</w:t>
      </w:r>
      <w:r>
        <w:rPr>
          <w:rFonts w:hint="eastAsia"/>
          <w:sz w:val="21"/>
          <w:szCs w:val="21"/>
        </w:rPr>
        <w:t>1</w:t>
      </w:r>
      <w:r>
        <w:rPr>
          <w:sz w:val="21"/>
          <w:szCs w:val="21"/>
        </w:rPr>
        <w:t>.</w:t>
      </w:r>
      <w:r>
        <w:rPr>
          <w:rFonts w:hint="eastAsia"/>
          <w:sz w:val="21"/>
          <w:szCs w:val="21"/>
        </w:rPr>
        <w:t>3  衬里钢管和管件应符合下列标准的最新版本的规定要求：</w:t>
      </w:r>
    </w:p>
    <w:p w14:paraId="23EAB76E">
      <w:pPr>
        <w:spacing w:line="440" w:lineRule="exact"/>
        <w:rPr>
          <w:rFonts w:hint="eastAsia"/>
          <w:sz w:val="21"/>
          <w:szCs w:val="21"/>
        </w:rPr>
      </w:pPr>
      <w:r>
        <w:rPr>
          <w:rFonts w:hint="eastAsia"/>
          <w:sz w:val="21"/>
          <w:szCs w:val="21"/>
        </w:rPr>
        <w:t xml:space="preserve"> </w:t>
      </w:r>
      <w:r>
        <w:rPr>
          <w:rFonts w:hint="eastAsia"/>
          <w:sz w:val="21"/>
          <w:szCs w:val="21"/>
        </w:rPr>
        <w:tab/>
      </w:r>
      <w:r>
        <w:rPr>
          <w:rFonts w:hint="eastAsia"/>
          <w:sz w:val="21"/>
          <w:szCs w:val="21"/>
        </w:rPr>
        <w:t>HG21501《衬胶钢管和管件》</w:t>
      </w:r>
    </w:p>
    <w:p w14:paraId="3ACAC1CB">
      <w:pPr>
        <w:spacing w:line="440" w:lineRule="exact"/>
        <w:rPr>
          <w:rFonts w:hint="eastAsia"/>
          <w:sz w:val="21"/>
          <w:szCs w:val="21"/>
        </w:rPr>
      </w:pPr>
      <w:r>
        <w:rPr>
          <w:rFonts w:hint="eastAsia"/>
          <w:sz w:val="21"/>
          <w:szCs w:val="21"/>
        </w:rPr>
        <w:t xml:space="preserve"> </w:t>
      </w:r>
      <w:r>
        <w:rPr>
          <w:rFonts w:hint="eastAsia"/>
          <w:sz w:val="21"/>
          <w:szCs w:val="21"/>
        </w:rPr>
        <w:tab/>
      </w:r>
      <w:r>
        <w:rPr>
          <w:rFonts w:hint="eastAsia"/>
          <w:sz w:val="21"/>
          <w:szCs w:val="21"/>
        </w:rPr>
        <w:t>HG20538《衬塑（PP、PE、PVC）钢管和管件》</w:t>
      </w:r>
    </w:p>
    <w:p w14:paraId="5FFEC222">
      <w:pPr>
        <w:spacing w:line="440" w:lineRule="exact"/>
        <w:rPr>
          <w:rFonts w:hint="eastAsia"/>
          <w:sz w:val="21"/>
          <w:szCs w:val="21"/>
        </w:rPr>
      </w:pPr>
      <w:r>
        <w:rPr>
          <w:rFonts w:hint="eastAsia"/>
          <w:sz w:val="21"/>
          <w:szCs w:val="21"/>
        </w:rPr>
        <w:t>2</w:t>
      </w:r>
      <w:r>
        <w:rPr>
          <w:sz w:val="21"/>
          <w:szCs w:val="21"/>
        </w:rPr>
        <w:t>.</w:t>
      </w:r>
      <w:r>
        <w:rPr>
          <w:rFonts w:hint="eastAsia"/>
          <w:sz w:val="21"/>
          <w:szCs w:val="21"/>
        </w:rPr>
        <w:t>1</w:t>
      </w:r>
      <w:r>
        <w:rPr>
          <w:sz w:val="21"/>
          <w:szCs w:val="21"/>
        </w:rPr>
        <w:t>.</w:t>
      </w:r>
      <w:r>
        <w:rPr>
          <w:rFonts w:hint="eastAsia"/>
          <w:sz w:val="21"/>
          <w:szCs w:val="21"/>
        </w:rPr>
        <w:t>4  设备外部管路的设计应符合DL/T5054《火力发电厂汽水管道设计技术规定》现行最新版本的规定要求。</w:t>
      </w:r>
    </w:p>
    <w:p w14:paraId="355D6B0C">
      <w:pPr>
        <w:spacing w:line="440" w:lineRule="exact"/>
        <w:rPr>
          <w:rFonts w:hint="eastAsia"/>
          <w:sz w:val="21"/>
          <w:szCs w:val="21"/>
        </w:rPr>
      </w:pPr>
      <w:r>
        <w:rPr>
          <w:rFonts w:hint="eastAsia"/>
          <w:sz w:val="21"/>
          <w:szCs w:val="21"/>
        </w:rPr>
        <w:t>2.1.5 其它被认可的标准达到或超过以上所列标准的要求，将可以被用于设计和制造。但应在签订技术协议前提交买方，以便确认。</w:t>
      </w:r>
    </w:p>
    <w:p w14:paraId="31542D2C">
      <w:pPr>
        <w:spacing w:line="440" w:lineRule="exact"/>
        <w:rPr>
          <w:rFonts w:hint="eastAsia"/>
          <w:sz w:val="21"/>
          <w:szCs w:val="21"/>
        </w:rPr>
      </w:pPr>
      <w:r>
        <w:rPr>
          <w:rFonts w:hint="eastAsia"/>
          <w:sz w:val="21"/>
          <w:szCs w:val="21"/>
        </w:rPr>
        <w:t>2.1.6 所提供的材料及外购设备将符合所应用的标准。</w:t>
      </w:r>
    </w:p>
    <w:p w14:paraId="1228BD3C">
      <w:pPr>
        <w:spacing w:line="440" w:lineRule="exact"/>
        <w:rPr>
          <w:rFonts w:hint="eastAsia"/>
          <w:sz w:val="21"/>
          <w:szCs w:val="21"/>
        </w:rPr>
      </w:pPr>
      <w:r>
        <w:rPr>
          <w:rFonts w:hint="eastAsia"/>
          <w:sz w:val="21"/>
          <w:szCs w:val="21"/>
        </w:rPr>
        <w:t>2.1.7 所使用的各标准如有新版本，以最新版本为准。</w:t>
      </w:r>
    </w:p>
    <w:p w14:paraId="3F54EF16">
      <w:pPr>
        <w:spacing w:line="440" w:lineRule="exact"/>
        <w:rPr>
          <w:rFonts w:hint="eastAsia"/>
          <w:sz w:val="21"/>
          <w:szCs w:val="21"/>
        </w:rPr>
      </w:pPr>
      <w:r>
        <w:rPr>
          <w:rFonts w:hint="eastAsia"/>
          <w:sz w:val="21"/>
          <w:szCs w:val="21"/>
        </w:rPr>
        <w:t>2.1.8 与以上的规范、标准及本规范书相矛盾之处，卖方必须向买方提出，并获得买方同意。</w:t>
      </w:r>
    </w:p>
    <w:p w14:paraId="1BF9B382">
      <w:pPr>
        <w:pStyle w:val="3"/>
        <w:spacing w:line="440" w:lineRule="exact"/>
        <w:rPr>
          <w:rFonts w:ascii="Times New Roman" w:hAnsi="Times New Roman"/>
          <w:b w:val="0"/>
          <w:bCs w:val="0"/>
          <w:sz w:val="21"/>
          <w:szCs w:val="21"/>
        </w:rPr>
      </w:pPr>
      <w:bookmarkStart w:id="26" w:name="_Toc271049304"/>
      <w:r>
        <w:rPr>
          <w:rFonts w:ascii="Times New Roman" w:hAnsi="Times New Roman"/>
          <w:b w:val="0"/>
          <w:bCs w:val="0"/>
          <w:sz w:val="21"/>
          <w:szCs w:val="21"/>
        </w:rPr>
        <w:t xml:space="preserve">2.2 </w:t>
      </w:r>
      <w:r>
        <w:rPr>
          <w:rFonts w:hint="eastAsia" w:ascii="Times New Roman" w:hAnsi="Times New Roman"/>
          <w:b w:val="0"/>
          <w:bCs w:val="0"/>
          <w:sz w:val="21"/>
          <w:szCs w:val="21"/>
        </w:rPr>
        <w:t>设计基础资料</w:t>
      </w:r>
      <w:bookmarkEnd w:id="26"/>
    </w:p>
    <w:p w14:paraId="57EA3C96">
      <w:pPr>
        <w:spacing w:line="440" w:lineRule="exact"/>
        <w:rPr>
          <w:rFonts w:hint="eastAsia"/>
          <w:sz w:val="21"/>
          <w:szCs w:val="21"/>
        </w:rPr>
      </w:pPr>
      <w:r>
        <w:rPr>
          <w:sz w:val="21"/>
          <w:szCs w:val="21"/>
        </w:rPr>
        <w:t>2.2.</w:t>
      </w:r>
      <w:r>
        <w:rPr>
          <w:rFonts w:hint="eastAsia"/>
          <w:sz w:val="21"/>
          <w:szCs w:val="21"/>
        </w:rPr>
        <w:t>1</w:t>
      </w:r>
      <w:r>
        <w:rPr>
          <w:sz w:val="21"/>
          <w:szCs w:val="21"/>
        </w:rPr>
        <w:t xml:space="preserve"> </w:t>
      </w:r>
      <w:r>
        <w:rPr>
          <w:rFonts w:hint="eastAsia"/>
          <w:sz w:val="21"/>
          <w:szCs w:val="21"/>
        </w:rPr>
        <w:t xml:space="preserve"> 系统概况和相关设备</w:t>
      </w:r>
    </w:p>
    <w:p w14:paraId="23E1A924">
      <w:pPr>
        <w:spacing w:line="440" w:lineRule="exact"/>
        <w:ind w:firstLine="482"/>
        <w:rPr>
          <w:sz w:val="21"/>
          <w:szCs w:val="21"/>
        </w:rPr>
      </w:pPr>
      <w:r>
        <w:rPr>
          <w:rFonts w:hint="eastAsia"/>
          <w:sz w:val="21"/>
          <w:szCs w:val="21"/>
        </w:rPr>
        <w:t>根据水质情况，热网补充水处理采用一级钠离子交换器处理方案。工艺流程如下：</w:t>
      </w:r>
    </w:p>
    <w:p w14:paraId="60AD110C">
      <w:pPr>
        <w:spacing w:line="440" w:lineRule="exact"/>
        <w:ind w:firstLine="482"/>
        <w:rPr>
          <w:rFonts w:hint="eastAsia"/>
          <w:b/>
          <w:sz w:val="21"/>
          <w:szCs w:val="21"/>
        </w:rPr>
      </w:pPr>
      <w:r>
        <mc:AlternateContent>
          <mc:Choice Requires="wps">
            <w:drawing>
              <wp:anchor distT="0" distB="0" distL="114300" distR="114300" simplePos="0" relativeHeight="251665408" behindDoc="0" locked="0" layoutInCell="1" allowOverlap="1">
                <wp:simplePos x="0" y="0"/>
                <wp:positionH relativeFrom="column">
                  <wp:posOffset>2034540</wp:posOffset>
                </wp:positionH>
                <wp:positionV relativeFrom="paragraph">
                  <wp:posOffset>252095</wp:posOffset>
                </wp:positionV>
                <wp:extent cx="635" cy="152400"/>
                <wp:effectExtent l="37465" t="0" r="38100" b="0"/>
                <wp:wrapNone/>
                <wp:docPr id="2" name="直接连接符 2"/>
                <wp:cNvGraphicFramePr/>
                <a:graphic xmlns:a="http://schemas.openxmlformats.org/drawingml/2006/main">
                  <a:graphicData uri="http://schemas.microsoft.com/office/word/2010/wordprocessingShape">
                    <wps:wsp>
                      <wps:cNvCnPr/>
                      <wps:spPr>
                        <a:xfrm flipV="1">
                          <a:off x="0" y="0"/>
                          <a:ext cx="635" cy="152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0.2pt;margin-top:19.85pt;height:12pt;width:0.05pt;z-index:251665408;mso-width-relative:page;mso-height-relative:page;" filled="f" stroked="t" coordsize="21600,21600" o:gfxdata="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&#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28cH2AAAAAkBAAAPAAAAAAAAAAEAIAAAACIAAABk&#10;cnMvZG93bnJldi54bWxQSwECFAAUAAAACACHTuJANM+bsQYCAADzAwAADgAAAAAAAAABACAAAAAn&#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901065</wp:posOffset>
                </wp:positionH>
                <wp:positionV relativeFrom="paragraph">
                  <wp:posOffset>242570</wp:posOffset>
                </wp:positionV>
                <wp:extent cx="635" cy="114300"/>
                <wp:effectExtent l="38100" t="0" r="37465" b="0"/>
                <wp:wrapNone/>
                <wp:docPr id="7" name="直接连接符 7"/>
                <wp:cNvGraphicFramePr/>
                <a:graphic xmlns:a="http://schemas.openxmlformats.org/drawingml/2006/main">
                  <a:graphicData uri="http://schemas.microsoft.com/office/word/2010/wordprocessingShape">
                    <wps:wsp>
                      <wps:cNvCnPr/>
                      <wps:spPr>
                        <a:xfrm>
                          <a:off x="0" y="0"/>
                          <a:ext cx="635"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0.95pt;margin-top:19.1pt;height:9pt;width:0.05pt;z-index:251663360;mso-width-relative:page;mso-height-relative:page;" filled="f" stroked="t" coordsize="21600,21600" o:gfxdata="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XH4I2QAAAAkBAAAPAAAAAAAAAAEAIAAAACIAAABkcnMvZG93&#10;bnJldi54bWxQSwECFAAUAAAACACHTuJATOnIQf8BAADpAwAADgAAAAAAAAABACAAAAAoAQAAZHJz&#10;L2Uyb0RvYy54bWxQSwUGAAAAAAYABgBZAQAAmQUAAAAA&#10;">
                <v:fill on="f" focussize="0,0"/>
                <v:stroke color="#000000" joinstyle="round" endarrow="block"/>
                <v:imagedata o:title=""/>
                <o:lock v:ext="edit" aspectratio="f"/>
              </v:line>
            </w:pict>
          </mc:Fallback>
        </mc:AlternateContent>
      </w:r>
      <w:r>
        <w:rPr>
          <w:rFonts w:hint="eastAsia"/>
          <w:b/>
          <w:sz w:val="21"/>
          <w:szCs w:val="21"/>
        </w:rPr>
        <w:t>系统.：</w:t>
      </w:r>
      <w:r>
        <w:rPr>
          <w:rFonts w:hint="eastAsia"/>
          <w:b/>
          <w:sz w:val="21"/>
          <w:szCs w:val="21"/>
          <w:lang w:eastAsia="zh-CN"/>
        </w:rPr>
        <w:t>自来水</w:t>
      </w:r>
      <w:r>
        <w:rPr>
          <w:rFonts w:hint="eastAsia"/>
          <w:b/>
          <w:sz w:val="21"/>
          <w:szCs w:val="21"/>
        </w:rPr>
        <w:t>→全自动钠离子交换器→软化水箱→用水点</w:t>
      </w:r>
    </w:p>
    <w:p w14:paraId="0D738B0B">
      <w:pPr>
        <w:spacing w:line="440" w:lineRule="exact"/>
        <w:ind w:firstLine="482"/>
        <w:rPr>
          <w:rFonts w:hint="eastAsia" w:eastAsia="宋体"/>
          <w:b/>
          <w:color w:val="auto"/>
          <w:sz w:val="21"/>
          <w:szCs w:val="21"/>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1548765</wp:posOffset>
                </wp:positionH>
                <wp:positionV relativeFrom="paragraph">
                  <wp:posOffset>172720</wp:posOffset>
                </wp:positionV>
                <wp:extent cx="514350" cy="635"/>
                <wp:effectExtent l="0" t="37465" r="0" b="38100"/>
                <wp:wrapNone/>
                <wp:docPr id="8" name="直接连接符 8"/>
                <wp:cNvGraphicFramePr/>
                <a:graphic xmlns:a="http://schemas.openxmlformats.org/drawingml/2006/main">
                  <a:graphicData uri="http://schemas.microsoft.com/office/word/2010/wordprocessingShape">
                    <wps:wsp>
                      <wps:cNvCnPr/>
                      <wps:spPr>
                        <a:xfrm>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1.95pt;margin-top:13.6pt;height:0.05pt;width:40.5pt;z-index:251664384;mso-width-relative:page;mso-height-relative:page;" filled="f" stroked="t" coordsize="21600,21600" o:gfxdata="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sbE0doAAAAJAQAADwAAAAAAAAABACAAAAAiAAAAZHJzL2Rvd25y&#10;ZXYueG1sUEsBAhQAFAAAAAgAh07iQLF4HYT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b/>
          <w:sz w:val="21"/>
          <w:szCs w:val="21"/>
          <w:lang w:val="en-US" w:eastAsia="zh-CN"/>
        </w:rPr>
        <w:t xml:space="preserve">       </w:t>
      </w:r>
      <w:r>
        <w:rPr>
          <w:rFonts w:hint="eastAsia"/>
          <w:b/>
          <w:color w:val="auto"/>
          <w:sz w:val="21"/>
          <w:szCs w:val="21"/>
          <w:lang w:val="en-US" w:eastAsia="zh-CN"/>
        </w:rPr>
        <w:t xml:space="preserve"> 盐水辅助泵</w:t>
      </w:r>
    </w:p>
    <w:p w14:paraId="450E6319">
      <w:pPr>
        <w:spacing w:line="440" w:lineRule="exact"/>
        <w:rPr>
          <w:rFonts w:hint="eastAsia" w:eastAsia="宋体"/>
          <w:color w:val="auto"/>
          <w:sz w:val="21"/>
          <w:szCs w:val="21"/>
          <w:lang w:val="en-US" w:eastAsia="zh-CN"/>
        </w:rPr>
      </w:pPr>
      <w:r>
        <w:rPr>
          <w:rFonts w:hint="eastAsia"/>
          <w:color w:val="auto"/>
          <w:sz w:val="21"/>
          <w:szCs w:val="21"/>
          <w:lang w:val="en-US" w:eastAsia="zh-CN"/>
        </w:rPr>
        <w:t xml:space="preserve">     盐水辅助泵的作用：在小区自来水水压低时，从自来水管道内抽取部分自来水，使其压力增加，射水吸力增强，帮助饱和盐水正常进入交换器进行树脂再生。</w:t>
      </w:r>
    </w:p>
    <w:p w14:paraId="3A8220A3">
      <w:pPr>
        <w:spacing w:line="440" w:lineRule="exact"/>
        <w:rPr>
          <w:rFonts w:hint="eastAsia"/>
          <w:color w:val="000000"/>
          <w:sz w:val="21"/>
          <w:szCs w:val="21"/>
        </w:rPr>
      </w:pPr>
      <w:r>
        <w:rPr>
          <w:color w:val="000000"/>
          <w:sz w:val="21"/>
          <w:szCs w:val="21"/>
        </w:rPr>
        <w:t>2.2.</w:t>
      </w:r>
      <w:r>
        <w:rPr>
          <w:rFonts w:hint="eastAsia"/>
          <w:color w:val="000000"/>
          <w:sz w:val="21"/>
          <w:szCs w:val="21"/>
        </w:rPr>
        <w:t>2</w:t>
      </w:r>
      <w:r>
        <w:rPr>
          <w:color w:val="000000"/>
          <w:sz w:val="21"/>
          <w:szCs w:val="21"/>
        </w:rPr>
        <w:t xml:space="preserve"> </w:t>
      </w:r>
      <w:r>
        <w:rPr>
          <w:rFonts w:hint="eastAsia"/>
          <w:color w:val="000000"/>
          <w:sz w:val="21"/>
          <w:szCs w:val="21"/>
        </w:rPr>
        <w:t xml:space="preserve"> 环境条件</w:t>
      </w:r>
    </w:p>
    <w:p w14:paraId="3AAD22AE">
      <w:pPr>
        <w:spacing w:line="440" w:lineRule="exact"/>
        <w:ind w:firstLine="482"/>
        <w:rPr>
          <w:rFonts w:hint="default"/>
          <w:szCs w:val="21"/>
        </w:rPr>
      </w:pPr>
      <w:bookmarkStart w:id="27" w:name="OLE_LINK2"/>
      <w:r>
        <w:rPr>
          <w:rFonts w:hint="default"/>
          <w:szCs w:val="21"/>
        </w:rPr>
        <w:t>2.2.2</w:t>
      </w:r>
      <w:r>
        <w:rPr>
          <w:szCs w:val="21"/>
        </w:rPr>
        <w:t>.1区内自然地坪标高：46.00</w:t>
      </w:r>
      <w:r>
        <w:rPr>
          <w:rFonts w:hAnsi="宋体"/>
          <w:szCs w:val="21"/>
        </w:rPr>
        <w:t>～</w:t>
      </w:r>
      <w:r>
        <w:rPr>
          <w:szCs w:val="21"/>
        </w:rPr>
        <w:t>77.00m</w:t>
      </w:r>
    </w:p>
    <w:p w14:paraId="1F183D29">
      <w:pPr>
        <w:spacing w:line="440" w:lineRule="exact"/>
        <w:ind w:firstLine="482"/>
        <w:rPr>
          <w:rFonts w:hint="default"/>
          <w:szCs w:val="21"/>
        </w:rPr>
      </w:pPr>
      <w:r>
        <w:rPr>
          <w:rFonts w:hint="default"/>
          <w:szCs w:val="21"/>
        </w:rPr>
        <w:t>2.2.2</w:t>
      </w:r>
      <w:r>
        <w:rPr>
          <w:szCs w:val="21"/>
        </w:rPr>
        <w:t>.2区内地震基本烈度为：7度。</w:t>
      </w:r>
    </w:p>
    <w:p w14:paraId="7FEF2076">
      <w:pPr>
        <w:spacing w:line="440" w:lineRule="exact"/>
        <w:ind w:firstLine="482"/>
        <w:rPr>
          <w:rFonts w:hint="default"/>
          <w:szCs w:val="21"/>
        </w:rPr>
      </w:pPr>
      <w:r>
        <w:rPr>
          <w:rFonts w:hint="default"/>
          <w:szCs w:val="21"/>
        </w:rPr>
        <w:t>2.2.2</w:t>
      </w:r>
      <w:r>
        <w:rPr>
          <w:szCs w:val="21"/>
        </w:rPr>
        <w:t>.3年平均气温14.5℃，冬季采暖室外计算温度-7℃，冬季室外平均温度-1.5℃，极端最高气温39.8℃，极端最低气温-16.1℃。</w:t>
      </w:r>
    </w:p>
    <w:p w14:paraId="13BD5584">
      <w:pPr>
        <w:spacing w:line="440" w:lineRule="exact"/>
        <w:ind w:firstLine="482"/>
        <w:rPr>
          <w:rFonts w:hint="default"/>
          <w:szCs w:val="21"/>
        </w:rPr>
      </w:pPr>
      <w:r>
        <w:rPr>
          <w:rFonts w:hint="default"/>
          <w:szCs w:val="21"/>
        </w:rPr>
        <w:t>2.2.2</w:t>
      </w:r>
      <w:r>
        <w:rPr>
          <w:szCs w:val="21"/>
        </w:rPr>
        <w:t>.4累年平均相对湿度：63%</w:t>
      </w:r>
    </w:p>
    <w:p w14:paraId="61866C29">
      <w:pPr>
        <w:spacing w:line="440" w:lineRule="exact"/>
        <w:ind w:firstLine="482"/>
        <w:rPr>
          <w:rFonts w:hint="default"/>
          <w:szCs w:val="21"/>
        </w:rPr>
      </w:pPr>
      <w:r>
        <w:rPr>
          <w:rFonts w:hint="default"/>
          <w:szCs w:val="21"/>
        </w:rPr>
        <w:t>2.2.2</w:t>
      </w:r>
      <w:r>
        <w:rPr>
          <w:szCs w:val="21"/>
        </w:rPr>
        <w:t>.5累年平均风速：2.8m/s</w:t>
      </w:r>
    </w:p>
    <w:p w14:paraId="7CF05E79">
      <w:pPr>
        <w:spacing w:line="440" w:lineRule="exact"/>
        <w:ind w:firstLine="482"/>
        <w:rPr>
          <w:rFonts w:hint="default"/>
          <w:szCs w:val="21"/>
        </w:rPr>
      </w:pPr>
      <w:r>
        <w:rPr>
          <w:rFonts w:hint="default"/>
          <w:szCs w:val="21"/>
        </w:rPr>
        <w:t>2.2.2</w:t>
      </w:r>
      <w:r>
        <w:rPr>
          <w:szCs w:val="21"/>
        </w:rPr>
        <w:t>.6最大冻土深度：32cm</w:t>
      </w:r>
    </w:p>
    <w:p w14:paraId="2C653248">
      <w:pPr>
        <w:spacing w:line="440" w:lineRule="exact"/>
        <w:ind w:firstLine="482"/>
        <w:rPr>
          <w:rFonts w:hint="default"/>
          <w:szCs w:val="21"/>
        </w:rPr>
      </w:pPr>
      <w:r>
        <w:rPr>
          <w:rFonts w:hint="default"/>
          <w:szCs w:val="21"/>
        </w:rPr>
        <w:t>2.2.2</w:t>
      </w:r>
      <w:r>
        <w:rPr>
          <w:szCs w:val="21"/>
        </w:rPr>
        <w:t>.7地下水位变幅：0.56</w:t>
      </w:r>
      <w:r>
        <w:rPr>
          <w:rFonts w:hAnsi="宋体"/>
          <w:szCs w:val="21"/>
        </w:rPr>
        <w:t>～</w:t>
      </w:r>
      <w:r>
        <w:rPr>
          <w:szCs w:val="21"/>
        </w:rPr>
        <w:t>3m</w:t>
      </w:r>
    </w:p>
    <w:p w14:paraId="4146C468">
      <w:pPr>
        <w:spacing w:line="440" w:lineRule="exact"/>
        <w:ind w:firstLine="482"/>
        <w:rPr>
          <w:rFonts w:hint="default"/>
          <w:szCs w:val="21"/>
        </w:rPr>
      </w:pPr>
      <w:r>
        <w:rPr>
          <w:rFonts w:hint="default"/>
          <w:szCs w:val="21"/>
        </w:rPr>
        <w:t>2.2.2</w:t>
      </w:r>
      <w:r>
        <w:rPr>
          <w:szCs w:val="21"/>
        </w:rPr>
        <w:t>.8安装条件：室内安装</w:t>
      </w:r>
    </w:p>
    <w:p w14:paraId="52E991DD">
      <w:pPr>
        <w:spacing w:line="440" w:lineRule="exact"/>
        <w:ind w:firstLine="482"/>
        <w:rPr>
          <w:rFonts w:hint="default"/>
          <w:szCs w:val="21"/>
        </w:rPr>
      </w:pPr>
      <w:r>
        <w:rPr>
          <w:rFonts w:hint="default"/>
          <w:szCs w:val="21"/>
        </w:rPr>
        <w:t>2.2.2</w:t>
      </w:r>
      <w:r>
        <w:rPr>
          <w:szCs w:val="21"/>
        </w:rPr>
        <w:t>.9电源条件：380V，50HZ。</w:t>
      </w:r>
    </w:p>
    <w:bookmarkEnd w:id="27"/>
    <w:p w14:paraId="40DC397F">
      <w:pPr>
        <w:spacing w:line="440" w:lineRule="exact"/>
        <w:rPr>
          <w:rFonts w:hint="eastAsia"/>
          <w:sz w:val="21"/>
          <w:szCs w:val="21"/>
        </w:rPr>
      </w:pPr>
      <w:r>
        <w:rPr>
          <w:rFonts w:hint="eastAsia"/>
          <w:sz w:val="21"/>
          <w:szCs w:val="21"/>
        </w:rPr>
        <w:t>2.2.3  水源及水质资料</w:t>
      </w:r>
    </w:p>
    <w:p w14:paraId="54FBE03B">
      <w:pPr>
        <w:spacing w:line="440" w:lineRule="exact"/>
        <w:ind w:firstLine="420" w:firstLineChars="200"/>
        <w:rPr>
          <w:sz w:val="21"/>
          <w:szCs w:val="21"/>
        </w:rPr>
      </w:pPr>
      <w:r>
        <w:rPr>
          <w:rFonts w:hint="eastAsia"/>
          <w:sz w:val="21"/>
          <w:szCs w:val="21"/>
        </w:rPr>
        <w:t>热网补充水软化系统采用</w:t>
      </w:r>
      <w:r>
        <w:rPr>
          <w:rFonts w:hint="eastAsia"/>
          <w:b/>
          <w:sz w:val="21"/>
          <w:szCs w:val="21"/>
          <w:u w:val="single"/>
        </w:rPr>
        <w:t>自来水</w:t>
      </w:r>
      <w:r>
        <w:rPr>
          <w:rFonts w:hint="eastAsia"/>
          <w:sz w:val="21"/>
          <w:szCs w:val="21"/>
        </w:rPr>
        <w:t>作为水源。水质分析资料如下：</w:t>
      </w:r>
    </w:p>
    <w:p w14:paraId="06F4712E">
      <w:pPr>
        <w:spacing w:line="440" w:lineRule="exact"/>
        <w:rPr>
          <w:sz w:val="21"/>
          <w:szCs w:val="21"/>
        </w:rPr>
      </w:pPr>
      <w:r>
        <w:rPr>
          <w:rFonts w:hint="eastAsia"/>
          <w:sz w:val="21"/>
          <w:szCs w:val="21"/>
        </w:rPr>
        <w:t>表1                         水质全分析报告表</w:t>
      </w:r>
    </w:p>
    <w:p w14:paraId="5F49BE8E">
      <w:pPr>
        <w:spacing w:line="440" w:lineRule="exact"/>
        <w:rPr>
          <w:sz w:val="21"/>
          <w:szCs w:val="21"/>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5"/>
        <w:gridCol w:w="1425"/>
        <w:gridCol w:w="540"/>
        <w:gridCol w:w="900"/>
        <w:gridCol w:w="180"/>
        <w:gridCol w:w="1200"/>
        <w:gridCol w:w="120"/>
        <w:gridCol w:w="1380"/>
      </w:tblGrid>
      <w:tr w14:paraId="0ABC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00" w:type="dxa"/>
            <w:gridSpan w:val="4"/>
            <w:noWrap w:val="0"/>
            <w:vAlign w:val="center"/>
          </w:tcPr>
          <w:p w14:paraId="46AB477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ZD/JL021-015</w:t>
            </w:r>
          </w:p>
        </w:tc>
        <w:tc>
          <w:tcPr>
            <w:tcW w:w="4320" w:type="dxa"/>
            <w:gridSpan w:val="6"/>
            <w:noWrap w:val="0"/>
            <w:vAlign w:val="center"/>
          </w:tcPr>
          <w:p w14:paraId="0FAFD25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No:  HS-S-07-004</w:t>
            </w:r>
          </w:p>
        </w:tc>
      </w:tr>
      <w:tr w14:paraId="6E9C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1953A284">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水样名称</w:t>
            </w:r>
          </w:p>
        </w:tc>
        <w:tc>
          <w:tcPr>
            <w:tcW w:w="2880" w:type="dxa"/>
            <w:gridSpan w:val="3"/>
            <w:noWrap w:val="0"/>
            <w:vAlign w:val="center"/>
          </w:tcPr>
          <w:p w14:paraId="423D00F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双村深井泵</w:t>
            </w:r>
          </w:p>
        </w:tc>
        <w:tc>
          <w:tcPr>
            <w:tcW w:w="1620" w:type="dxa"/>
            <w:gridSpan w:val="3"/>
            <w:noWrap w:val="0"/>
            <w:vAlign w:val="center"/>
          </w:tcPr>
          <w:p w14:paraId="78FF0A2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水温（℃）</w:t>
            </w:r>
          </w:p>
        </w:tc>
        <w:tc>
          <w:tcPr>
            <w:tcW w:w="2700" w:type="dxa"/>
            <w:gridSpan w:val="3"/>
            <w:noWrap w:val="0"/>
            <w:vAlign w:val="center"/>
          </w:tcPr>
          <w:p w14:paraId="36AEBC7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26</w:t>
            </w:r>
          </w:p>
        </w:tc>
      </w:tr>
      <w:tr w14:paraId="35B0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66B05232">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取样地点</w:t>
            </w:r>
          </w:p>
        </w:tc>
        <w:tc>
          <w:tcPr>
            <w:tcW w:w="2880" w:type="dxa"/>
            <w:gridSpan w:val="3"/>
            <w:noWrap w:val="0"/>
            <w:vAlign w:val="center"/>
          </w:tcPr>
          <w:p w14:paraId="0B63D44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Ⅰ、Ⅱ期水源地</w:t>
            </w:r>
          </w:p>
        </w:tc>
        <w:tc>
          <w:tcPr>
            <w:tcW w:w="1620" w:type="dxa"/>
            <w:gridSpan w:val="3"/>
            <w:noWrap w:val="0"/>
            <w:vAlign w:val="center"/>
          </w:tcPr>
          <w:p w14:paraId="1DB62CC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报告日期</w:t>
            </w:r>
          </w:p>
        </w:tc>
        <w:tc>
          <w:tcPr>
            <w:tcW w:w="2700" w:type="dxa"/>
            <w:gridSpan w:val="3"/>
            <w:noWrap w:val="0"/>
            <w:vAlign w:val="center"/>
          </w:tcPr>
          <w:p w14:paraId="230A35BF">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2004.7.5</w:t>
            </w:r>
          </w:p>
        </w:tc>
      </w:tr>
      <w:tr w14:paraId="6207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2F478A4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取样日期</w:t>
            </w:r>
          </w:p>
        </w:tc>
        <w:tc>
          <w:tcPr>
            <w:tcW w:w="2880" w:type="dxa"/>
            <w:gridSpan w:val="3"/>
            <w:noWrap w:val="0"/>
            <w:vAlign w:val="center"/>
          </w:tcPr>
          <w:p w14:paraId="26EE460F">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2004.6.23</w:t>
            </w:r>
          </w:p>
        </w:tc>
        <w:tc>
          <w:tcPr>
            <w:tcW w:w="1620" w:type="dxa"/>
            <w:gridSpan w:val="3"/>
            <w:noWrap w:val="0"/>
            <w:vAlign w:val="center"/>
          </w:tcPr>
          <w:p w14:paraId="7CB4F51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分析日期</w:t>
            </w:r>
          </w:p>
        </w:tc>
        <w:tc>
          <w:tcPr>
            <w:tcW w:w="2700" w:type="dxa"/>
            <w:gridSpan w:val="3"/>
            <w:noWrap w:val="0"/>
            <w:vAlign w:val="center"/>
          </w:tcPr>
          <w:p w14:paraId="6FDA9FD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2004.6.23－7.5</w:t>
            </w:r>
          </w:p>
        </w:tc>
      </w:tr>
      <w:tr w14:paraId="75C8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0993FBF2">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气温 （℃） </w:t>
            </w:r>
          </w:p>
        </w:tc>
        <w:tc>
          <w:tcPr>
            <w:tcW w:w="2880" w:type="dxa"/>
            <w:gridSpan w:val="3"/>
            <w:noWrap w:val="0"/>
            <w:vAlign w:val="center"/>
          </w:tcPr>
          <w:p w14:paraId="4747602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32</w:t>
            </w:r>
          </w:p>
        </w:tc>
        <w:tc>
          <w:tcPr>
            <w:tcW w:w="1620" w:type="dxa"/>
            <w:gridSpan w:val="3"/>
            <w:noWrap w:val="0"/>
            <w:vAlign w:val="center"/>
          </w:tcPr>
          <w:p w14:paraId="4D3B570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分析人</w:t>
            </w:r>
          </w:p>
        </w:tc>
        <w:tc>
          <w:tcPr>
            <w:tcW w:w="2700" w:type="dxa"/>
            <w:gridSpan w:val="3"/>
            <w:noWrap w:val="0"/>
            <w:vAlign w:val="center"/>
          </w:tcPr>
          <w:p w14:paraId="5FA68D2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付春霞、 张连芹、臧维</w:t>
            </w:r>
          </w:p>
        </w:tc>
      </w:tr>
      <w:tr w14:paraId="0075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820" w:type="dxa"/>
            <w:gridSpan w:val="10"/>
            <w:noWrap w:val="0"/>
            <w:vAlign w:val="center"/>
          </w:tcPr>
          <w:p w14:paraId="07A120C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物  理  分  析</w:t>
            </w:r>
          </w:p>
        </w:tc>
      </w:tr>
      <w:tr w14:paraId="317F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6B4BB56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色 度</w:t>
            </w:r>
          </w:p>
        </w:tc>
        <w:tc>
          <w:tcPr>
            <w:tcW w:w="1440" w:type="dxa"/>
            <w:noWrap w:val="0"/>
            <w:vAlign w:val="center"/>
          </w:tcPr>
          <w:p w14:paraId="1F076544">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无</w:t>
            </w:r>
          </w:p>
        </w:tc>
        <w:tc>
          <w:tcPr>
            <w:tcW w:w="1440" w:type="dxa"/>
            <w:gridSpan w:val="2"/>
            <w:noWrap w:val="0"/>
            <w:vAlign w:val="center"/>
          </w:tcPr>
          <w:p w14:paraId="2B013828">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沉 淀</w:t>
            </w:r>
          </w:p>
        </w:tc>
        <w:tc>
          <w:tcPr>
            <w:tcW w:w="1440" w:type="dxa"/>
            <w:gridSpan w:val="2"/>
            <w:noWrap w:val="0"/>
            <w:vAlign w:val="center"/>
          </w:tcPr>
          <w:p w14:paraId="50E5500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无</w:t>
            </w:r>
          </w:p>
        </w:tc>
        <w:tc>
          <w:tcPr>
            <w:tcW w:w="1380" w:type="dxa"/>
            <w:gridSpan w:val="2"/>
            <w:noWrap w:val="0"/>
            <w:vAlign w:val="center"/>
          </w:tcPr>
          <w:p w14:paraId="717252B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味</w:t>
            </w:r>
          </w:p>
        </w:tc>
        <w:tc>
          <w:tcPr>
            <w:tcW w:w="1500" w:type="dxa"/>
            <w:gridSpan w:val="2"/>
            <w:noWrap w:val="0"/>
            <w:vAlign w:val="center"/>
          </w:tcPr>
          <w:p w14:paraId="26C20BD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w:t>
            </w:r>
          </w:p>
        </w:tc>
      </w:tr>
      <w:tr w14:paraId="3EA4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5F07314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嗅</w:t>
            </w:r>
          </w:p>
        </w:tc>
        <w:tc>
          <w:tcPr>
            <w:tcW w:w="1440" w:type="dxa"/>
            <w:noWrap w:val="0"/>
            <w:vAlign w:val="center"/>
          </w:tcPr>
          <w:p w14:paraId="4127DB7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无</w:t>
            </w:r>
          </w:p>
        </w:tc>
        <w:tc>
          <w:tcPr>
            <w:tcW w:w="1440" w:type="dxa"/>
            <w:gridSpan w:val="2"/>
            <w:noWrap w:val="0"/>
            <w:vAlign w:val="center"/>
          </w:tcPr>
          <w:p w14:paraId="22D91623">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透明度</w:t>
            </w:r>
          </w:p>
        </w:tc>
        <w:tc>
          <w:tcPr>
            <w:tcW w:w="1440" w:type="dxa"/>
            <w:gridSpan w:val="2"/>
            <w:noWrap w:val="0"/>
            <w:vAlign w:val="center"/>
          </w:tcPr>
          <w:p w14:paraId="2A193CA2">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透明</w:t>
            </w:r>
          </w:p>
        </w:tc>
        <w:tc>
          <w:tcPr>
            <w:tcW w:w="1380" w:type="dxa"/>
            <w:gridSpan w:val="2"/>
            <w:noWrap w:val="0"/>
            <w:vAlign w:val="center"/>
          </w:tcPr>
          <w:p w14:paraId="14E16292">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浑浊度</w:t>
            </w:r>
          </w:p>
        </w:tc>
        <w:tc>
          <w:tcPr>
            <w:tcW w:w="1500" w:type="dxa"/>
            <w:gridSpan w:val="2"/>
            <w:noWrap w:val="0"/>
            <w:vAlign w:val="center"/>
          </w:tcPr>
          <w:p w14:paraId="71C36F7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r>
      <w:tr w14:paraId="68F0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820" w:type="dxa"/>
            <w:gridSpan w:val="10"/>
            <w:noWrap w:val="0"/>
            <w:vAlign w:val="center"/>
          </w:tcPr>
          <w:p w14:paraId="7712544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化  学  分  析</w:t>
            </w:r>
          </w:p>
        </w:tc>
      </w:tr>
      <w:tr w14:paraId="0518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45453F73">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项 目</w:t>
            </w:r>
          </w:p>
        </w:tc>
        <w:tc>
          <w:tcPr>
            <w:tcW w:w="1455" w:type="dxa"/>
            <w:gridSpan w:val="2"/>
            <w:noWrap w:val="0"/>
            <w:vAlign w:val="center"/>
          </w:tcPr>
          <w:p w14:paraId="36EA8ED8">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分析结果</w:t>
            </w:r>
          </w:p>
        </w:tc>
        <w:tc>
          <w:tcPr>
            <w:tcW w:w="1425" w:type="dxa"/>
            <w:noWrap w:val="0"/>
            <w:vAlign w:val="center"/>
          </w:tcPr>
          <w:p w14:paraId="2C9F03A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单 位</w:t>
            </w:r>
          </w:p>
        </w:tc>
        <w:tc>
          <w:tcPr>
            <w:tcW w:w="1440" w:type="dxa"/>
            <w:gridSpan w:val="2"/>
            <w:noWrap w:val="0"/>
            <w:vAlign w:val="center"/>
          </w:tcPr>
          <w:p w14:paraId="01DF80DF">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项 目</w:t>
            </w:r>
          </w:p>
        </w:tc>
        <w:tc>
          <w:tcPr>
            <w:tcW w:w="1500" w:type="dxa"/>
            <w:gridSpan w:val="3"/>
            <w:noWrap w:val="0"/>
            <w:vAlign w:val="center"/>
          </w:tcPr>
          <w:p w14:paraId="4D7403B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分析结果</w:t>
            </w:r>
          </w:p>
        </w:tc>
        <w:tc>
          <w:tcPr>
            <w:tcW w:w="1380" w:type="dxa"/>
            <w:noWrap w:val="0"/>
            <w:vAlign w:val="center"/>
          </w:tcPr>
          <w:p w14:paraId="4813330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单 位</w:t>
            </w:r>
          </w:p>
        </w:tc>
      </w:tr>
      <w:tr w14:paraId="644D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0" w:type="dxa"/>
            <w:noWrap w:val="0"/>
            <w:vAlign w:val="center"/>
          </w:tcPr>
          <w:p w14:paraId="007A397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全固形物</w:t>
            </w:r>
          </w:p>
        </w:tc>
        <w:tc>
          <w:tcPr>
            <w:tcW w:w="1455" w:type="dxa"/>
            <w:gridSpan w:val="2"/>
            <w:noWrap w:val="0"/>
            <w:vAlign w:val="center"/>
          </w:tcPr>
          <w:p w14:paraId="164EE19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542.60</w:t>
            </w:r>
          </w:p>
        </w:tc>
        <w:tc>
          <w:tcPr>
            <w:tcW w:w="1425" w:type="dxa"/>
            <w:noWrap w:val="0"/>
            <w:vAlign w:val="center"/>
          </w:tcPr>
          <w:p w14:paraId="737553B2">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540" w:type="dxa"/>
            <w:vMerge w:val="restart"/>
            <w:noWrap w:val="0"/>
            <w:vAlign w:val="center"/>
          </w:tcPr>
          <w:p w14:paraId="123806E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碱度</w:t>
            </w:r>
          </w:p>
        </w:tc>
        <w:tc>
          <w:tcPr>
            <w:tcW w:w="900" w:type="dxa"/>
            <w:noWrap w:val="0"/>
            <w:vAlign w:val="center"/>
          </w:tcPr>
          <w:p w14:paraId="5FD34E2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P</w:t>
            </w:r>
          </w:p>
        </w:tc>
        <w:tc>
          <w:tcPr>
            <w:tcW w:w="1500" w:type="dxa"/>
            <w:gridSpan w:val="3"/>
            <w:noWrap w:val="0"/>
            <w:vAlign w:val="center"/>
          </w:tcPr>
          <w:p w14:paraId="32E42F18">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0</w:t>
            </w:r>
          </w:p>
        </w:tc>
        <w:tc>
          <w:tcPr>
            <w:tcW w:w="1380" w:type="dxa"/>
            <w:noWrap w:val="0"/>
            <w:vAlign w:val="center"/>
          </w:tcPr>
          <w:p w14:paraId="5BC7E722">
            <w:pPr>
              <w:keepNext w:val="0"/>
              <w:keepLines w:val="0"/>
              <w:suppressLineNumbers w:val="0"/>
              <w:spacing w:before="0" w:beforeAutospacing="0" w:after="0" w:afterAutospacing="0" w:line="440" w:lineRule="exact"/>
              <w:ind w:left="0" w:right="0"/>
              <w:jc w:val="center"/>
              <w:rPr>
                <w:sz w:val="21"/>
                <w:szCs w:val="21"/>
              </w:rPr>
            </w:pPr>
            <w:r>
              <w:rPr>
                <w:sz w:val="21"/>
                <w:szCs w:val="21"/>
              </w:rPr>
              <w:t>mmol/L</w:t>
            </w:r>
          </w:p>
        </w:tc>
      </w:tr>
      <w:tr w14:paraId="1A01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620" w:type="dxa"/>
            <w:noWrap w:val="0"/>
            <w:vAlign w:val="center"/>
          </w:tcPr>
          <w:p w14:paraId="381C416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溶解固形物</w:t>
            </w:r>
          </w:p>
        </w:tc>
        <w:tc>
          <w:tcPr>
            <w:tcW w:w="1455" w:type="dxa"/>
            <w:gridSpan w:val="2"/>
            <w:noWrap w:val="0"/>
            <w:vAlign w:val="center"/>
          </w:tcPr>
          <w:p w14:paraId="656B10B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538.70</w:t>
            </w:r>
          </w:p>
        </w:tc>
        <w:tc>
          <w:tcPr>
            <w:tcW w:w="1425" w:type="dxa"/>
            <w:noWrap w:val="0"/>
            <w:vAlign w:val="center"/>
          </w:tcPr>
          <w:p w14:paraId="347AF6E8">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540" w:type="dxa"/>
            <w:vMerge w:val="continue"/>
            <w:noWrap w:val="0"/>
            <w:vAlign w:val="center"/>
          </w:tcPr>
          <w:p w14:paraId="5361AAC8">
            <w:pPr>
              <w:keepNext w:val="0"/>
              <w:keepLines w:val="0"/>
              <w:suppressLineNumbers w:val="0"/>
              <w:spacing w:before="0" w:beforeAutospacing="0" w:after="0" w:afterAutospacing="0" w:line="440" w:lineRule="exact"/>
              <w:ind w:left="0" w:right="0"/>
              <w:jc w:val="center"/>
              <w:rPr>
                <w:sz w:val="21"/>
                <w:szCs w:val="21"/>
              </w:rPr>
            </w:pPr>
          </w:p>
        </w:tc>
        <w:tc>
          <w:tcPr>
            <w:tcW w:w="900" w:type="dxa"/>
            <w:noWrap w:val="0"/>
            <w:vAlign w:val="center"/>
          </w:tcPr>
          <w:p w14:paraId="6B0EA88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M</w:t>
            </w:r>
          </w:p>
        </w:tc>
        <w:tc>
          <w:tcPr>
            <w:tcW w:w="1500" w:type="dxa"/>
            <w:gridSpan w:val="3"/>
            <w:noWrap w:val="0"/>
            <w:vAlign w:val="center"/>
          </w:tcPr>
          <w:p w14:paraId="595F52D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4.65</w:t>
            </w:r>
          </w:p>
        </w:tc>
        <w:tc>
          <w:tcPr>
            <w:tcW w:w="1380" w:type="dxa"/>
            <w:noWrap w:val="0"/>
            <w:vAlign w:val="center"/>
          </w:tcPr>
          <w:p w14:paraId="22434991">
            <w:pPr>
              <w:keepNext w:val="0"/>
              <w:keepLines w:val="0"/>
              <w:suppressLineNumbers w:val="0"/>
              <w:spacing w:before="0" w:beforeAutospacing="0" w:after="0" w:afterAutospacing="0" w:line="440" w:lineRule="exact"/>
              <w:ind w:left="0" w:right="0"/>
              <w:jc w:val="center"/>
              <w:rPr>
                <w:sz w:val="21"/>
                <w:szCs w:val="21"/>
              </w:rPr>
            </w:pPr>
            <w:r>
              <w:rPr>
                <w:sz w:val="21"/>
                <w:szCs w:val="21"/>
              </w:rPr>
              <w:t>mmol/L</w:t>
            </w:r>
          </w:p>
        </w:tc>
      </w:tr>
      <w:tr w14:paraId="38E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0" w:type="dxa"/>
            <w:noWrap w:val="0"/>
            <w:vAlign w:val="center"/>
          </w:tcPr>
          <w:p w14:paraId="6E6053D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悬 浮 物</w:t>
            </w:r>
          </w:p>
        </w:tc>
        <w:tc>
          <w:tcPr>
            <w:tcW w:w="1455" w:type="dxa"/>
            <w:gridSpan w:val="2"/>
            <w:noWrap w:val="0"/>
            <w:vAlign w:val="center"/>
          </w:tcPr>
          <w:p w14:paraId="7FF603A4">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3.90</w:t>
            </w:r>
          </w:p>
        </w:tc>
        <w:tc>
          <w:tcPr>
            <w:tcW w:w="1425" w:type="dxa"/>
            <w:noWrap w:val="0"/>
            <w:vAlign w:val="center"/>
          </w:tcPr>
          <w:p w14:paraId="14548797">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540" w:type="dxa"/>
            <w:vMerge w:val="restart"/>
            <w:noWrap w:val="0"/>
            <w:vAlign w:val="center"/>
          </w:tcPr>
          <w:p w14:paraId="274CB55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硬</w:t>
            </w:r>
          </w:p>
          <w:p w14:paraId="16810A9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度</w:t>
            </w:r>
          </w:p>
        </w:tc>
        <w:tc>
          <w:tcPr>
            <w:tcW w:w="900" w:type="dxa"/>
            <w:noWrap w:val="0"/>
            <w:vAlign w:val="center"/>
          </w:tcPr>
          <w:p w14:paraId="3D3092B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全硬</w:t>
            </w:r>
          </w:p>
        </w:tc>
        <w:tc>
          <w:tcPr>
            <w:tcW w:w="1500" w:type="dxa"/>
            <w:gridSpan w:val="3"/>
            <w:noWrap w:val="0"/>
            <w:vAlign w:val="center"/>
          </w:tcPr>
          <w:p w14:paraId="5CA70093">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7.80</w:t>
            </w:r>
          </w:p>
        </w:tc>
        <w:tc>
          <w:tcPr>
            <w:tcW w:w="1380" w:type="dxa"/>
            <w:noWrap w:val="0"/>
            <w:vAlign w:val="center"/>
          </w:tcPr>
          <w:p w14:paraId="461AEE7F">
            <w:pPr>
              <w:keepNext w:val="0"/>
              <w:keepLines w:val="0"/>
              <w:suppressLineNumbers w:val="0"/>
              <w:spacing w:before="0" w:beforeAutospacing="0" w:after="0" w:afterAutospacing="0" w:line="440" w:lineRule="exact"/>
              <w:ind w:left="0" w:right="0"/>
              <w:jc w:val="center"/>
              <w:rPr>
                <w:sz w:val="21"/>
                <w:szCs w:val="21"/>
              </w:rPr>
            </w:pPr>
            <w:r>
              <w:rPr>
                <w:sz w:val="21"/>
                <w:szCs w:val="21"/>
              </w:rPr>
              <w:t>mmol/L</w:t>
            </w:r>
          </w:p>
        </w:tc>
      </w:tr>
      <w:tr w14:paraId="46EC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0" w:type="dxa"/>
            <w:noWrap w:val="0"/>
            <w:vAlign w:val="center"/>
          </w:tcPr>
          <w:p w14:paraId="3465E7F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二氧化硅</w:t>
            </w:r>
          </w:p>
        </w:tc>
        <w:tc>
          <w:tcPr>
            <w:tcW w:w="1455" w:type="dxa"/>
            <w:gridSpan w:val="2"/>
            <w:noWrap w:val="0"/>
            <w:vAlign w:val="center"/>
          </w:tcPr>
          <w:p w14:paraId="0D632D0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16.05</w:t>
            </w:r>
          </w:p>
        </w:tc>
        <w:tc>
          <w:tcPr>
            <w:tcW w:w="1425" w:type="dxa"/>
            <w:noWrap w:val="0"/>
            <w:vAlign w:val="center"/>
          </w:tcPr>
          <w:p w14:paraId="37044DF4">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540" w:type="dxa"/>
            <w:vMerge w:val="continue"/>
            <w:noWrap w:val="0"/>
            <w:vAlign w:val="center"/>
          </w:tcPr>
          <w:p w14:paraId="3574CB74">
            <w:pPr>
              <w:keepNext w:val="0"/>
              <w:keepLines w:val="0"/>
              <w:suppressLineNumbers w:val="0"/>
              <w:spacing w:before="0" w:beforeAutospacing="0" w:after="0" w:afterAutospacing="0" w:line="440" w:lineRule="exact"/>
              <w:ind w:left="0" w:right="0"/>
              <w:jc w:val="center"/>
              <w:rPr>
                <w:sz w:val="21"/>
                <w:szCs w:val="21"/>
              </w:rPr>
            </w:pPr>
          </w:p>
        </w:tc>
        <w:tc>
          <w:tcPr>
            <w:tcW w:w="900" w:type="dxa"/>
            <w:noWrap w:val="0"/>
            <w:vAlign w:val="center"/>
          </w:tcPr>
          <w:p w14:paraId="73AA2274">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暂硬</w:t>
            </w:r>
          </w:p>
        </w:tc>
        <w:tc>
          <w:tcPr>
            <w:tcW w:w="1500" w:type="dxa"/>
            <w:gridSpan w:val="3"/>
            <w:noWrap w:val="0"/>
            <w:vAlign w:val="center"/>
          </w:tcPr>
          <w:p w14:paraId="5341ABA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4.65</w:t>
            </w:r>
          </w:p>
        </w:tc>
        <w:tc>
          <w:tcPr>
            <w:tcW w:w="1380" w:type="dxa"/>
            <w:noWrap w:val="0"/>
            <w:vAlign w:val="center"/>
          </w:tcPr>
          <w:p w14:paraId="69E78AEF">
            <w:pPr>
              <w:keepNext w:val="0"/>
              <w:keepLines w:val="0"/>
              <w:suppressLineNumbers w:val="0"/>
              <w:spacing w:before="0" w:beforeAutospacing="0" w:after="0" w:afterAutospacing="0" w:line="440" w:lineRule="exact"/>
              <w:ind w:left="0" w:right="0"/>
              <w:jc w:val="center"/>
              <w:rPr>
                <w:sz w:val="21"/>
                <w:szCs w:val="21"/>
              </w:rPr>
            </w:pPr>
            <w:r>
              <w:rPr>
                <w:sz w:val="21"/>
                <w:szCs w:val="21"/>
              </w:rPr>
              <w:t>mmol/L</w:t>
            </w:r>
          </w:p>
        </w:tc>
      </w:tr>
      <w:tr w14:paraId="3F0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0" w:type="dxa"/>
            <w:noWrap w:val="0"/>
            <w:vAlign w:val="center"/>
          </w:tcPr>
          <w:p w14:paraId="51614DF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钙 离 子</w:t>
            </w:r>
          </w:p>
        </w:tc>
        <w:tc>
          <w:tcPr>
            <w:tcW w:w="1455" w:type="dxa"/>
            <w:gridSpan w:val="2"/>
            <w:noWrap w:val="0"/>
            <w:vAlign w:val="center"/>
          </w:tcPr>
          <w:p w14:paraId="70D8248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112.22</w:t>
            </w:r>
          </w:p>
        </w:tc>
        <w:tc>
          <w:tcPr>
            <w:tcW w:w="1425" w:type="dxa"/>
            <w:noWrap w:val="0"/>
            <w:vAlign w:val="center"/>
          </w:tcPr>
          <w:p w14:paraId="1172D2FA">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540" w:type="dxa"/>
            <w:vMerge w:val="continue"/>
            <w:noWrap w:val="0"/>
            <w:vAlign w:val="center"/>
          </w:tcPr>
          <w:p w14:paraId="0C33F93B">
            <w:pPr>
              <w:keepNext w:val="0"/>
              <w:keepLines w:val="0"/>
              <w:suppressLineNumbers w:val="0"/>
              <w:spacing w:before="0" w:beforeAutospacing="0" w:after="0" w:afterAutospacing="0" w:line="440" w:lineRule="exact"/>
              <w:ind w:left="0" w:right="0"/>
              <w:jc w:val="center"/>
              <w:rPr>
                <w:sz w:val="21"/>
                <w:szCs w:val="21"/>
              </w:rPr>
            </w:pPr>
          </w:p>
        </w:tc>
        <w:tc>
          <w:tcPr>
            <w:tcW w:w="900" w:type="dxa"/>
            <w:noWrap w:val="0"/>
            <w:vAlign w:val="center"/>
          </w:tcPr>
          <w:p w14:paraId="631F53A3">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永硬</w:t>
            </w:r>
          </w:p>
        </w:tc>
        <w:tc>
          <w:tcPr>
            <w:tcW w:w="1500" w:type="dxa"/>
            <w:gridSpan w:val="3"/>
            <w:noWrap w:val="0"/>
            <w:vAlign w:val="center"/>
          </w:tcPr>
          <w:p w14:paraId="2D51D92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3.15</w:t>
            </w:r>
          </w:p>
        </w:tc>
        <w:tc>
          <w:tcPr>
            <w:tcW w:w="1380" w:type="dxa"/>
            <w:noWrap w:val="0"/>
            <w:vAlign w:val="center"/>
          </w:tcPr>
          <w:p w14:paraId="19836255">
            <w:pPr>
              <w:keepNext w:val="0"/>
              <w:keepLines w:val="0"/>
              <w:suppressLineNumbers w:val="0"/>
              <w:spacing w:before="0" w:beforeAutospacing="0" w:after="0" w:afterAutospacing="0" w:line="440" w:lineRule="exact"/>
              <w:ind w:left="0" w:right="0"/>
              <w:jc w:val="center"/>
              <w:rPr>
                <w:sz w:val="21"/>
                <w:szCs w:val="21"/>
              </w:rPr>
            </w:pPr>
            <w:r>
              <w:rPr>
                <w:sz w:val="21"/>
                <w:szCs w:val="21"/>
              </w:rPr>
              <w:t>mmol/L</w:t>
            </w:r>
          </w:p>
        </w:tc>
      </w:tr>
      <w:tr w14:paraId="659D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50254CA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镁 离 子</w:t>
            </w:r>
          </w:p>
        </w:tc>
        <w:tc>
          <w:tcPr>
            <w:tcW w:w="1455" w:type="dxa"/>
            <w:gridSpan w:val="2"/>
            <w:noWrap w:val="0"/>
            <w:vAlign w:val="center"/>
          </w:tcPr>
          <w:p w14:paraId="10B4EAF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26.73</w:t>
            </w:r>
          </w:p>
        </w:tc>
        <w:tc>
          <w:tcPr>
            <w:tcW w:w="1425" w:type="dxa"/>
            <w:noWrap w:val="0"/>
            <w:vAlign w:val="center"/>
          </w:tcPr>
          <w:p w14:paraId="6E22410F">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3370526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游离CO</w:t>
            </w:r>
            <w:r>
              <w:rPr>
                <w:rFonts w:hint="eastAsia"/>
                <w:sz w:val="21"/>
                <w:szCs w:val="21"/>
                <w:vertAlign w:val="subscript"/>
              </w:rPr>
              <w:t>2</w:t>
            </w:r>
          </w:p>
        </w:tc>
        <w:tc>
          <w:tcPr>
            <w:tcW w:w="1500" w:type="dxa"/>
            <w:gridSpan w:val="3"/>
            <w:noWrap w:val="0"/>
            <w:vAlign w:val="center"/>
          </w:tcPr>
          <w:p w14:paraId="2598BC32">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22.00</w:t>
            </w:r>
          </w:p>
        </w:tc>
        <w:tc>
          <w:tcPr>
            <w:tcW w:w="1380" w:type="dxa"/>
            <w:noWrap w:val="0"/>
            <w:vAlign w:val="center"/>
          </w:tcPr>
          <w:p w14:paraId="32C32392">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4521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7C27611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氯    根</w:t>
            </w:r>
          </w:p>
        </w:tc>
        <w:tc>
          <w:tcPr>
            <w:tcW w:w="1455" w:type="dxa"/>
            <w:gridSpan w:val="2"/>
            <w:noWrap w:val="0"/>
            <w:vAlign w:val="center"/>
          </w:tcPr>
          <w:p w14:paraId="7AEE3A3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39.00</w:t>
            </w:r>
          </w:p>
        </w:tc>
        <w:tc>
          <w:tcPr>
            <w:tcW w:w="1425" w:type="dxa"/>
            <w:noWrap w:val="0"/>
            <w:vAlign w:val="center"/>
          </w:tcPr>
          <w:p w14:paraId="39051D8C">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322FAD4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电导率</w:t>
            </w:r>
          </w:p>
        </w:tc>
        <w:tc>
          <w:tcPr>
            <w:tcW w:w="1500" w:type="dxa"/>
            <w:gridSpan w:val="3"/>
            <w:noWrap w:val="0"/>
            <w:vAlign w:val="center"/>
          </w:tcPr>
          <w:p w14:paraId="35AB9C4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864</w:t>
            </w:r>
          </w:p>
        </w:tc>
        <w:tc>
          <w:tcPr>
            <w:tcW w:w="1380" w:type="dxa"/>
            <w:noWrap w:val="0"/>
            <w:vAlign w:val="center"/>
          </w:tcPr>
          <w:p w14:paraId="628C250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μS</w:t>
            </w:r>
            <w:r>
              <w:rPr>
                <w:sz w:val="21"/>
                <w:szCs w:val="21"/>
              </w:rPr>
              <w:t xml:space="preserve"> /cm</w:t>
            </w:r>
          </w:p>
        </w:tc>
      </w:tr>
      <w:tr w14:paraId="2313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3C7C45B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硫 酸 根</w:t>
            </w:r>
          </w:p>
        </w:tc>
        <w:tc>
          <w:tcPr>
            <w:tcW w:w="1455" w:type="dxa"/>
            <w:gridSpan w:val="2"/>
            <w:noWrap w:val="0"/>
            <w:vAlign w:val="center"/>
          </w:tcPr>
          <w:p w14:paraId="21A77AA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136.53</w:t>
            </w:r>
          </w:p>
        </w:tc>
        <w:tc>
          <w:tcPr>
            <w:tcW w:w="1425" w:type="dxa"/>
            <w:noWrap w:val="0"/>
            <w:vAlign w:val="center"/>
          </w:tcPr>
          <w:p w14:paraId="6A1F610B">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5B3D38F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TOC</w:t>
            </w:r>
          </w:p>
        </w:tc>
        <w:tc>
          <w:tcPr>
            <w:tcW w:w="1500" w:type="dxa"/>
            <w:gridSpan w:val="3"/>
            <w:noWrap w:val="0"/>
            <w:vAlign w:val="center"/>
          </w:tcPr>
          <w:p w14:paraId="2CF2A53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0.11</w:t>
            </w:r>
          </w:p>
        </w:tc>
        <w:tc>
          <w:tcPr>
            <w:tcW w:w="1380" w:type="dxa"/>
            <w:noWrap w:val="0"/>
            <w:vAlign w:val="center"/>
          </w:tcPr>
          <w:p w14:paraId="683145BD">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1366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35B5FB0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氢 氧 根</w:t>
            </w:r>
          </w:p>
        </w:tc>
        <w:tc>
          <w:tcPr>
            <w:tcW w:w="1455" w:type="dxa"/>
            <w:gridSpan w:val="2"/>
            <w:noWrap w:val="0"/>
            <w:vAlign w:val="center"/>
          </w:tcPr>
          <w:p w14:paraId="1904CAE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0</w:t>
            </w:r>
          </w:p>
        </w:tc>
        <w:tc>
          <w:tcPr>
            <w:tcW w:w="1425" w:type="dxa"/>
            <w:noWrap w:val="0"/>
            <w:vAlign w:val="center"/>
          </w:tcPr>
          <w:p w14:paraId="14CDCDF2">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3A2F191D">
            <w:pPr>
              <w:keepNext w:val="0"/>
              <w:keepLines w:val="0"/>
              <w:suppressLineNumbers w:val="0"/>
              <w:spacing w:before="0" w:beforeAutospacing="0" w:after="0" w:afterAutospacing="0" w:line="440" w:lineRule="exact"/>
              <w:ind w:left="0" w:right="0"/>
              <w:jc w:val="center"/>
              <w:rPr>
                <w:sz w:val="21"/>
                <w:szCs w:val="21"/>
              </w:rPr>
            </w:pPr>
            <w:r>
              <w:rPr>
                <w:sz w:val="21"/>
                <w:szCs w:val="21"/>
              </w:rPr>
              <w:t>pH</w:t>
            </w:r>
          </w:p>
        </w:tc>
        <w:tc>
          <w:tcPr>
            <w:tcW w:w="1500" w:type="dxa"/>
            <w:gridSpan w:val="3"/>
            <w:noWrap w:val="0"/>
            <w:vAlign w:val="center"/>
          </w:tcPr>
          <w:p w14:paraId="49078EE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7.52</w:t>
            </w:r>
          </w:p>
        </w:tc>
        <w:tc>
          <w:tcPr>
            <w:tcW w:w="1380" w:type="dxa"/>
            <w:noWrap w:val="0"/>
            <w:vAlign w:val="center"/>
          </w:tcPr>
          <w:p w14:paraId="67D9E74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r>
      <w:tr w14:paraId="3B7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087C3C26">
            <w:pPr>
              <w:keepNext w:val="0"/>
              <w:keepLines w:val="0"/>
              <w:suppressLineNumbers w:val="0"/>
              <w:spacing w:before="0" w:beforeAutospacing="0" w:after="0" w:afterAutospacing="0" w:line="440" w:lineRule="exact"/>
              <w:ind w:left="0" w:right="0"/>
              <w:jc w:val="center"/>
              <w:rPr>
                <w:sz w:val="21"/>
                <w:szCs w:val="21"/>
              </w:rPr>
            </w:pPr>
            <w:r>
              <w:rPr>
                <w:sz w:val="21"/>
                <w:szCs w:val="21"/>
              </w:rPr>
              <w:t xml:space="preserve"> </w:t>
            </w:r>
            <w:r>
              <w:rPr>
                <w:rFonts w:hint="eastAsia"/>
                <w:sz w:val="21"/>
                <w:szCs w:val="21"/>
              </w:rPr>
              <w:t>碳 酸 根</w:t>
            </w:r>
          </w:p>
        </w:tc>
        <w:tc>
          <w:tcPr>
            <w:tcW w:w="1455" w:type="dxa"/>
            <w:gridSpan w:val="2"/>
            <w:noWrap w:val="0"/>
            <w:vAlign w:val="center"/>
          </w:tcPr>
          <w:p w14:paraId="6135B3E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0</w:t>
            </w:r>
          </w:p>
        </w:tc>
        <w:tc>
          <w:tcPr>
            <w:tcW w:w="1425" w:type="dxa"/>
            <w:noWrap w:val="0"/>
            <w:vAlign w:val="center"/>
          </w:tcPr>
          <w:p w14:paraId="2C04F609">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2F93655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活性</w:t>
            </w:r>
            <w:r>
              <w:rPr>
                <w:sz w:val="21"/>
                <w:szCs w:val="21"/>
              </w:rPr>
              <w:t>SiO</w:t>
            </w:r>
            <w:r>
              <w:rPr>
                <w:sz w:val="21"/>
                <w:szCs w:val="21"/>
                <w:vertAlign w:val="subscript"/>
              </w:rPr>
              <w:t>2</w:t>
            </w:r>
          </w:p>
        </w:tc>
        <w:tc>
          <w:tcPr>
            <w:tcW w:w="1500" w:type="dxa"/>
            <w:gridSpan w:val="3"/>
            <w:noWrap w:val="0"/>
            <w:vAlign w:val="center"/>
          </w:tcPr>
          <w:p w14:paraId="3FE0024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15.69</w:t>
            </w:r>
          </w:p>
        </w:tc>
        <w:tc>
          <w:tcPr>
            <w:tcW w:w="1380" w:type="dxa"/>
            <w:noWrap w:val="0"/>
            <w:vAlign w:val="center"/>
          </w:tcPr>
          <w:p w14:paraId="67A5CC5F">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6C0E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3C25997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重碳酸根</w:t>
            </w:r>
          </w:p>
        </w:tc>
        <w:tc>
          <w:tcPr>
            <w:tcW w:w="1455" w:type="dxa"/>
            <w:gridSpan w:val="2"/>
            <w:noWrap w:val="0"/>
            <w:vAlign w:val="center"/>
          </w:tcPr>
          <w:p w14:paraId="6639CF7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283.65</w:t>
            </w:r>
          </w:p>
        </w:tc>
        <w:tc>
          <w:tcPr>
            <w:tcW w:w="1425" w:type="dxa"/>
            <w:noWrap w:val="0"/>
            <w:vAlign w:val="center"/>
          </w:tcPr>
          <w:p w14:paraId="22287BA6">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2D8FB52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铝</w:t>
            </w:r>
          </w:p>
        </w:tc>
        <w:tc>
          <w:tcPr>
            <w:tcW w:w="1500" w:type="dxa"/>
            <w:gridSpan w:val="3"/>
            <w:noWrap w:val="0"/>
            <w:vAlign w:val="center"/>
          </w:tcPr>
          <w:p w14:paraId="6272FF6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42CE0D6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μ</w:t>
            </w:r>
            <w:r>
              <w:rPr>
                <w:sz w:val="21"/>
                <w:szCs w:val="21"/>
              </w:rPr>
              <w:t>g/L</w:t>
            </w:r>
          </w:p>
        </w:tc>
      </w:tr>
      <w:tr w14:paraId="3EA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7BB3EBB4">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硝 酸 根</w:t>
            </w:r>
          </w:p>
        </w:tc>
        <w:tc>
          <w:tcPr>
            <w:tcW w:w="1455" w:type="dxa"/>
            <w:gridSpan w:val="2"/>
            <w:noWrap w:val="0"/>
            <w:vAlign w:val="center"/>
          </w:tcPr>
          <w:p w14:paraId="208A7B2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12.21</w:t>
            </w:r>
          </w:p>
        </w:tc>
        <w:tc>
          <w:tcPr>
            <w:tcW w:w="1425" w:type="dxa"/>
            <w:noWrap w:val="0"/>
            <w:vAlign w:val="center"/>
          </w:tcPr>
          <w:p w14:paraId="30C89217">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293D38CD">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氨离子</w:t>
            </w:r>
          </w:p>
        </w:tc>
        <w:tc>
          <w:tcPr>
            <w:tcW w:w="1500" w:type="dxa"/>
            <w:gridSpan w:val="3"/>
            <w:noWrap w:val="0"/>
            <w:vAlign w:val="center"/>
          </w:tcPr>
          <w:p w14:paraId="71E19B3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0</w:t>
            </w:r>
          </w:p>
        </w:tc>
        <w:tc>
          <w:tcPr>
            <w:tcW w:w="1380" w:type="dxa"/>
            <w:noWrap w:val="0"/>
            <w:vAlign w:val="center"/>
          </w:tcPr>
          <w:p w14:paraId="1A0C0901">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2E7E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6B24050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磷 酸 根</w:t>
            </w:r>
          </w:p>
        </w:tc>
        <w:tc>
          <w:tcPr>
            <w:tcW w:w="1455" w:type="dxa"/>
            <w:gridSpan w:val="2"/>
            <w:noWrap w:val="0"/>
            <w:vAlign w:val="center"/>
          </w:tcPr>
          <w:p w14:paraId="71E598D7">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1.43</w:t>
            </w:r>
          </w:p>
        </w:tc>
        <w:tc>
          <w:tcPr>
            <w:tcW w:w="1425" w:type="dxa"/>
            <w:noWrap w:val="0"/>
            <w:vAlign w:val="center"/>
          </w:tcPr>
          <w:p w14:paraId="4C5EB26F">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6C888B1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亚硫酸根</w:t>
            </w:r>
          </w:p>
        </w:tc>
        <w:tc>
          <w:tcPr>
            <w:tcW w:w="1500" w:type="dxa"/>
            <w:gridSpan w:val="3"/>
            <w:noWrap w:val="0"/>
            <w:vAlign w:val="center"/>
          </w:tcPr>
          <w:p w14:paraId="54322F92">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07222666">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40F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42C3436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钠 离 子</w:t>
            </w:r>
          </w:p>
        </w:tc>
        <w:tc>
          <w:tcPr>
            <w:tcW w:w="1455" w:type="dxa"/>
            <w:gridSpan w:val="2"/>
            <w:noWrap w:val="0"/>
            <w:vAlign w:val="center"/>
          </w:tcPr>
          <w:p w14:paraId="4B1D7306">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17.32</w:t>
            </w:r>
          </w:p>
        </w:tc>
        <w:tc>
          <w:tcPr>
            <w:tcW w:w="1425" w:type="dxa"/>
            <w:noWrap w:val="0"/>
            <w:vAlign w:val="center"/>
          </w:tcPr>
          <w:p w14:paraId="067C23A2">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74AB2E6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亚硝酸根</w:t>
            </w:r>
          </w:p>
        </w:tc>
        <w:tc>
          <w:tcPr>
            <w:tcW w:w="1500" w:type="dxa"/>
            <w:gridSpan w:val="3"/>
            <w:noWrap w:val="0"/>
            <w:vAlign w:val="center"/>
          </w:tcPr>
          <w:p w14:paraId="5AC8E19F">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24F9C2BF">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11CF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2739BB3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铜</w:t>
            </w:r>
          </w:p>
        </w:tc>
        <w:tc>
          <w:tcPr>
            <w:tcW w:w="1455" w:type="dxa"/>
            <w:gridSpan w:val="2"/>
            <w:noWrap w:val="0"/>
            <w:vAlign w:val="center"/>
          </w:tcPr>
          <w:p w14:paraId="3B5FE3C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9.21</w:t>
            </w:r>
          </w:p>
        </w:tc>
        <w:tc>
          <w:tcPr>
            <w:tcW w:w="1425" w:type="dxa"/>
            <w:noWrap w:val="0"/>
            <w:vAlign w:val="center"/>
          </w:tcPr>
          <w:p w14:paraId="57B9EC6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μ</w:t>
            </w:r>
            <w:r>
              <w:rPr>
                <w:sz w:val="21"/>
                <w:szCs w:val="21"/>
              </w:rPr>
              <w:t>g/L</w:t>
            </w:r>
          </w:p>
        </w:tc>
        <w:tc>
          <w:tcPr>
            <w:tcW w:w="1440" w:type="dxa"/>
            <w:gridSpan w:val="2"/>
            <w:noWrap w:val="0"/>
            <w:vAlign w:val="center"/>
          </w:tcPr>
          <w:p w14:paraId="0D73FA2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K</w:t>
            </w:r>
            <w:r>
              <w:rPr>
                <w:rFonts w:hint="eastAsia"/>
                <w:sz w:val="21"/>
                <w:szCs w:val="21"/>
                <w:vertAlign w:val="superscript"/>
              </w:rPr>
              <w:t>+</w:t>
            </w:r>
          </w:p>
        </w:tc>
        <w:tc>
          <w:tcPr>
            <w:tcW w:w="1500" w:type="dxa"/>
            <w:gridSpan w:val="3"/>
            <w:noWrap w:val="0"/>
            <w:vAlign w:val="center"/>
          </w:tcPr>
          <w:p w14:paraId="4B38D6A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2.48</w:t>
            </w:r>
          </w:p>
        </w:tc>
        <w:tc>
          <w:tcPr>
            <w:tcW w:w="1380" w:type="dxa"/>
            <w:noWrap w:val="0"/>
            <w:vAlign w:val="center"/>
          </w:tcPr>
          <w:p w14:paraId="0BF66118">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48A9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2F07C1CB">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 xml:space="preserve">    铁</w:t>
            </w:r>
          </w:p>
        </w:tc>
        <w:tc>
          <w:tcPr>
            <w:tcW w:w="1455" w:type="dxa"/>
            <w:gridSpan w:val="2"/>
            <w:noWrap w:val="0"/>
            <w:vAlign w:val="center"/>
          </w:tcPr>
          <w:p w14:paraId="19E1006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48.72</w:t>
            </w:r>
          </w:p>
        </w:tc>
        <w:tc>
          <w:tcPr>
            <w:tcW w:w="1425" w:type="dxa"/>
            <w:noWrap w:val="0"/>
            <w:vAlign w:val="center"/>
          </w:tcPr>
          <w:p w14:paraId="2519E949">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μ</w:t>
            </w:r>
            <w:r>
              <w:rPr>
                <w:sz w:val="21"/>
                <w:szCs w:val="21"/>
              </w:rPr>
              <w:t>g/L</w:t>
            </w:r>
          </w:p>
        </w:tc>
        <w:tc>
          <w:tcPr>
            <w:tcW w:w="1440" w:type="dxa"/>
            <w:gridSpan w:val="2"/>
            <w:noWrap w:val="0"/>
            <w:vAlign w:val="center"/>
          </w:tcPr>
          <w:p w14:paraId="044BC5E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油</w:t>
            </w:r>
          </w:p>
        </w:tc>
        <w:tc>
          <w:tcPr>
            <w:tcW w:w="1500" w:type="dxa"/>
            <w:gridSpan w:val="3"/>
            <w:noWrap w:val="0"/>
            <w:vAlign w:val="center"/>
          </w:tcPr>
          <w:p w14:paraId="15B76F00">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053CC814">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1F63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5640947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BOD</w:t>
            </w:r>
          </w:p>
        </w:tc>
        <w:tc>
          <w:tcPr>
            <w:tcW w:w="1455" w:type="dxa"/>
            <w:gridSpan w:val="2"/>
            <w:noWrap w:val="0"/>
            <w:vAlign w:val="center"/>
          </w:tcPr>
          <w:p w14:paraId="00B5536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425" w:type="dxa"/>
            <w:noWrap w:val="0"/>
            <w:vAlign w:val="center"/>
          </w:tcPr>
          <w:p w14:paraId="3030E54F">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110A9FAF">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CODcr</w:t>
            </w:r>
          </w:p>
        </w:tc>
        <w:tc>
          <w:tcPr>
            <w:tcW w:w="1500" w:type="dxa"/>
            <w:gridSpan w:val="3"/>
            <w:noWrap w:val="0"/>
            <w:vAlign w:val="center"/>
          </w:tcPr>
          <w:p w14:paraId="1C35D493">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72BDCB62">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1C8A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161EEBB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F</w:t>
            </w:r>
            <w:r>
              <w:rPr>
                <w:rFonts w:hint="eastAsia"/>
                <w:sz w:val="21"/>
                <w:szCs w:val="21"/>
                <w:vertAlign w:val="superscript"/>
              </w:rPr>
              <w:t>-</w:t>
            </w:r>
          </w:p>
        </w:tc>
        <w:tc>
          <w:tcPr>
            <w:tcW w:w="1455" w:type="dxa"/>
            <w:gridSpan w:val="2"/>
            <w:noWrap w:val="0"/>
            <w:vAlign w:val="center"/>
          </w:tcPr>
          <w:p w14:paraId="679827D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1.40</w:t>
            </w:r>
          </w:p>
        </w:tc>
        <w:tc>
          <w:tcPr>
            <w:tcW w:w="1425" w:type="dxa"/>
            <w:noWrap w:val="0"/>
            <w:vAlign w:val="center"/>
          </w:tcPr>
          <w:p w14:paraId="4C89C549">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1FB6642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COD</w:t>
            </w:r>
            <w:r>
              <w:rPr>
                <w:rFonts w:hint="eastAsia"/>
                <w:sz w:val="21"/>
                <w:szCs w:val="21"/>
                <w:vertAlign w:val="subscript"/>
              </w:rPr>
              <w:t>Mn</w:t>
            </w:r>
          </w:p>
        </w:tc>
        <w:tc>
          <w:tcPr>
            <w:tcW w:w="1500" w:type="dxa"/>
            <w:gridSpan w:val="3"/>
            <w:noWrap w:val="0"/>
            <w:vAlign w:val="center"/>
          </w:tcPr>
          <w:p w14:paraId="1BF52AB5">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349CA3B0">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r>
      <w:tr w14:paraId="5A68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0" w:type="dxa"/>
            <w:noWrap w:val="0"/>
            <w:vAlign w:val="center"/>
          </w:tcPr>
          <w:p w14:paraId="2E027171">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灼烧减量</w:t>
            </w:r>
          </w:p>
        </w:tc>
        <w:tc>
          <w:tcPr>
            <w:tcW w:w="1455" w:type="dxa"/>
            <w:gridSpan w:val="2"/>
            <w:noWrap w:val="0"/>
            <w:vAlign w:val="center"/>
          </w:tcPr>
          <w:p w14:paraId="38E44B98">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425" w:type="dxa"/>
            <w:noWrap w:val="0"/>
            <w:vAlign w:val="center"/>
          </w:tcPr>
          <w:p w14:paraId="0C078DB1">
            <w:pPr>
              <w:keepNext w:val="0"/>
              <w:keepLines w:val="0"/>
              <w:suppressLineNumbers w:val="0"/>
              <w:spacing w:before="0" w:beforeAutospacing="0" w:after="0" w:afterAutospacing="0" w:line="440" w:lineRule="exact"/>
              <w:ind w:left="0" w:right="0"/>
              <w:jc w:val="center"/>
              <w:rPr>
                <w:sz w:val="21"/>
                <w:szCs w:val="21"/>
              </w:rPr>
            </w:pPr>
            <w:r>
              <w:rPr>
                <w:sz w:val="21"/>
                <w:szCs w:val="21"/>
              </w:rPr>
              <w:t>mg/L</w:t>
            </w:r>
          </w:p>
        </w:tc>
        <w:tc>
          <w:tcPr>
            <w:tcW w:w="1440" w:type="dxa"/>
            <w:gridSpan w:val="2"/>
            <w:noWrap w:val="0"/>
            <w:vAlign w:val="center"/>
          </w:tcPr>
          <w:p w14:paraId="0AEEF258">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浊度</w:t>
            </w:r>
          </w:p>
        </w:tc>
        <w:tc>
          <w:tcPr>
            <w:tcW w:w="1500" w:type="dxa"/>
            <w:gridSpan w:val="3"/>
            <w:noWrap w:val="0"/>
            <w:vAlign w:val="center"/>
          </w:tcPr>
          <w:p w14:paraId="6976C1AE">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w:t>
            </w:r>
          </w:p>
        </w:tc>
        <w:tc>
          <w:tcPr>
            <w:tcW w:w="1380" w:type="dxa"/>
            <w:noWrap w:val="0"/>
            <w:vAlign w:val="center"/>
          </w:tcPr>
          <w:p w14:paraId="212B389A">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NTU</w:t>
            </w:r>
          </w:p>
        </w:tc>
      </w:tr>
      <w:tr w14:paraId="6711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820" w:type="dxa"/>
            <w:gridSpan w:val="10"/>
            <w:noWrap w:val="0"/>
            <w:vAlign w:val="center"/>
          </w:tcPr>
          <w:p w14:paraId="7188A4AC">
            <w:pPr>
              <w:keepNext w:val="0"/>
              <w:keepLines w:val="0"/>
              <w:suppressLineNumbers w:val="0"/>
              <w:spacing w:before="0" w:beforeAutospacing="0" w:after="0" w:afterAutospacing="0" w:line="440" w:lineRule="exact"/>
              <w:ind w:left="0" w:right="0"/>
              <w:jc w:val="center"/>
              <w:rPr>
                <w:sz w:val="21"/>
                <w:szCs w:val="21"/>
              </w:rPr>
            </w:pPr>
            <w:r>
              <w:rPr>
                <w:rFonts w:hint="eastAsia"/>
                <w:sz w:val="21"/>
                <w:szCs w:val="21"/>
              </w:rPr>
              <w:t>备注：YD以1/2[Ca</w:t>
            </w:r>
            <w:r>
              <w:rPr>
                <w:rFonts w:hint="eastAsia"/>
                <w:sz w:val="21"/>
                <w:szCs w:val="21"/>
                <w:vertAlign w:val="superscript"/>
              </w:rPr>
              <w:t>2+</w:t>
            </w:r>
            <w:r>
              <w:rPr>
                <w:rFonts w:hint="eastAsia"/>
                <w:sz w:val="21"/>
                <w:szCs w:val="21"/>
              </w:rPr>
              <w:t>+Mg</w:t>
            </w:r>
            <w:r>
              <w:rPr>
                <w:rFonts w:hint="eastAsia"/>
                <w:sz w:val="21"/>
                <w:szCs w:val="21"/>
                <w:vertAlign w:val="superscript"/>
              </w:rPr>
              <w:t>2+</w:t>
            </w:r>
            <w:r>
              <w:rPr>
                <w:rFonts w:hint="eastAsia"/>
                <w:sz w:val="21"/>
                <w:szCs w:val="21"/>
              </w:rPr>
              <w:t>]为基本单元</w:t>
            </w:r>
          </w:p>
        </w:tc>
      </w:tr>
    </w:tbl>
    <w:p w14:paraId="50511B13">
      <w:pPr>
        <w:tabs>
          <w:tab w:val="left" w:pos="567"/>
          <w:tab w:val="left" w:pos="1418"/>
          <w:tab w:val="left" w:pos="3119"/>
          <w:tab w:val="left" w:pos="3969"/>
          <w:tab w:val="left" w:pos="5670"/>
          <w:tab w:val="left" w:pos="7371"/>
        </w:tabs>
        <w:spacing w:line="440" w:lineRule="exact"/>
        <w:rPr>
          <w:rFonts w:hint="default"/>
          <w:szCs w:val="21"/>
        </w:rPr>
      </w:pPr>
      <w:bookmarkStart w:id="28" w:name="_Toc271049305"/>
      <w:r>
        <w:rPr>
          <w:szCs w:val="21"/>
        </w:rPr>
        <w:t>2.2.</w:t>
      </w:r>
      <w:r>
        <w:rPr>
          <w:rFonts w:hint="default"/>
          <w:szCs w:val="21"/>
        </w:rPr>
        <w:t>4</w:t>
      </w:r>
      <w:r>
        <w:rPr>
          <w:szCs w:val="21"/>
        </w:rPr>
        <w:t xml:space="preserve">  设备运行条件</w:t>
      </w:r>
    </w:p>
    <w:p w14:paraId="52887B72">
      <w:pPr>
        <w:spacing w:line="440" w:lineRule="exact"/>
        <w:rPr>
          <w:rFonts w:hint="default"/>
          <w:szCs w:val="21"/>
        </w:rPr>
      </w:pPr>
      <w:r>
        <w:rPr>
          <w:szCs w:val="21"/>
        </w:rPr>
        <w:t>2.2.</w:t>
      </w:r>
      <w:r>
        <w:rPr>
          <w:rFonts w:hint="default"/>
          <w:szCs w:val="21"/>
        </w:rPr>
        <w:t>4</w:t>
      </w:r>
      <w:r>
        <w:rPr>
          <w:szCs w:val="21"/>
        </w:rPr>
        <w:t>.1  设备布置</w:t>
      </w:r>
    </w:p>
    <w:p w14:paraId="58F4B28F">
      <w:pPr>
        <w:spacing w:line="440" w:lineRule="exact"/>
        <w:ind w:firstLine="482"/>
        <w:rPr>
          <w:rFonts w:hint="default"/>
          <w:szCs w:val="21"/>
        </w:rPr>
      </w:pPr>
      <w:r>
        <w:rPr>
          <w:szCs w:val="21"/>
        </w:rPr>
        <w:t>设备布置在室内。</w:t>
      </w:r>
    </w:p>
    <w:p w14:paraId="3E72F23D">
      <w:pPr>
        <w:spacing w:line="440" w:lineRule="exact"/>
        <w:rPr>
          <w:rFonts w:hint="default"/>
          <w:szCs w:val="21"/>
        </w:rPr>
      </w:pPr>
      <w:r>
        <w:rPr>
          <w:szCs w:val="21"/>
        </w:rPr>
        <w:t>2.2.</w:t>
      </w:r>
      <w:r>
        <w:rPr>
          <w:rFonts w:hint="default"/>
          <w:szCs w:val="21"/>
        </w:rPr>
        <w:t>4</w:t>
      </w:r>
      <w:r>
        <w:rPr>
          <w:szCs w:val="21"/>
        </w:rPr>
        <w:t>.2   设备出水水质</w:t>
      </w:r>
    </w:p>
    <w:p w14:paraId="5AC3E347">
      <w:pPr>
        <w:spacing w:line="440" w:lineRule="exact"/>
        <w:ind w:firstLine="482"/>
        <w:rPr>
          <w:rFonts w:hint="default"/>
          <w:szCs w:val="21"/>
        </w:rPr>
      </w:pPr>
      <w:r>
        <w:rPr>
          <w:szCs w:val="21"/>
        </w:rPr>
        <w:t>出水硬度：≤0.3mmol/L</w:t>
      </w:r>
    </w:p>
    <w:p w14:paraId="27F301D2">
      <w:pPr>
        <w:spacing w:line="440" w:lineRule="exact"/>
        <w:rPr>
          <w:rFonts w:hint="default"/>
          <w:szCs w:val="21"/>
        </w:rPr>
      </w:pPr>
      <w:r>
        <w:rPr>
          <w:szCs w:val="21"/>
        </w:rPr>
        <w:t>2.2.</w:t>
      </w:r>
      <w:r>
        <w:rPr>
          <w:rFonts w:hint="default"/>
          <w:szCs w:val="21"/>
        </w:rPr>
        <w:t>4</w:t>
      </w:r>
      <w:r>
        <w:rPr>
          <w:szCs w:val="21"/>
        </w:rPr>
        <w:t>.3  再生试剂（</w:t>
      </w:r>
      <w:r>
        <w:rPr>
          <w:b/>
          <w:szCs w:val="21"/>
        </w:rPr>
        <w:t>用户自备</w:t>
      </w:r>
      <w:r>
        <w:rPr>
          <w:szCs w:val="21"/>
        </w:rPr>
        <w:t>）</w:t>
      </w:r>
    </w:p>
    <w:p w14:paraId="3099A5C3">
      <w:pPr>
        <w:spacing w:line="440" w:lineRule="exact"/>
        <w:ind w:firstLine="482"/>
        <w:rPr>
          <w:rFonts w:hint="default"/>
          <w:szCs w:val="21"/>
        </w:rPr>
      </w:pPr>
      <w:r>
        <w:rPr>
          <w:szCs w:val="21"/>
        </w:rPr>
        <w:t>a、氯化钠</w:t>
      </w:r>
    </w:p>
    <w:p w14:paraId="117906D4">
      <w:pPr>
        <w:spacing w:line="440" w:lineRule="exact"/>
        <w:ind w:firstLine="482"/>
        <w:rPr>
          <w:rFonts w:hint="default"/>
          <w:szCs w:val="21"/>
        </w:rPr>
      </w:pPr>
      <w:r>
        <w:rPr>
          <w:szCs w:val="21"/>
        </w:rPr>
        <w:t>氯化钠&gt;94% NaCl固体，水分含量&lt;4.20%，水不溶物含量&lt;0.40%，水溶性杂质含量&lt;1.40%。</w:t>
      </w:r>
    </w:p>
    <w:p w14:paraId="6B07B673">
      <w:pPr>
        <w:spacing w:line="440" w:lineRule="exact"/>
        <w:rPr>
          <w:rFonts w:hint="default"/>
          <w:szCs w:val="21"/>
        </w:rPr>
      </w:pPr>
      <w:r>
        <w:rPr>
          <w:szCs w:val="21"/>
        </w:rPr>
        <w:t>2.2.</w:t>
      </w:r>
      <w:r>
        <w:rPr>
          <w:rFonts w:hint="default"/>
          <w:szCs w:val="21"/>
        </w:rPr>
        <w:t>4</w:t>
      </w:r>
      <w:r>
        <w:rPr>
          <w:szCs w:val="21"/>
        </w:rPr>
        <w:t>.4  填料应符合下列标准的最新版本的规定：</w:t>
      </w:r>
    </w:p>
    <w:p w14:paraId="21EF45E7">
      <w:pPr>
        <w:spacing w:line="440" w:lineRule="exact"/>
        <w:ind w:firstLine="482"/>
        <w:rPr>
          <w:rFonts w:hint="default"/>
          <w:szCs w:val="21"/>
        </w:rPr>
      </w:pPr>
      <w:r>
        <w:rPr>
          <w:szCs w:val="21"/>
        </w:rPr>
        <w:t>a、GB13659《001×7强酸性苯乙烯系阳离子交换树脂》</w:t>
      </w:r>
    </w:p>
    <w:p w14:paraId="73596696">
      <w:pPr>
        <w:spacing w:line="440" w:lineRule="exact"/>
        <w:ind w:firstLine="482"/>
        <w:rPr>
          <w:rFonts w:hint="default"/>
          <w:szCs w:val="21"/>
        </w:rPr>
      </w:pPr>
      <w:r>
        <w:rPr>
          <w:szCs w:val="21"/>
        </w:rPr>
        <w:t>b、CJ24.1《水处理用石英砂滤料》</w:t>
      </w:r>
    </w:p>
    <w:p w14:paraId="47C1871F">
      <w:pPr>
        <w:spacing w:line="440" w:lineRule="exact"/>
        <w:ind w:firstLine="482"/>
        <w:rPr>
          <w:rFonts w:hint="default"/>
          <w:szCs w:val="21"/>
        </w:rPr>
      </w:pPr>
      <w:r>
        <w:rPr>
          <w:szCs w:val="21"/>
        </w:rPr>
        <w:t>c、CJ24.2《水处理用无烟煤滤料》</w:t>
      </w:r>
    </w:p>
    <w:p w14:paraId="66698933">
      <w:pPr>
        <w:spacing w:line="440" w:lineRule="exact"/>
        <w:ind w:firstLine="482"/>
        <w:rPr>
          <w:rFonts w:hint="default"/>
          <w:szCs w:val="21"/>
        </w:rPr>
      </w:pPr>
      <w:r>
        <w:rPr>
          <w:szCs w:val="21"/>
        </w:rPr>
        <w:t>d、DL519-2004《火力发电厂水处理用离子交换树脂验收标准》</w:t>
      </w:r>
    </w:p>
    <w:p w14:paraId="79C15AAA">
      <w:pPr>
        <w:spacing w:line="440" w:lineRule="exact"/>
        <w:rPr>
          <w:rFonts w:hint="default"/>
          <w:szCs w:val="21"/>
        </w:rPr>
      </w:pPr>
      <w:r>
        <w:rPr>
          <w:szCs w:val="21"/>
        </w:rPr>
        <w:t>2.2.</w:t>
      </w:r>
      <w:r>
        <w:rPr>
          <w:rFonts w:hint="default"/>
          <w:szCs w:val="21"/>
        </w:rPr>
        <w:t>4</w:t>
      </w:r>
      <w:r>
        <w:rPr>
          <w:szCs w:val="21"/>
        </w:rPr>
        <w:t>.5  树脂牌号：00</w:t>
      </w:r>
      <w:r>
        <w:rPr>
          <w:rFonts w:ascii="宋体" w:hAnsi="宋体"/>
          <w:szCs w:val="21"/>
        </w:rPr>
        <w:t>1×7漂莱特或罗门哈斯</w:t>
      </w:r>
    </w:p>
    <w:p w14:paraId="09C0369B">
      <w:pPr>
        <w:spacing w:line="440" w:lineRule="exact"/>
        <w:rPr>
          <w:rFonts w:hint="default"/>
          <w:szCs w:val="21"/>
        </w:rPr>
      </w:pPr>
      <w:r>
        <w:rPr>
          <w:szCs w:val="21"/>
        </w:rPr>
        <w:t>2.2.</w:t>
      </w:r>
      <w:r>
        <w:rPr>
          <w:rFonts w:hint="default"/>
          <w:szCs w:val="21"/>
        </w:rPr>
        <w:t>4</w:t>
      </w:r>
      <w:r>
        <w:rPr>
          <w:szCs w:val="21"/>
        </w:rPr>
        <w:t>.6  树脂粒度：符合相应牌号标准</w:t>
      </w:r>
    </w:p>
    <w:p w14:paraId="1847DB5D">
      <w:pPr>
        <w:spacing w:line="440" w:lineRule="exact"/>
        <w:rPr>
          <w:szCs w:val="21"/>
        </w:rPr>
      </w:pPr>
      <w:r>
        <w:rPr>
          <w:szCs w:val="21"/>
        </w:rPr>
        <w:t>2.2.4.</w:t>
      </w:r>
      <w:r>
        <w:rPr>
          <w:rFonts w:hint="default"/>
          <w:szCs w:val="21"/>
        </w:rPr>
        <w:t>7</w:t>
      </w:r>
      <w:r>
        <w:rPr>
          <w:szCs w:val="21"/>
        </w:rPr>
        <w:t xml:space="preserve"> 启动再生控制模式： 流量启动再生（控制逻辑，联锁）</w:t>
      </w:r>
    </w:p>
    <w:p w14:paraId="17B73E41">
      <w:pPr>
        <w:spacing w:line="440" w:lineRule="exact"/>
        <w:rPr>
          <w:szCs w:val="21"/>
        </w:rPr>
      </w:pPr>
      <w:r>
        <w:rPr>
          <w:szCs w:val="21"/>
        </w:rPr>
        <w:t>2.2.4.</w:t>
      </w:r>
      <w:r>
        <w:rPr>
          <w:rFonts w:hint="default"/>
          <w:szCs w:val="21"/>
        </w:rPr>
        <w:t>8</w:t>
      </w:r>
      <w:r>
        <w:rPr>
          <w:szCs w:val="21"/>
        </w:rPr>
        <w:t>树脂罐（离子交换器）材质：sus316L不锈钢</w:t>
      </w:r>
    </w:p>
    <w:p w14:paraId="6BDBF151">
      <w:pPr>
        <w:spacing w:line="440" w:lineRule="exact"/>
        <w:rPr>
          <w:szCs w:val="21"/>
        </w:rPr>
      </w:pPr>
      <w:r>
        <w:rPr>
          <w:szCs w:val="21"/>
        </w:rPr>
        <w:t>2.2.4.</w:t>
      </w:r>
      <w:r>
        <w:rPr>
          <w:rFonts w:hint="default"/>
          <w:szCs w:val="21"/>
        </w:rPr>
        <w:t>9</w:t>
      </w:r>
      <w:r>
        <w:rPr>
          <w:szCs w:val="21"/>
        </w:rPr>
        <w:t xml:space="preserve"> 自动控制钠离子交换器技术标准符合下列标准最新版的规定：</w:t>
      </w:r>
    </w:p>
    <w:p w14:paraId="6FC5A8FC">
      <w:pPr>
        <w:spacing w:line="440" w:lineRule="exact"/>
        <w:rPr>
          <w:szCs w:val="21"/>
        </w:rPr>
      </w:pPr>
      <w:r>
        <w:rPr>
          <w:szCs w:val="21"/>
        </w:rPr>
        <w:t xml:space="preserve">       GBT 18300 自动控制钠离子交换器技术条件</w:t>
      </w:r>
    </w:p>
    <w:p w14:paraId="0CF0AF6E">
      <w:pPr>
        <w:spacing w:line="440" w:lineRule="exact"/>
        <w:rPr>
          <w:szCs w:val="21"/>
        </w:rPr>
      </w:pPr>
      <w:r>
        <w:rPr>
          <w:szCs w:val="21"/>
        </w:rPr>
        <w:t xml:space="preserve">       GBT50109 工业用水软化除盐设计规范</w:t>
      </w:r>
    </w:p>
    <w:p w14:paraId="2B2F2D6D">
      <w:pPr>
        <w:spacing w:line="440" w:lineRule="exact"/>
        <w:rPr>
          <w:szCs w:val="21"/>
        </w:rPr>
      </w:pPr>
      <w:r>
        <w:rPr>
          <w:szCs w:val="21"/>
        </w:rPr>
        <w:t xml:space="preserve">       JB／T 2932 水处理设备技术条件</w:t>
      </w:r>
    </w:p>
    <w:p w14:paraId="55D21236">
      <w:pPr>
        <w:spacing w:line="440" w:lineRule="exact"/>
        <w:rPr>
          <w:rFonts w:hint="eastAsia" w:ascii="Times New Roman" w:hAnsi="Times New Roman"/>
          <w:b w:val="0"/>
          <w:bCs w:val="0"/>
          <w:sz w:val="21"/>
          <w:szCs w:val="21"/>
        </w:rPr>
      </w:pPr>
      <w:r>
        <w:rPr>
          <w:rFonts w:hint="eastAsia" w:ascii="Times New Roman" w:hAnsi="Times New Roman"/>
          <w:b w:val="0"/>
          <w:bCs w:val="0"/>
          <w:sz w:val="21"/>
          <w:szCs w:val="21"/>
        </w:rPr>
        <w:t>2</w:t>
      </w:r>
      <w:r>
        <w:rPr>
          <w:rFonts w:ascii="Times New Roman" w:hAnsi="Times New Roman"/>
          <w:b w:val="0"/>
          <w:bCs w:val="0"/>
          <w:sz w:val="21"/>
          <w:szCs w:val="21"/>
        </w:rPr>
        <w:t>.</w:t>
      </w:r>
      <w:r>
        <w:rPr>
          <w:rFonts w:hint="eastAsia" w:ascii="Times New Roman" w:hAnsi="Times New Roman"/>
          <w:b w:val="0"/>
          <w:bCs w:val="0"/>
          <w:sz w:val="21"/>
          <w:szCs w:val="21"/>
        </w:rPr>
        <w:t>3设备基本参数</w:t>
      </w:r>
      <w:bookmarkEnd w:id="28"/>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2520"/>
        <w:gridCol w:w="900"/>
        <w:gridCol w:w="720"/>
        <w:gridCol w:w="3660"/>
      </w:tblGrid>
      <w:tr w14:paraId="4657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noWrap w:val="0"/>
            <w:vAlign w:val="center"/>
          </w:tcPr>
          <w:p w14:paraId="289E832E">
            <w:pPr>
              <w:keepNext w:val="0"/>
              <w:keepLines w:val="0"/>
              <w:suppressLineNumbers w:val="0"/>
              <w:tabs>
                <w:tab w:val="left" w:pos="601"/>
                <w:tab w:val="left" w:pos="1134"/>
                <w:tab w:val="left" w:pos="4536"/>
                <w:tab w:val="left" w:pos="5387"/>
                <w:tab w:val="left" w:pos="7088"/>
              </w:tabs>
              <w:spacing w:before="0" w:beforeAutospacing="0" w:after="0" w:afterAutospacing="0" w:line="440" w:lineRule="exact"/>
              <w:ind w:left="0" w:right="0"/>
              <w:jc w:val="center"/>
              <w:rPr>
                <w:sz w:val="21"/>
                <w:szCs w:val="21"/>
              </w:rPr>
            </w:pPr>
            <w:r>
              <w:rPr>
                <w:rFonts w:hint="eastAsia"/>
                <w:sz w:val="21"/>
                <w:szCs w:val="21"/>
              </w:rPr>
              <w:t>序号</w:t>
            </w:r>
          </w:p>
        </w:tc>
        <w:tc>
          <w:tcPr>
            <w:tcW w:w="1271" w:type="dxa"/>
            <w:noWrap w:val="0"/>
            <w:vAlign w:val="center"/>
          </w:tcPr>
          <w:p w14:paraId="706DE914">
            <w:pPr>
              <w:keepNext w:val="0"/>
              <w:keepLines w:val="0"/>
              <w:suppressLineNumbers w:val="0"/>
              <w:tabs>
                <w:tab w:val="left" w:pos="-108"/>
                <w:tab w:val="left" w:pos="1877"/>
                <w:tab w:val="left" w:pos="4536"/>
                <w:tab w:val="left" w:pos="5387"/>
                <w:tab w:val="left" w:pos="7088"/>
              </w:tabs>
              <w:spacing w:before="0" w:beforeAutospacing="0" w:after="0" w:afterAutospacing="0" w:line="440" w:lineRule="exact"/>
              <w:ind w:left="0" w:right="0"/>
              <w:jc w:val="center"/>
              <w:rPr>
                <w:sz w:val="21"/>
                <w:szCs w:val="21"/>
              </w:rPr>
            </w:pPr>
            <w:r>
              <w:rPr>
                <w:rFonts w:hint="eastAsia"/>
                <w:sz w:val="21"/>
                <w:szCs w:val="21"/>
              </w:rPr>
              <w:t>名</w:t>
            </w:r>
            <w:r>
              <w:rPr>
                <w:sz w:val="21"/>
                <w:szCs w:val="21"/>
              </w:rPr>
              <w:t xml:space="preserve">     </w:t>
            </w:r>
            <w:r>
              <w:rPr>
                <w:rFonts w:hint="eastAsia"/>
                <w:sz w:val="21"/>
                <w:szCs w:val="21"/>
              </w:rPr>
              <w:t>称</w:t>
            </w:r>
          </w:p>
        </w:tc>
        <w:tc>
          <w:tcPr>
            <w:tcW w:w="2520" w:type="dxa"/>
            <w:noWrap w:val="0"/>
            <w:vAlign w:val="center"/>
          </w:tcPr>
          <w:p w14:paraId="256D2CCC">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sz w:val="21"/>
                <w:szCs w:val="21"/>
              </w:rPr>
            </w:pPr>
            <w:r>
              <w:rPr>
                <w:rFonts w:hint="eastAsia"/>
                <w:sz w:val="21"/>
                <w:szCs w:val="21"/>
              </w:rPr>
              <w:t>规</w:t>
            </w:r>
            <w:r>
              <w:rPr>
                <w:sz w:val="21"/>
                <w:szCs w:val="21"/>
              </w:rPr>
              <w:t xml:space="preserve">   </w:t>
            </w:r>
            <w:r>
              <w:rPr>
                <w:rFonts w:hint="eastAsia"/>
                <w:sz w:val="21"/>
                <w:szCs w:val="21"/>
              </w:rPr>
              <w:t>范</w:t>
            </w:r>
          </w:p>
        </w:tc>
        <w:tc>
          <w:tcPr>
            <w:tcW w:w="900" w:type="dxa"/>
            <w:noWrap w:val="0"/>
            <w:vAlign w:val="center"/>
          </w:tcPr>
          <w:p w14:paraId="79EABD0A">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sz w:val="21"/>
                <w:szCs w:val="21"/>
              </w:rPr>
            </w:pPr>
            <w:r>
              <w:rPr>
                <w:rFonts w:hint="eastAsia"/>
                <w:sz w:val="21"/>
                <w:szCs w:val="21"/>
              </w:rPr>
              <w:t>数 量</w:t>
            </w:r>
          </w:p>
        </w:tc>
        <w:tc>
          <w:tcPr>
            <w:tcW w:w="720" w:type="dxa"/>
            <w:noWrap w:val="0"/>
            <w:vAlign w:val="center"/>
          </w:tcPr>
          <w:p w14:paraId="4D1F46AD">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sz w:val="21"/>
                <w:szCs w:val="21"/>
              </w:rPr>
            </w:pPr>
            <w:r>
              <w:rPr>
                <w:rFonts w:hint="eastAsia"/>
                <w:sz w:val="21"/>
                <w:szCs w:val="21"/>
              </w:rPr>
              <w:t>单位</w:t>
            </w:r>
          </w:p>
        </w:tc>
        <w:tc>
          <w:tcPr>
            <w:tcW w:w="3660" w:type="dxa"/>
            <w:noWrap w:val="0"/>
            <w:vAlign w:val="center"/>
          </w:tcPr>
          <w:p w14:paraId="6C384696">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sz w:val="21"/>
                <w:szCs w:val="21"/>
              </w:rPr>
            </w:pPr>
            <w:r>
              <w:rPr>
                <w:rFonts w:hint="eastAsia"/>
                <w:sz w:val="21"/>
                <w:szCs w:val="21"/>
              </w:rPr>
              <w:t>备</w:t>
            </w:r>
            <w:r>
              <w:rPr>
                <w:sz w:val="21"/>
                <w:szCs w:val="21"/>
              </w:rPr>
              <w:t xml:space="preserve">  </w:t>
            </w:r>
            <w:r>
              <w:rPr>
                <w:rFonts w:hint="eastAsia"/>
                <w:sz w:val="21"/>
                <w:szCs w:val="21"/>
              </w:rPr>
              <w:t>注</w:t>
            </w:r>
          </w:p>
        </w:tc>
      </w:tr>
      <w:tr w14:paraId="23E0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noWrap w:val="0"/>
            <w:vAlign w:val="center"/>
          </w:tcPr>
          <w:p w14:paraId="57ED95A8">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color w:val="000000"/>
                <w:sz w:val="21"/>
                <w:szCs w:val="21"/>
              </w:rPr>
            </w:pPr>
            <w:r>
              <w:rPr>
                <w:rFonts w:hint="eastAsia"/>
                <w:color w:val="000000"/>
                <w:sz w:val="21"/>
                <w:szCs w:val="21"/>
              </w:rPr>
              <w:t>1</w:t>
            </w:r>
          </w:p>
        </w:tc>
        <w:tc>
          <w:tcPr>
            <w:tcW w:w="1271" w:type="dxa"/>
            <w:noWrap w:val="0"/>
            <w:vAlign w:val="center"/>
          </w:tcPr>
          <w:p w14:paraId="0083531E">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color w:val="000000"/>
                <w:sz w:val="21"/>
                <w:szCs w:val="21"/>
              </w:rPr>
            </w:pPr>
            <w:r>
              <w:rPr>
                <w:rFonts w:hint="eastAsia"/>
                <w:color w:val="000000"/>
                <w:sz w:val="21"/>
                <w:szCs w:val="21"/>
              </w:rPr>
              <w:t>全自动钠离子交换器</w:t>
            </w:r>
          </w:p>
        </w:tc>
        <w:tc>
          <w:tcPr>
            <w:tcW w:w="2520" w:type="dxa"/>
            <w:noWrap w:val="0"/>
            <w:vAlign w:val="center"/>
          </w:tcPr>
          <w:p w14:paraId="2BA0B986">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rPr>
                <w:color w:val="000000"/>
                <w:sz w:val="21"/>
                <w:szCs w:val="21"/>
              </w:rPr>
            </w:pPr>
            <w:r>
              <w:rPr>
                <w:rFonts w:hint="eastAsia"/>
                <w:color w:val="000000"/>
                <w:sz w:val="21"/>
                <w:szCs w:val="21"/>
              </w:rPr>
              <w:t>树脂层高</w:t>
            </w:r>
            <w:r>
              <w:rPr>
                <w:rFonts w:hint="eastAsia" w:hAnsi="宋体"/>
                <w:color w:val="000000"/>
                <w:sz w:val="21"/>
                <w:szCs w:val="21"/>
              </w:rPr>
              <w:t>为设备罐体的80－90%</w:t>
            </w:r>
          </w:p>
        </w:tc>
        <w:tc>
          <w:tcPr>
            <w:tcW w:w="900" w:type="dxa"/>
            <w:noWrap w:val="0"/>
            <w:vAlign w:val="center"/>
          </w:tcPr>
          <w:p w14:paraId="6F47FB16">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p>
        </w:tc>
        <w:tc>
          <w:tcPr>
            <w:tcW w:w="720" w:type="dxa"/>
            <w:noWrap w:val="0"/>
            <w:vAlign w:val="center"/>
          </w:tcPr>
          <w:p w14:paraId="5872CDB9">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台</w:t>
            </w:r>
          </w:p>
        </w:tc>
        <w:tc>
          <w:tcPr>
            <w:tcW w:w="3660" w:type="dxa"/>
            <w:noWrap w:val="0"/>
            <w:vAlign w:val="center"/>
          </w:tcPr>
          <w:p w14:paraId="28093B8B">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rPr>
                <w:color w:val="000000"/>
                <w:sz w:val="21"/>
                <w:szCs w:val="21"/>
              </w:rPr>
            </w:pPr>
            <w:r>
              <w:rPr>
                <w:color w:val="000000"/>
                <w:szCs w:val="21"/>
              </w:rPr>
              <w:t>双树脂罐，一用一备，单罐出力≧10m3/h,含树脂001*7FC,树脂装填高度≧1800mm；1个熔盐箱,材质PE,容积≧2m3</w:t>
            </w:r>
          </w:p>
        </w:tc>
      </w:tr>
      <w:tr w14:paraId="5840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noWrap w:val="0"/>
            <w:vAlign w:val="center"/>
          </w:tcPr>
          <w:p w14:paraId="3A3DC03D">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2</w:t>
            </w:r>
          </w:p>
        </w:tc>
        <w:tc>
          <w:tcPr>
            <w:tcW w:w="1271" w:type="dxa"/>
            <w:noWrap w:val="0"/>
            <w:vAlign w:val="center"/>
          </w:tcPr>
          <w:p w14:paraId="7E2276C0">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水箱投入式液位计</w:t>
            </w:r>
          </w:p>
        </w:tc>
        <w:tc>
          <w:tcPr>
            <w:tcW w:w="2520" w:type="dxa"/>
            <w:noWrap w:val="0"/>
            <w:vAlign w:val="center"/>
          </w:tcPr>
          <w:p w14:paraId="19D8405A">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rPr>
                <w:rFonts w:hint="eastAsia"/>
                <w:color w:val="000000"/>
                <w:sz w:val="21"/>
                <w:szCs w:val="21"/>
              </w:rPr>
            </w:pPr>
          </w:p>
        </w:tc>
        <w:tc>
          <w:tcPr>
            <w:tcW w:w="900" w:type="dxa"/>
            <w:noWrap w:val="0"/>
            <w:vAlign w:val="center"/>
          </w:tcPr>
          <w:p w14:paraId="389421C4">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p>
        </w:tc>
        <w:tc>
          <w:tcPr>
            <w:tcW w:w="720" w:type="dxa"/>
            <w:noWrap w:val="0"/>
            <w:vAlign w:val="center"/>
          </w:tcPr>
          <w:p w14:paraId="73304B79">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台</w:t>
            </w:r>
          </w:p>
        </w:tc>
        <w:tc>
          <w:tcPr>
            <w:tcW w:w="3660" w:type="dxa"/>
            <w:noWrap w:val="0"/>
            <w:vAlign w:val="center"/>
          </w:tcPr>
          <w:p w14:paraId="1E97BFDB">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rPr>
                <w:rFonts w:hint="eastAsia"/>
                <w:color w:val="000000"/>
                <w:sz w:val="21"/>
                <w:szCs w:val="21"/>
              </w:rPr>
            </w:pPr>
            <w:r>
              <w:rPr>
                <w:color w:val="000000"/>
                <w:szCs w:val="21"/>
              </w:rPr>
              <w:t>每台补水箱一台，输出4-20mA信号传输至机组PLC，品牌为：昆仑海岸，型号为：JOY 0~3M。由水处理厂家敷设电缆并加装保护管接至机组控制柜内（机组厂家接线）</w:t>
            </w:r>
          </w:p>
        </w:tc>
      </w:tr>
      <w:tr w14:paraId="5979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noWrap w:val="0"/>
            <w:vAlign w:val="center"/>
          </w:tcPr>
          <w:p w14:paraId="20F65E51">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000000"/>
                <w:sz w:val="21"/>
                <w:szCs w:val="21"/>
              </w:rPr>
            </w:pPr>
            <w:bookmarkStart w:id="29" w:name="_Toc271049306"/>
            <w:r>
              <w:rPr>
                <w:rFonts w:hint="eastAsia"/>
                <w:color w:val="000000"/>
                <w:sz w:val="21"/>
                <w:szCs w:val="21"/>
                <w:lang w:val="en-US" w:eastAsia="zh-CN"/>
              </w:rPr>
              <w:t>3</w:t>
            </w:r>
          </w:p>
        </w:tc>
        <w:tc>
          <w:tcPr>
            <w:tcW w:w="1271" w:type="dxa"/>
            <w:noWrap w:val="0"/>
            <w:vAlign w:val="center"/>
          </w:tcPr>
          <w:p w14:paraId="0581A228">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auto"/>
                <w:sz w:val="21"/>
                <w:szCs w:val="21"/>
              </w:rPr>
            </w:pPr>
            <w:r>
              <w:rPr>
                <w:rFonts w:hint="eastAsia"/>
                <w:color w:val="auto"/>
                <w:sz w:val="21"/>
                <w:szCs w:val="21"/>
              </w:rPr>
              <w:t>水箱进水管电动调门</w:t>
            </w:r>
          </w:p>
        </w:tc>
        <w:tc>
          <w:tcPr>
            <w:tcW w:w="2520" w:type="dxa"/>
            <w:noWrap w:val="0"/>
            <w:vAlign w:val="center"/>
          </w:tcPr>
          <w:p w14:paraId="5DD4F6F3">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rPr>
                <w:rFonts w:hint="eastAsia"/>
                <w:color w:val="auto"/>
                <w:sz w:val="21"/>
                <w:szCs w:val="21"/>
              </w:rPr>
            </w:pPr>
          </w:p>
        </w:tc>
        <w:tc>
          <w:tcPr>
            <w:tcW w:w="900" w:type="dxa"/>
            <w:noWrap w:val="0"/>
            <w:vAlign w:val="center"/>
          </w:tcPr>
          <w:p w14:paraId="29F72118">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auto"/>
                <w:sz w:val="21"/>
                <w:szCs w:val="21"/>
              </w:rPr>
            </w:pPr>
          </w:p>
        </w:tc>
        <w:tc>
          <w:tcPr>
            <w:tcW w:w="720" w:type="dxa"/>
            <w:noWrap w:val="0"/>
            <w:vAlign w:val="center"/>
          </w:tcPr>
          <w:p w14:paraId="38E64E33">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jc w:val="center"/>
              <w:rPr>
                <w:rFonts w:hint="eastAsia"/>
                <w:color w:val="auto"/>
                <w:sz w:val="21"/>
                <w:szCs w:val="21"/>
              </w:rPr>
            </w:pPr>
            <w:r>
              <w:rPr>
                <w:rFonts w:hint="eastAsia"/>
                <w:color w:val="auto"/>
                <w:sz w:val="21"/>
                <w:szCs w:val="21"/>
              </w:rPr>
              <w:t>台</w:t>
            </w:r>
          </w:p>
        </w:tc>
        <w:tc>
          <w:tcPr>
            <w:tcW w:w="3660" w:type="dxa"/>
            <w:noWrap w:val="0"/>
            <w:vAlign w:val="center"/>
          </w:tcPr>
          <w:p w14:paraId="6C3C2AE8">
            <w:pPr>
              <w:keepNext w:val="0"/>
              <w:keepLines w:val="0"/>
              <w:suppressLineNumbers w:val="0"/>
              <w:tabs>
                <w:tab w:val="left" w:pos="426"/>
                <w:tab w:val="left" w:pos="1134"/>
                <w:tab w:val="left" w:pos="4536"/>
                <w:tab w:val="left" w:pos="5387"/>
                <w:tab w:val="left" w:pos="7088"/>
              </w:tabs>
              <w:spacing w:before="0" w:beforeAutospacing="0" w:after="0" w:afterAutospacing="0" w:line="440" w:lineRule="exact"/>
              <w:ind w:left="0" w:right="0"/>
              <w:rPr>
                <w:rFonts w:hint="eastAsia"/>
                <w:color w:val="auto"/>
                <w:sz w:val="21"/>
                <w:szCs w:val="21"/>
              </w:rPr>
            </w:pPr>
            <w:r>
              <w:rPr>
                <w:color w:val="000000"/>
                <w:szCs w:val="21"/>
              </w:rPr>
              <w:t>每套机组一台，纳入软化水设备控制系统，实现水箱低液位时进水电动调门开启，高液位时关闭；电动调门带手动旁路</w:t>
            </w:r>
          </w:p>
        </w:tc>
      </w:tr>
    </w:tbl>
    <w:p w14:paraId="3E8EB943">
      <w:pPr>
        <w:pStyle w:val="3"/>
        <w:spacing w:line="440" w:lineRule="exact"/>
        <w:rPr>
          <w:rFonts w:hint="eastAsia" w:ascii="Times New Roman" w:hAnsi="Times New Roman"/>
          <w:b w:val="0"/>
          <w:bCs w:val="0"/>
          <w:color w:val="000000"/>
          <w:sz w:val="21"/>
          <w:szCs w:val="21"/>
        </w:rPr>
      </w:pPr>
      <w:r>
        <w:rPr>
          <w:rFonts w:hint="eastAsia" w:ascii="Times New Roman" w:hAnsi="Times New Roman"/>
          <w:b w:val="0"/>
          <w:bCs w:val="0"/>
          <w:color w:val="000000"/>
          <w:sz w:val="21"/>
          <w:szCs w:val="21"/>
        </w:rPr>
        <w:t>2</w:t>
      </w:r>
      <w:r>
        <w:rPr>
          <w:rFonts w:ascii="Times New Roman" w:hAnsi="Times New Roman"/>
          <w:b w:val="0"/>
          <w:bCs w:val="0"/>
          <w:color w:val="000000"/>
          <w:sz w:val="21"/>
          <w:szCs w:val="21"/>
        </w:rPr>
        <w:t>.</w:t>
      </w:r>
      <w:r>
        <w:rPr>
          <w:rFonts w:hint="eastAsia" w:ascii="Times New Roman" w:hAnsi="Times New Roman"/>
          <w:b w:val="0"/>
          <w:bCs w:val="0"/>
          <w:color w:val="000000"/>
          <w:sz w:val="21"/>
          <w:szCs w:val="21"/>
        </w:rPr>
        <w:t>4 设备制造技术要求</w:t>
      </w:r>
      <w:bookmarkEnd w:id="29"/>
    </w:p>
    <w:p w14:paraId="1263B755">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 xml:space="preserve"> 1  所有内部管路采用法兰与本体联接，采用</w:t>
      </w:r>
      <w:r>
        <w:rPr>
          <w:rFonts w:hint="eastAsia"/>
          <w:color w:val="000000"/>
          <w:sz w:val="21"/>
          <w:szCs w:val="21"/>
          <w:lang w:eastAsia="zh-CN"/>
        </w:rPr>
        <w:t>不锈钢材质国标管道，</w:t>
      </w:r>
      <w:r>
        <w:rPr>
          <w:rFonts w:hint="eastAsia"/>
          <w:color w:val="000000"/>
          <w:sz w:val="21"/>
          <w:szCs w:val="21"/>
        </w:rPr>
        <w:t xml:space="preserve">考虑到检修和部件更换的便利条件，内部部件的材质均附合规定要求，紧固件等同内部管件材质相当，所有阀门及组件均可拆卸、维修。 </w:t>
      </w:r>
    </w:p>
    <w:p w14:paraId="6023E53F">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2  内部部件固定及加固，能承受水流的冲击。内部出水装置采用316L绕丝水帽。</w:t>
      </w:r>
    </w:p>
    <w:p w14:paraId="4C6E5A96">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3  设备窥视镜的材料是透明的、耐腐蚀的，它的厚度能承受容器的设计压力和试验时的试验压力，窥视镜的内表面与容器的内表面平齐。</w:t>
      </w:r>
    </w:p>
    <w:p w14:paraId="0D202C61">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4  容器的人孔保证检修人员的进出和更换部件的进出。人孔及人孔盖的内表面与容器的内表面平齐。人孔配有人孔盖、垫圈、螺栓、螺母和起吊杆等全套部件。</w:t>
      </w:r>
    </w:p>
    <w:p w14:paraId="1DAA09DC">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5  设备内部进水和集水装置的布水均匀，不应有偏流现象。</w:t>
      </w:r>
    </w:p>
    <w:p w14:paraId="5A6AFB54">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6  所有容器内部装置、管件、部件等均采用304耐腐蚀材质。且在发货前在容器内安装固定好，防止遗漏零件以及在运输过程中的损坏或丢失。设备的材质与设备防腐等级相当。</w:t>
      </w:r>
    </w:p>
    <w:p w14:paraId="4767D96A">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7  设备设置支脚。</w:t>
      </w:r>
      <w:r>
        <w:rPr>
          <w:rFonts w:hint="eastAsia" w:hAnsi="宋体"/>
          <w:color w:val="000000"/>
          <w:sz w:val="21"/>
          <w:szCs w:val="21"/>
        </w:rPr>
        <w:t>（包栝支座地脚螺栓）。</w:t>
      </w:r>
    </w:p>
    <w:p w14:paraId="2DAEEB7F">
      <w:pPr>
        <w:spacing w:line="440" w:lineRule="exact"/>
        <w:rPr>
          <w:rFonts w:hint="eastAsia"/>
          <w:color w:val="000000"/>
          <w:sz w:val="21"/>
          <w:szCs w:val="21"/>
        </w:rPr>
      </w:pPr>
      <w:r>
        <w:rPr>
          <w:color w:val="000000"/>
          <w:sz w:val="21"/>
          <w:szCs w:val="21"/>
        </w:rPr>
        <w:t>2.</w:t>
      </w:r>
      <w:r>
        <w:rPr>
          <w:rFonts w:hint="eastAsia"/>
          <w:color w:val="000000"/>
          <w:sz w:val="21"/>
          <w:szCs w:val="21"/>
        </w:rPr>
        <w:t>4</w:t>
      </w:r>
      <w:r>
        <w:rPr>
          <w:color w:val="000000"/>
          <w:sz w:val="21"/>
          <w:szCs w:val="21"/>
        </w:rPr>
        <w:t xml:space="preserve">.8  </w:t>
      </w:r>
      <w:r>
        <w:rPr>
          <w:rFonts w:hint="eastAsia"/>
          <w:color w:val="000000"/>
          <w:sz w:val="21"/>
          <w:szCs w:val="21"/>
        </w:rPr>
        <w:t>所有设备内外部件除特殊需要外，不允许采用任何塑料材质，但材质能耐所接触介质的腐蚀。</w:t>
      </w:r>
    </w:p>
    <w:p w14:paraId="0EA9EF06">
      <w:pPr>
        <w:spacing w:line="440" w:lineRule="exact"/>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4</w:t>
      </w:r>
      <w:r>
        <w:rPr>
          <w:color w:val="000000"/>
          <w:sz w:val="21"/>
          <w:szCs w:val="21"/>
        </w:rPr>
        <w:t>.</w:t>
      </w:r>
      <w:r>
        <w:rPr>
          <w:rFonts w:hint="eastAsia"/>
          <w:color w:val="000000"/>
          <w:sz w:val="21"/>
          <w:szCs w:val="21"/>
        </w:rPr>
        <w:t>9  设备上用于就地仪表的接管咀与测孔的位置应保证流体介质稳定，测量和读数具有代表性，且便于安装维护，并符合有关规定。</w:t>
      </w:r>
    </w:p>
    <w:p w14:paraId="6F03BE2A">
      <w:pPr>
        <w:spacing w:line="440" w:lineRule="exact"/>
        <w:rPr>
          <w:rFonts w:hint="eastAsia"/>
          <w:color w:val="000000"/>
          <w:sz w:val="21"/>
          <w:szCs w:val="21"/>
        </w:rPr>
      </w:pPr>
      <w:r>
        <w:rPr>
          <w:rFonts w:hint="eastAsia"/>
          <w:color w:val="000000"/>
          <w:sz w:val="21"/>
          <w:szCs w:val="21"/>
        </w:rPr>
        <w:t>2.4.10设备内部填料（包括树脂、石英砂等）由供货商提供，供货商提供的填料数量考虑现场填充时的损耗（约5%）。供货商提供所供填料的具体参数以及所执行的标准。</w:t>
      </w:r>
    </w:p>
    <w:p w14:paraId="499B7459">
      <w:pPr>
        <w:spacing w:line="440" w:lineRule="exact"/>
        <w:rPr>
          <w:rFonts w:hint="eastAsia"/>
          <w:color w:val="000000"/>
          <w:sz w:val="21"/>
          <w:szCs w:val="21"/>
        </w:rPr>
      </w:pPr>
      <w:r>
        <w:rPr>
          <w:rFonts w:hint="eastAsia"/>
          <w:color w:val="000000"/>
          <w:sz w:val="21"/>
          <w:szCs w:val="21"/>
        </w:rPr>
        <w:t>2.4.11  全自动钠离子交换器制造技术要求</w:t>
      </w:r>
    </w:p>
    <w:p w14:paraId="5668D910">
      <w:pPr>
        <w:spacing w:line="440" w:lineRule="exact"/>
        <w:rPr>
          <w:rFonts w:hint="eastAsia"/>
          <w:color w:val="auto"/>
          <w:sz w:val="21"/>
          <w:szCs w:val="21"/>
        </w:rPr>
      </w:pPr>
      <w:r>
        <w:rPr>
          <w:rFonts w:hint="eastAsia"/>
          <w:color w:val="000000"/>
          <w:sz w:val="21"/>
          <w:szCs w:val="21"/>
        </w:rPr>
        <w:t>2.4.11.1  每套全自动钠离子交换器为双罐结构；双罐可单独或同时产水，禁止同时再生，应提供自动再生进盐系统；双罐带手动旁路，可实现双罐隔离后补生水。</w:t>
      </w:r>
    </w:p>
    <w:p w14:paraId="2016E2DE">
      <w:pPr>
        <w:spacing w:line="440" w:lineRule="exact"/>
        <w:rPr>
          <w:rFonts w:hint="eastAsia"/>
          <w:color w:val="000000"/>
          <w:sz w:val="21"/>
          <w:szCs w:val="21"/>
        </w:rPr>
      </w:pPr>
      <w:r>
        <w:rPr>
          <w:rFonts w:hint="eastAsia"/>
          <w:color w:val="000000"/>
          <w:sz w:val="21"/>
          <w:szCs w:val="21"/>
        </w:rPr>
        <w:t>2.4.11.2树脂填料层高度满足运行要求。</w:t>
      </w:r>
    </w:p>
    <w:p w14:paraId="5B44EC67">
      <w:pPr>
        <w:spacing w:line="440" w:lineRule="exact"/>
        <w:rPr>
          <w:rFonts w:hint="eastAsia"/>
          <w:color w:val="000000"/>
          <w:sz w:val="21"/>
          <w:szCs w:val="21"/>
        </w:rPr>
      </w:pPr>
      <w:r>
        <w:rPr>
          <w:rFonts w:hint="eastAsia"/>
          <w:color w:val="000000"/>
          <w:sz w:val="21"/>
          <w:szCs w:val="21"/>
        </w:rPr>
        <w:t>2.4.11.3  全自动钠离子交换器要求能够实现全自动运行和反洗再生，能够根据软水箱液位自动控制设备的</w:t>
      </w:r>
      <w:r>
        <w:rPr>
          <w:rFonts w:hint="eastAsia"/>
          <w:color w:val="000000"/>
          <w:sz w:val="21"/>
          <w:szCs w:val="21"/>
          <w:lang w:eastAsia="zh-CN"/>
        </w:rPr>
        <w:t>启停</w:t>
      </w:r>
      <w:r>
        <w:rPr>
          <w:rFonts w:hint="eastAsia"/>
          <w:color w:val="000000"/>
          <w:sz w:val="21"/>
          <w:szCs w:val="21"/>
        </w:rPr>
        <w:t>。供货方必须配备用以实现上述自动功能的全套装置，包括自动阀门、压力、仪表等。</w:t>
      </w:r>
    </w:p>
    <w:p w14:paraId="44889589">
      <w:pPr>
        <w:spacing w:line="440" w:lineRule="exact"/>
        <w:rPr>
          <w:rFonts w:hint="eastAsia" w:hAnsi="宋体"/>
          <w:color w:val="000000"/>
          <w:sz w:val="21"/>
          <w:szCs w:val="21"/>
        </w:rPr>
      </w:pPr>
      <w:r>
        <w:rPr>
          <w:rFonts w:hint="eastAsia"/>
          <w:color w:val="000000"/>
          <w:sz w:val="21"/>
          <w:szCs w:val="21"/>
        </w:rPr>
        <w:t>2.4.11.4  全自动钠离子交换器设计成单元形式，罐体及管道、阀门和附件等组装在一个本体上，并将单元内阀门管道、仪表等（包括电控柜）连接好。</w:t>
      </w:r>
      <w:r>
        <w:rPr>
          <w:rFonts w:hint="eastAsia" w:hAnsi="宋体"/>
          <w:color w:val="000000"/>
          <w:sz w:val="21"/>
          <w:szCs w:val="21"/>
        </w:rPr>
        <w:t>设备支架必须进行防腐处理。</w:t>
      </w:r>
    </w:p>
    <w:p w14:paraId="347BE9E5">
      <w:pPr>
        <w:spacing w:line="440" w:lineRule="exact"/>
        <w:rPr>
          <w:rFonts w:hint="eastAsia"/>
          <w:color w:val="000000"/>
          <w:sz w:val="21"/>
          <w:szCs w:val="21"/>
        </w:rPr>
      </w:pPr>
      <w:r>
        <w:rPr>
          <w:rFonts w:hint="eastAsia" w:hAnsi="宋体"/>
          <w:color w:val="000000"/>
          <w:sz w:val="21"/>
          <w:szCs w:val="21"/>
        </w:rPr>
        <w:t>2.4.11.5</w:t>
      </w:r>
      <w:r>
        <w:rPr>
          <w:rFonts w:hint="eastAsia"/>
          <w:color w:val="000000"/>
          <w:sz w:val="21"/>
          <w:szCs w:val="21"/>
        </w:rPr>
        <w:t>交换器进水管需配备一个管道式过滤器（Y型过滤器），用以去除管道中大的颗粒、杂质。</w:t>
      </w:r>
    </w:p>
    <w:p w14:paraId="5D8C0346">
      <w:pPr>
        <w:spacing w:line="440" w:lineRule="exact"/>
        <w:ind w:firstLine="480"/>
        <w:rPr>
          <w:rFonts w:hint="eastAsia"/>
          <w:color w:val="000000"/>
          <w:sz w:val="21"/>
          <w:szCs w:val="21"/>
        </w:rPr>
      </w:pPr>
      <w:r>
        <w:rPr>
          <w:rFonts w:hint="eastAsia"/>
          <w:color w:val="000000"/>
          <w:sz w:val="21"/>
          <w:szCs w:val="21"/>
        </w:rPr>
        <w:t>目数：60目</w:t>
      </w:r>
    </w:p>
    <w:p w14:paraId="22938A98">
      <w:pPr>
        <w:spacing w:line="440" w:lineRule="exact"/>
        <w:ind w:firstLine="480"/>
        <w:rPr>
          <w:rFonts w:hint="eastAsia"/>
          <w:color w:val="000000"/>
          <w:sz w:val="21"/>
          <w:szCs w:val="21"/>
        </w:rPr>
      </w:pPr>
      <w:r>
        <w:rPr>
          <w:rFonts w:hint="eastAsia"/>
          <w:color w:val="000000"/>
          <w:sz w:val="21"/>
          <w:szCs w:val="21"/>
        </w:rPr>
        <w:t>材质：碳钢防腐</w:t>
      </w:r>
    </w:p>
    <w:p w14:paraId="2C5F96C8">
      <w:pPr>
        <w:spacing w:line="440" w:lineRule="exact"/>
        <w:ind w:firstLine="480"/>
        <w:rPr>
          <w:rFonts w:hint="eastAsia"/>
          <w:color w:val="000000"/>
          <w:sz w:val="21"/>
          <w:szCs w:val="21"/>
        </w:rPr>
      </w:pPr>
      <w:r>
        <w:rPr>
          <w:rFonts w:hint="eastAsia"/>
          <w:color w:val="000000"/>
          <w:sz w:val="21"/>
          <w:szCs w:val="21"/>
        </w:rPr>
        <w:t>过流部件：不锈钢</w:t>
      </w:r>
    </w:p>
    <w:p w14:paraId="48044D8B">
      <w:pPr>
        <w:spacing w:line="440" w:lineRule="exact"/>
        <w:rPr>
          <w:rFonts w:hint="eastAsia" w:hAnsi="宋体"/>
          <w:color w:val="000000"/>
          <w:sz w:val="21"/>
          <w:szCs w:val="21"/>
        </w:rPr>
      </w:pPr>
      <w:r>
        <w:rPr>
          <w:rFonts w:hint="eastAsia" w:hAnsi="宋体"/>
          <w:color w:val="000000"/>
          <w:sz w:val="21"/>
          <w:szCs w:val="21"/>
        </w:rPr>
        <w:t>2.4.11.6设备在满足上述要求后，需再配置2.0 m×1.0m×1.2 m容积的溶盐箱；溶盐箱材质</w:t>
      </w:r>
      <w:r>
        <w:rPr>
          <w:rFonts w:hint="eastAsia" w:hAnsi="宋体"/>
          <w:color w:val="000000"/>
          <w:sz w:val="21"/>
          <w:szCs w:val="21"/>
          <w:lang w:eastAsia="zh-CN"/>
        </w:rPr>
        <w:t>为高分子</w:t>
      </w:r>
      <w:r>
        <w:rPr>
          <w:rFonts w:hint="eastAsia" w:hAnsi="宋体"/>
          <w:color w:val="000000"/>
          <w:sz w:val="21"/>
          <w:szCs w:val="21"/>
          <w:lang w:val="en-US" w:eastAsia="zh-CN"/>
        </w:rPr>
        <w:t>PE</w:t>
      </w:r>
      <w:r>
        <w:rPr>
          <w:rFonts w:hint="eastAsia" w:hAnsi="宋体"/>
          <w:color w:val="000000"/>
          <w:sz w:val="21"/>
          <w:szCs w:val="21"/>
        </w:rPr>
        <w:t>，</w:t>
      </w:r>
      <w:r>
        <w:rPr>
          <w:rFonts w:hint="eastAsia" w:hAnsi="宋体"/>
          <w:color w:val="000000"/>
          <w:sz w:val="21"/>
          <w:szCs w:val="21"/>
          <w:lang w:eastAsia="zh-CN"/>
        </w:rPr>
        <w:t>壁厚</w:t>
      </w:r>
      <w:r>
        <w:rPr>
          <w:rFonts w:hint="eastAsia" w:hAnsi="宋体"/>
          <w:color w:val="000000"/>
          <w:sz w:val="21"/>
          <w:szCs w:val="21"/>
          <w:lang w:val="en-US" w:eastAsia="zh-CN"/>
        </w:rPr>
        <w:t>16mm</w:t>
      </w:r>
      <w:r>
        <w:rPr>
          <w:rFonts w:hint="eastAsia" w:hAnsi="宋体"/>
          <w:color w:val="000000"/>
          <w:sz w:val="21"/>
          <w:szCs w:val="21"/>
        </w:rPr>
        <w:t>，溶盐箱内部结构分溶盐池、饱和盐水池两部分，池内</w:t>
      </w:r>
      <w:r>
        <w:rPr>
          <w:rFonts w:hint="eastAsia" w:hAnsi="宋体"/>
          <w:color w:val="000000"/>
          <w:sz w:val="21"/>
          <w:szCs w:val="21"/>
          <w:lang w:eastAsia="zh-CN"/>
        </w:rPr>
        <w:t>具备</w:t>
      </w:r>
      <w:r>
        <w:rPr>
          <w:rFonts w:hint="eastAsia" w:hAnsi="宋体"/>
          <w:color w:val="000000"/>
          <w:sz w:val="21"/>
          <w:szCs w:val="21"/>
        </w:rPr>
        <w:t>过滤、排污清理</w:t>
      </w:r>
      <w:r>
        <w:rPr>
          <w:rFonts w:hint="eastAsia" w:hAnsi="宋体"/>
          <w:color w:val="000000"/>
          <w:sz w:val="21"/>
          <w:szCs w:val="21"/>
          <w:lang w:eastAsia="zh-CN"/>
        </w:rPr>
        <w:t>设</w:t>
      </w:r>
      <w:r>
        <w:rPr>
          <w:rFonts w:hint="eastAsia" w:hAnsi="宋体"/>
          <w:color w:val="000000"/>
          <w:sz w:val="21"/>
          <w:szCs w:val="21"/>
        </w:rPr>
        <w:t>施。</w:t>
      </w:r>
    </w:p>
    <w:p w14:paraId="10AF9F48">
      <w:pPr>
        <w:spacing w:line="440" w:lineRule="exact"/>
        <w:rPr>
          <w:rFonts w:hint="eastAsia" w:hAnsi="宋体"/>
          <w:color w:val="000000"/>
          <w:sz w:val="21"/>
          <w:szCs w:val="21"/>
        </w:rPr>
      </w:pPr>
      <w:r>
        <w:rPr>
          <w:rFonts w:hint="eastAsia" w:hAnsi="宋体"/>
          <w:color w:val="000000"/>
          <w:sz w:val="21"/>
          <w:szCs w:val="21"/>
        </w:rPr>
        <w:t>再生流程：自来水—溶盐箱——软化器吸盐再生；</w:t>
      </w:r>
    </w:p>
    <w:p w14:paraId="1423A55A">
      <w:pPr>
        <w:spacing w:line="440" w:lineRule="exact"/>
        <w:rPr>
          <w:rFonts w:hint="eastAsia" w:hAnsi="宋体"/>
          <w:color w:val="000000"/>
          <w:sz w:val="21"/>
          <w:szCs w:val="21"/>
        </w:rPr>
      </w:pPr>
      <w:r>
        <w:rPr>
          <w:rFonts w:hint="eastAsia" w:hAnsi="宋体"/>
          <w:color w:val="000000"/>
          <w:sz w:val="21"/>
          <w:szCs w:val="21"/>
        </w:rPr>
        <w:t>溶盐箱设置有隔板，一侧为</w:t>
      </w:r>
      <w:r>
        <w:rPr>
          <w:rFonts w:hint="eastAsia" w:hAnsi="宋体"/>
          <w:color w:val="000000"/>
          <w:sz w:val="21"/>
          <w:szCs w:val="21"/>
          <w:lang w:eastAsia="zh-CN"/>
        </w:rPr>
        <w:t>溶盐</w:t>
      </w:r>
      <w:r>
        <w:rPr>
          <w:rFonts w:hint="eastAsia" w:hAnsi="宋体"/>
          <w:color w:val="000000"/>
          <w:sz w:val="21"/>
          <w:szCs w:val="21"/>
        </w:rPr>
        <w:t>区，另一侧为饱和盐水区；</w:t>
      </w:r>
    </w:p>
    <w:p w14:paraId="07112DAD">
      <w:pPr>
        <w:spacing w:line="440" w:lineRule="exact"/>
        <w:rPr>
          <w:rFonts w:hint="eastAsia" w:hAnsi="宋体"/>
          <w:color w:val="000000"/>
          <w:sz w:val="21"/>
          <w:szCs w:val="21"/>
        </w:rPr>
      </w:pPr>
      <w:r>
        <w:rPr>
          <w:rFonts w:hint="eastAsia" w:hAnsi="宋体"/>
          <w:color w:val="000000"/>
          <w:sz w:val="21"/>
          <w:szCs w:val="21"/>
        </w:rPr>
        <w:t>溶盐澄清区</w:t>
      </w:r>
      <w:r>
        <w:rPr>
          <w:rFonts w:hint="eastAsia"/>
          <w:color w:val="000000"/>
          <w:sz w:val="21"/>
          <w:szCs w:val="21"/>
        </w:rPr>
        <w:t>设置浮球液位控制器；</w:t>
      </w:r>
    </w:p>
    <w:p w14:paraId="36A3CE75">
      <w:pPr>
        <w:spacing w:line="440" w:lineRule="exact"/>
        <w:rPr>
          <w:rFonts w:hint="eastAsia" w:hAnsi="宋体"/>
          <w:color w:val="000000"/>
          <w:sz w:val="21"/>
          <w:szCs w:val="21"/>
        </w:rPr>
      </w:pPr>
      <w:r>
        <w:rPr>
          <w:rFonts w:hint="eastAsia" w:hAnsi="宋体"/>
          <w:color w:val="000000"/>
          <w:sz w:val="21"/>
          <w:szCs w:val="21"/>
        </w:rPr>
        <w:t>2.4.11.7在软化器出水或软化水箱出口增加树脂捕捉器</w:t>
      </w:r>
    </w:p>
    <w:p w14:paraId="7EDD4EEC">
      <w:pPr>
        <w:pStyle w:val="3"/>
        <w:spacing w:line="440" w:lineRule="exact"/>
        <w:rPr>
          <w:rFonts w:hint="eastAsia" w:ascii="Times New Roman" w:hAnsi="Times New Roman"/>
          <w:b w:val="0"/>
          <w:bCs w:val="0"/>
          <w:color w:val="000000"/>
          <w:sz w:val="21"/>
          <w:szCs w:val="21"/>
        </w:rPr>
      </w:pPr>
      <w:bookmarkStart w:id="30" w:name="_Toc271049307"/>
      <w:r>
        <w:rPr>
          <w:rFonts w:hint="eastAsia" w:ascii="Times New Roman" w:hAnsi="Times New Roman"/>
          <w:b w:val="0"/>
          <w:bCs w:val="0"/>
          <w:color w:val="000000"/>
          <w:sz w:val="21"/>
          <w:szCs w:val="21"/>
        </w:rPr>
        <w:t>2.5 仪表及控制设备要求</w:t>
      </w:r>
      <w:bookmarkEnd w:id="30"/>
    </w:p>
    <w:p w14:paraId="1D8A6084">
      <w:pPr>
        <w:tabs>
          <w:tab w:val="left" w:pos="576"/>
          <w:tab w:val="left" w:pos="993"/>
        </w:tabs>
        <w:snapToGrid w:val="0"/>
        <w:spacing w:line="440" w:lineRule="exact"/>
        <w:textAlignment w:val="auto"/>
        <w:rPr>
          <w:rFonts w:hint="eastAsia" w:hAnsi="宋体"/>
          <w:snapToGrid w:val="0"/>
          <w:color w:val="000000"/>
          <w:sz w:val="21"/>
          <w:szCs w:val="21"/>
        </w:rPr>
      </w:pPr>
      <w:r>
        <w:rPr>
          <w:rFonts w:hint="eastAsia" w:hAnsi="宋体"/>
          <w:snapToGrid w:val="0"/>
          <w:color w:val="000000"/>
          <w:sz w:val="21"/>
          <w:szCs w:val="21"/>
        </w:rPr>
        <w:t>2.5.1 总则</w:t>
      </w:r>
    </w:p>
    <w:p w14:paraId="06E5377A">
      <w:pPr>
        <w:numPr>
          <w:ilvl w:val="0"/>
          <w:numId w:val="1"/>
        </w:numPr>
        <w:tabs>
          <w:tab w:val="left" w:pos="576"/>
          <w:tab w:val="left" w:pos="720"/>
        </w:tabs>
        <w:snapToGrid w:val="0"/>
        <w:spacing w:line="440" w:lineRule="exact"/>
        <w:jc w:val="both"/>
        <w:textAlignment w:val="auto"/>
        <w:rPr>
          <w:rFonts w:hint="eastAsia" w:hAnsi="宋体"/>
          <w:snapToGrid w:val="0"/>
          <w:color w:val="000000"/>
          <w:sz w:val="21"/>
          <w:szCs w:val="21"/>
        </w:rPr>
      </w:pPr>
      <w:r>
        <w:rPr>
          <w:rFonts w:hint="eastAsia" w:hAnsi="宋体"/>
          <w:snapToGrid w:val="0"/>
          <w:color w:val="000000"/>
          <w:sz w:val="21"/>
          <w:szCs w:val="21"/>
        </w:rPr>
        <w:t xml:space="preserve"> 提供的所有仪表和控制设备均具有高度的可用性、可靠性、稳定性、可操作性和可维护性。满足要求的功能和性能及电厂工艺系统的要求。</w:t>
      </w:r>
    </w:p>
    <w:p w14:paraId="3BBF422F">
      <w:pPr>
        <w:numPr>
          <w:ilvl w:val="0"/>
          <w:numId w:val="1"/>
        </w:numPr>
        <w:tabs>
          <w:tab w:val="left" w:pos="576"/>
        </w:tabs>
        <w:snapToGrid w:val="0"/>
        <w:spacing w:line="440" w:lineRule="exact"/>
        <w:ind w:left="0" w:firstLine="0"/>
        <w:jc w:val="both"/>
        <w:textAlignment w:val="auto"/>
        <w:rPr>
          <w:rFonts w:hint="eastAsia" w:hAnsi="宋体"/>
          <w:snapToGrid w:val="0"/>
          <w:color w:val="000000"/>
          <w:sz w:val="21"/>
          <w:szCs w:val="21"/>
        </w:rPr>
      </w:pPr>
      <w:r>
        <w:rPr>
          <w:rFonts w:hint="eastAsia" w:hAnsi="宋体"/>
          <w:snapToGrid w:val="0"/>
          <w:color w:val="000000"/>
          <w:sz w:val="21"/>
          <w:szCs w:val="21"/>
        </w:rPr>
        <w:t xml:space="preserve"> 所有仪表和控制设备均有产品出厂检验合格证。</w:t>
      </w:r>
    </w:p>
    <w:p w14:paraId="522214F0">
      <w:pPr>
        <w:numPr>
          <w:ilvl w:val="0"/>
          <w:numId w:val="1"/>
        </w:numPr>
        <w:tabs>
          <w:tab w:val="left" w:pos="576"/>
        </w:tabs>
        <w:snapToGrid w:val="0"/>
        <w:spacing w:line="440" w:lineRule="exact"/>
        <w:ind w:left="0" w:firstLine="0"/>
        <w:jc w:val="both"/>
        <w:textAlignment w:val="auto"/>
        <w:rPr>
          <w:rFonts w:hAnsi="宋体"/>
          <w:snapToGrid w:val="0"/>
          <w:color w:val="000000"/>
          <w:sz w:val="21"/>
          <w:szCs w:val="21"/>
        </w:rPr>
      </w:pPr>
      <w:r>
        <w:rPr>
          <w:rFonts w:hint="eastAsia" w:hAnsi="宋体"/>
          <w:snapToGrid w:val="0"/>
          <w:color w:val="000000"/>
          <w:sz w:val="21"/>
          <w:szCs w:val="21"/>
        </w:rPr>
        <w:t xml:space="preserve"> 所有显示仪表刻度单位符合中华人民共和国法定计量单位。如：</w:t>
      </w:r>
    </w:p>
    <w:p w14:paraId="729B8A4C">
      <w:pPr>
        <w:tabs>
          <w:tab w:val="left" w:pos="576"/>
        </w:tabs>
        <w:snapToGrid w:val="0"/>
        <w:spacing w:line="440" w:lineRule="exact"/>
        <w:ind w:firstLine="420" w:firstLineChars="200"/>
        <w:rPr>
          <w:rFonts w:hAnsi="宋体"/>
          <w:snapToGrid w:val="0"/>
          <w:color w:val="000000"/>
          <w:sz w:val="21"/>
          <w:szCs w:val="21"/>
        </w:rPr>
      </w:pPr>
      <w:r>
        <w:rPr>
          <w:rFonts w:hint="eastAsia" w:hAnsi="宋体"/>
          <w:snapToGrid w:val="0"/>
          <w:color w:val="000000"/>
          <w:sz w:val="21"/>
          <w:szCs w:val="21"/>
        </w:rPr>
        <w:tab/>
      </w:r>
      <w:r>
        <w:rPr>
          <w:rFonts w:hint="eastAsia" w:hAnsi="宋体"/>
          <w:snapToGrid w:val="0"/>
          <w:color w:val="000000"/>
          <w:sz w:val="21"/>
          <w:szCs w:val="21"/>
        </w:rPr>
        <w:t>压力，差压</w:t>
      </w:r>
      <w:r>
        <w:rPr>
          <w:rFonts w:hAnsi="宋体"/>
          <w:snapToGrid w:val="0"/>
          <w:color w:val="000000"/>
          <w:sz w:val="21"/>
          <w:szCs w:val="21"/>
        </w:rPr>
        <w:tab/>
      </w:r>
      <w:r>
        <w:rPr>
          <w:rFonts w:hAnsi="宋体"/>
          <w:snapToGrid w:val="0"/>
          <w:color w:val="000000"/>
          <w:sz w:val="21"/>
          <w:szCs w:val="21"/>
        </w:rPr>
        <w:t>Pa</w:t>
      </w:r>
      <w:r>
        <w:rPr>
          <w:rFonts w:hint="eastAsia" w:hAnsi="宋体"/>
          <w:snapToGrid w:val="0"/>
          <w:color w:val="000000"/>
          <w:sz w:val="21"/>
          <w:szCs w:val="21"/>
        </w:rPr>
        <w:t xml:space="preserve">  </w:t>
      </w:r>
      <w:r>
        <w:rPr>
          <w:rFonts w:hAnsi="宋体"/>
          <w:snapToGrid w:val="0"/>
          <w:color w:val="000000"/>
          <w:sz w:val="21"/>
          <w:szCs w:val="21"/>
        </w:rPr>
        <w:t xml:space="preserve"> </w:t>
      </w:r>
      <w:r>
        <w:rPr>
          <w:rFonts w:hint="eastAsia" w:hAnsi="宋体"/>
          <w:snapToGrid w:val="0"/>
          <w:color w:val="000000"/>
          <w:sz w:val="21"/>
          <w:szCs w:val="21"/>
        </w:rPr>
        <w:t>kP</w:t>
      </w:r>
      <w:r>
        <w:rPr>
          <w:rFonts w:hAnsi="宋体"/>
          <w:snapToGrid w:val="0"/>
          <w:color w:val="000000"/>
          <w:sz w:val="21"/>
          <w:szCs w:val="21"/>
        </w:rPr>
        <w:t>a</w:t>
      </w:r>
      <w:r>
        <w:rPr>
          <w:rFonts w:hAnsi="宋体"/>
          <w:snapToGrid w:val="0"/>
          <w:color w:val="000000"/>
          <w:sz w:val="21"/>
          <w:szCs w:val="21"/>
        </w:rPr>
        <w:tab/>
      </w:r>
      <w:r>
        <w:rPr>
          <w:rFonts w:hint="eastAsia" w:hAnsi="宋体"/>
          <w:snapToGrid w:val="0"/>
          <w:color w:val="000000"/>
          <w:sz w:val="21"/>
          <w:szCs w:val="21"/>
        </w:rPr>
        <w:t xml:space="preserve"> </w:t>
      </w:r>
      <w:r>
        <w:rPr>
          <w:rFonts w:hAnsi="宋体"/>
          <w:snapToGrid w:val="0"/>
          <w:color w:val="000000"/>
          <w:sz w:val="21"/>
          <w:szCs w:val="21"/>
        </w:rPr>
        <w:t>M</w:t>
      </w:r>
      <w:r>
        <w:rPr>
          <w:rFonts w:hint="eastAsia" w:hAnsi="宋体"/>
          <w:snapToGrid w:val="0"/>
          <w:color w:val="000000"/>
          <w:sz w:val="21"/>
          <w:szCs w:val="21"/>
        </w:rPr>
        <w:t>P</w:t>
      </w:r>
      <w:r>
        <w:rPr>
          <w:rFonts w:hAnsi="宋体"/>
          <w:snapToGrid w:val="0"/>
          <w:color w:val="000000"/>
          <w:sz w:val="21"/>
          <w:szCs w:val="21"/>
        </w:rPr>
        <w:t>a</w:t>
      </w:r>
    </w:p>
    <w:p w14:paraId="3334BCF6">
      <w:pPr>
        <w:tabs>
          <w:tab w:val="left" w:pos="576"/>
        </w:tabs>
        <w:snapToGrid w:val="0"/>
        <w:spacing w:line="440" w:lineRule="exact"/>
        <w:ind w:firstLine="420" w:firstLineChars="200"/>
        <w:rPr>
          <w:rFonts w:hAnsi="宋体"/>
          <w:snapToGrid w:val="0"/>
          <w:color w:val="000000"/>
          <w:sz w:val="21"/>
          <w:szCs w:val="21"/>
        </w:rPr>
      </w:pPr>
      <w:r>
        <w:rPr>
          <w:rFonts w:hint="eastAsia" w:hAnsi="宋体"/>
          <w:snapToGrid w:val="0"/>
          <w:color w:val="000000"/>
          <w:sz w:val="21"/>
          <w:szCs w:val="21"/>
        </w:rPr>
        <w:tab/>
      </w:r>
      <w:r>
        <w:rPr>
          <w:rFonts w:hint="eastAsia" w:hAnsi="宋体"/>
          <w:snapToGrid w:val="0"/>
          <w:color w:val="000000"/>
          <w:sz w:val="21"/>
          <w:szCs w:val="21"/>
        </w:rPr>
        <w:t>温度</w:t>
      </w:r>
      <w:r>
        <w:rPr>
          <w:rFonts w:hAnsi="宋体"/>
          <w:snapToGrid w:val="0"/>
          <w:color w:val="000000"/>
          <w:sz w:val="21"/>
          <w:szCs w:val="21"/>
        </w:rPr>
        <w:tab/>
      </w:r>
      <w:r>
        <w:rPr>
          <w:rFonts w:hAnsi="宋体"/>
          <w:snapToGrid w:val="0"/>
          <w:color w:val="000000"/>
          <w:sz w:val="21"/>
          <w:szCs w:val="21"/>
        </w:rPr>
        <w:tab/>
      </w:r>
      <w:r>
        <w:rPr>
          <w:rFonts w:hAnsi="宋体"/>
          <w:snapToGrid w:val="0"/>
          <w:color w:val="000000"/>
          <w:sz w:val="21"/>
          <w:szCs w:val="21"/>
        </w:rPr>
        <w:tab/>
      </w:r>
      <w:r>
        <w:rPr>
          <w:rFonts w:hint="eastAsia" w:hAnsi="宋体"/>
          <w:snapToGrid w:val="0"/>
          <w:color w:val="000000"/>
          <w:sz w:val="21"/>
          <w:szCs w:val="21"/>
        </w:rPr>
        <w:t>℃</w:t>
      </w:r>
    </w:p>
    <w:p w14:paraId="7B6CE82A">
      <w:pPr>
        <w:tabs>
          <w:tab w:val="left" w:pos="576"/>
        </w:tabs>
        <w:snapToGrid w:val="0"/>
        <w:spacing w:line="440" w:lineRule="exact"/>
        <w:ind w:firstLine="420" w:firstLineChars="200"/>
        <w:rPr>
          <w:rFonts w:hint="eastAsia" w:hAnsi="宋体"/>
          <w:snapToGrid w:val="0"/>
          <w:color w:val="000000"/>
          <w:sz w:val="21"/>
          <w:szCs w:val="21"/>
        </w:rPr>
      </w:pPr>
      <w:r>
        <w:rPr>
          <w:rFonts w:hint="eastAsia" w:hAnsi="宋体"/>
          <w:snapToGrid w:val="0"/>
          <w:color w:val="000000"/>
          <w:sz w:val="21"/>
          <w:szCs w:val="21"/>
        </w:rPr>
        <w:tab/>
      </w:r>
      <w:r>
        <w:rPr>
          <w:rFonts w:hint="eastAsia" w:hAnsi="宋体"/>
          <w:snapToGrid w:val="0"/>
          <w:color w:val="000000"/>
          <w:sz w:val="21"/>
          <w:szCs w:val="21"/>
        </w:rPr>
        <w:t>流量</w:t>
      </w:r>
      <w:r>
        <w:rPr>
          <w:rFonts w:hAnsi="宋体"/>
          <w:snapToGrid w:val="0"/>
          <w:color w:val="000000"/>
          <w:sz w:val="21"/>
          <w:szCs w:val="21"/>
        </w:rPr>
        <w:tab/>
      </w:r>
      <w:r>
        <w:rPr>
          <w:rFonts w:hAnsi="宋体"/>
          <w:snapToGrid w:val="0"/>
          <w:color w:val="000000"/>
          <w:sz w:val="21"/>
          <w:szCs w:val="21"/>
        </w:rPr>
        <w:tab/>
      </w:r>
      <w:r>
        <w:rPr>
          <w:rFonts w:hAnsi="宋体"/>
          <w:snapToGrid w:val="0"/>
          <w:color w:val="000000"/>
          <w:sz w:val="21"/>
          <w:szCs w:val="21"/>
        </w:rPr>
        <w:tab/>
      </w:r>
      <w:r>
        <w:rPr>
          <w:rFonts w:hAnsi="宋体"/>
          <w:snapToGrid w:val="0"/>
          <w:color w:val="000000"/>
          <w:sz w:val="21"/>
          <w:szCs w:val="21"/>
        </w:rPr>
        <w:t>t/h</w:t>
      </w:r>
      <w:r>
        <w:rPr>
          <w:rFonts w:hAnsi="宋体"/>
          <w:snapToGrid w:val="0"/>
          <w:color w:val="000000"/>
          <w:sz w:val="21"/>
          <w:szCs w:val="21"/>
        </w:rPr>
        <w:tab/>
      </w:r>
      <w:r>
        <w:rPr>
          <w:rFonts w:hAnsi="宋体"/>
          <w:snapToGrid w:val="0"/>
          <w:color w:val="000000"/>
          <w:sz w:val="21"/>
          <w:szCs w:val="21"/>
        </w:rPr>
        <w:tab/>
      </w:r>
      <w:r>
        <w:rPr>
          <w:rFonts w:hAnsi="宋体"/>
          <w:snapToGrid w:val="0"/>
          <w:color w:val="000000"/>
          <w:sz w:val="21"/>
          <w:szCs w:val="21"/>
        </w:rPr>
        <w:t>m</w:t>
      </w:r>
      <w:r>
        <w:rPr>
          <w:rFonts w:hAnsi="宋体"/>
          <w:snapToGrid w:val="0"/>
          <w:color w:val="000000"/>
          <w:sz w:val="21"/>
          <w:szCs w:val="21"/>
          <w:vertAlign w:val="superscript"/>
        </w:rPr>
        <w:t>3</w:t>
      </w:r>
      <w:r>
        <w:rPr>
          <w:rFonts w:hAnsi="宋体"/>
          <w:snapToGrid w:val="0"/>
          <w:color w:val="000000"/>
          <w:sz w:val="21"/>
          <w:szCs w:val="21"/>
        </w:rPr>
        <w:t>/h</w:t>
      </w:r>
    </w:p>
    <w:p w14:paraId="0BA0B21C">
      <w:pPr>
        <w:numPr>
          <w:ilvl w:val="0"/>
          <w:numId w:val="1"/>
        </w:numPr>
        <w:tabs>
          <w:tab w:val="left" w:pos="576"/>
        </w:tabs>
        <w:snapToGrid w:val="0"/>
        <w:spacing w:line="440" w:lineRule="exact"/>
        <w:ind w:left="0" w:firstLine="0"/>
        <w:jc w:val="both"/>
        <w:textAlignment w:val="auto"/>
        <w:rPr>
          <w:rFonts w:hint="eastAsia" w:hAnsi="宋体"/>
          <w:snapToGrid w:val="0"/>
          <w:color w:val="000000"/>
          <w:sz w:val="21"/>
          <w:szCs w:val="21"/>
        </w:rPr>
      </w:pPr>
      <w:r>
        <w:rPr>
          <w:rFonts w:hint="eastAsia" w:hAnsi="宋体"/>
          <w:snapToGrid w:val="0"/>
          <w:color w:val="000000"/>
          <w:sz w:val="21"/>
          <w:szCs w:val="21"/>
        </w:rPr>
        <w:t>应用在危险场合的仪表应采用防爆型。</w:t>
      </w:r>
    </w:p>
    <w:p w14:paraId="5CEAE5B0">
      <w:pPr>
        <w:numPr>
          <w:ilvl w:val="0"/>
          <w:numId w:val="1"/>
        </w:numPr>
        <w:tabs>
          <w:tab w:val="left" w:pos="576"/>
        </w:tabs>
        <w:snapToGrid w:val="0"/>
        <w:spacing w:line="440" w:lineRule="exact"/>
        <w:ind w:left="0" w:firstLine="0"/>
        <w:jc w:val="both"/>
        <w:textAlignment w:val="auto"/>
        <w:rPr>
          <w:rFonts w:hint="eastAsia" w:hAnsi="宋体"/>
          <w:snapToGrid w:val="0"/>
          <w:color w:val="000000"/>
          <w:sz w:val="21"/>
          <w:szCs w:val="21"/>
        </w:rPr>
      </w:pPr>
      <w:r>
        <w:rPr>
          <w:rFonts w:hint="eastAsia" w:hAnsi="宋体"/>
          <w:snapToGrid w:val="0"/>
          <w:color w:val="000000"/>
          <w:sz w:val="21"/>
          <w:szCs w:val="21"/>
        </w:rPr>
        <w:t>每台仪表具有不锈钢铭牌，标注型号、规格、设计编号。</w:t>
      </w:r>
    </w:p>
    <w:p w14:paraId="383F5421">
      <w:pPr>
        <w:tabs>
          <w:tab w:val="left" w:pos="576"/>
          <w:tab w:val="left" w:pos="1146"/>
        </w:tabs>
        <w:snapToGrid w:val="0"/>
        <w:spacing w:line="440" w:lineRule="exact"/>
        <w:textAlignment w:val="auto"/>
        <w:rPr>
          <w:rFonts w:hint="eastAsia" w:hAnsi="宋体"/>
          <w:snapToGrid w:val="0"/>
          <w:color w:val="000000"/>
          <w:sz w:val="21"/>
          <w:szCs w:val="21"/>
        </w:rPr>
      </w:pPr>
      <w:r>
        <w:rPr>
          <w:rFonts w:hint="eastAsia" w:hAnsi="宋体"/>
          <w:snapToGrid w:val="0"/>
          <w:color w:val="000000"/>
          <w:sz w:val="21"/>
          <w:szCs w:val="21"/>
        </w:rPr>
        <w:t>2.5.2 就地指示仪表</w:t>
      </w:r>
    </w:p>
    <w:p w14:paraId="6F3216FE">
      <w:pPr>
        <w:tabs>
          <w:tab w:val="left" w:pos="576"/>
        </w:tabs>
        <w:snapToGrid w:val="0"/>
        <w:spacing w:line="440" w:lineRule="exact"/>
        <w:ind w:firstLine="420" w:firstLineChars="200"/>
        <w:rPr>
          <w:rFonts w:hint="eastAsia" w:ascii="宋体" w:hAnsi="Arial" w:cs="宋体"/>
          <w:sz w:val="21"/>
          <w:szCs w:val="21"/>
          <w:lang w:val="zh-CN"/>
        </w:rPr>
      </w:pPr>
      <w:r>
        <w:rPr>
          <w:rFonts w:hint="eastAsia" w:ascii="宋体" w:hAnsi="Arial" w:cs="宋体"/>
          <w:sz w:val="21"/>
          <w:szCs w:val="21"/>
          <w:lang w:val="zh-CN"/>
        </w:rPr>
        <w:t>压力表选用耐震充油压力表，垂直安装，仪表单位为M</w:t>
      </w:r>
      <w:r>
        <w:rPr>
          <w:rFonts w:ascii="宋体" w:hAnsi="Arial" w:cs="宋体"/>
          <w:sz w:val="21"/>
          <w:szCs w:val="21"/>
          <w:lang w:val="zh-CN"/>
        </w:rPr>
        <w:t>Pa,</w:t>
      </w:r>
      <w:r>
        <w:rPr>
          <w:rFonts w:hint="eastAsia" w:ascii="宋体" w:hAnsi="Arial" w:cs="宋体"/>
          <w:sz w:val="21"/>
          <w:szCs w:val="21"/>
          <w:lang w:val="zh-CN"/>
        </w:rPr>
        <w:t>精度等级为1.</w:t>
      </w:r>
      <w:r>
        <w:rPr>
          <w:rFonts w:hint="eastAsia" w:ascii="宋体" w:hAnsi="Arial" w:cs="宋体"/>
          <w:sz w:val="21"/>
          <w:szCs w:val="21"/>
          <w:lang w:val="en-US" w:eastAsia="zh-CN"/>
        </w:rPr>
        <w:t>5</w:t>
      </w:r>
      <w:r>
        <w:rPr>
          <w:rFonts w:hint="eastAsia" w:ascii="宋体" w:hAnsi="Arial" w:cs="宋体"/>
          <w:sz w:val="21"/>
          <w:szCs w:val="21"/>
          <w:lang w:val="zh-CN"/>
        </w:rPr>
        <w:t>级盘的直径应≥100mm，刻度间隔为0.05MPa，安装</w:t>
      </w:r>
      <w:r>
        <w:rPr>
          <w:rFonts w:hint="eastAsia" w:hAnsi="宋体"/>
          <w:color w:val="000000"/>
          <w:sz w:val="21"/>
          <w:szCs w:val="21"/>
          <w:lang w:val="zh-CN"/>
        </w:rPr>
        <w:t>螺纹</w:t>
      </w:r>
      <w:r>
        <w:rPr>
          <w:rFonts w:hint="eastAsia" w:ascii="宋体" w:hAnsi="Arial" w:cs="宋体"/>
          <w:sz w:val="21"/>
          <w:szCs w:val="21"/>
          <w:lang w:val="zh-CN"/>
        </w:rPr>
        <w:t>为M20*1.5，压力表需安装取源针型阀，型号：</w:t>
      </w:r>
      <w:r>
        <w:rPr>
          <w:rFonts w:hint="eastAsia" w:ascii="宋体" w:hAnsi="Arial" w:cs="宋体"/>
          <w:sz w:val="21"/>
          <w:szCs w:val="21"/>
          <w:lang w:val="en-US" w:eastAsia="zh-CN"/>
        </w:rPr>
        <w:t>J23W 160P,</w:t>
      </w:r>
      <w:r>
        <w:rPr>
          <w:rFonts w:hint="eastAsia" w:ascii="宋体" w:hAnsi="Arial" w:cs="宋体"/>
          <w:sz w:val="21"/>
          <w:szCs w:val="21"/>
          <w:lang w:val="zh-CN"/>
        </w:rPr>
        <w:t>材质为不锈钢，两端螺纹为活螺纹，尺寸为M20*1.5。压力表安装系统所有螺纹连接均采用四氟垫密封或铜垫片密封。</w:t>
      </w:r>
    </w:p>
    <w:p w14:paraId="6C1D13FF">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ascii="宋体" w:hAnsi="Arial" w:cs="宋体"/>
          <w:sz w:val="21"/>
          <w:szCs w:val="21"/>
          <w:lang w:val="zh-CN"/>
        </w:rPr>
        <w:t>压力表安装方式垂直放置。</w:t>
      </w:r>
    </w:p>
    <w:p w14:paraId="74916F8F">
      <w:pPr>
        <w:tabs>
          <w:tab w:val="left" w:pos="576"/>
        </w:tabs>
        <w:snapToGrid w:val="0"/>
        <w:spacing w:line="440" w:lineRule="exact"/>
        <w:rPr>
          <w:rFonts w:hint="eastAsia" w:hAnsi="宋体"/>
          <w:color w:val="000000"/>
          <w:sz w:val="21"/>
          <w:szCs w:val="21"/>
        </w:rPr>
      </w:pPr>
      <w:r>
        <w:rPr>
          <w:rFonts w:hint="eastAsia" w:hAnsi="宋体"/>
          <w:snapToGrid w:val="0"/>
          <w:color w:val="000000"/>
          <w:sz w:val="21"/>
          <w:szCs w:val="21"/>
        </w:rPr>
        <w:t xml:space="preserve">2.5.3 </w:t>
      </w:r>
      <w:r>
        <w:rPr>
          <w:rFonts w:hint="eastAsia" w:hAnsi="宋体"/>
          <w:color w:val="000000"/>
          <w:sz w:val="21"/>
          <w:szCs w:val="21"/>
        </w:rPr>
        <w:t>控制盘柜</w:t>
      </w:r>
    </w:p>
    <w:p w14:paraId="379ECC75">
      <w:pPr>
        <w:tabs>
          <w:tab w:val="left" w:pos="576"/>
        </w:tabs>
        <w:snapToGrid w:val="0"/>
        <w:spacing w:line="440" w:lineRule="exact"/>
        <w:ind w:firstLine="420" w:firstLineChars="200"/>
        <w:rPr>
          <w:rFonts w:hint="eastAsia" w:hAnsi="宋体"/>
          <w:color w:val="000000"/>
          <w:sz w:val="21"/>
          <w:szCs w:val="21"/>
        </w:rPr>
      </w:pPr>
      <w:r>
        <w:rPr>
          <w:rFonts w:hint="eastAsia" w:hAnsi="宋体"/>
          <w:color w:val="000000"/>
          <w:sz w:val="21"/>
          <w:szCs w:val="21"/>
        </w:rPr>
        <w:t>盘柜防护等级为IP54。</w:t>
      </w:r>
    </w:p>
    <w:p w14:paraId="440F58E5">
      <w:pPr>
        <w:tabs>
          <w:tab w:val="left" w:pos="576"/>
        </w:tabs>
        <w:snapToGrid w:val="0"/>
        <w:spacing w:line="440" w:lineRule="exact"/>
        <w:ind w:firstLine="420" w:firstLineChars="200"/>
        <w:rPr>
          <w:rFonts w:hint="eastAsia" w:hAnsi="宋体"/>
          <w:color w:val="auto"/>
          <w:sz w:val="21"/>
          <w:szCs w:val="21"/>
        </w:rPr>
      </w:pPr>
      <w:r>
        <w:rPr>
          <w:rFonts w:hint="eastAsia" w:hAnsi="宋体"/>
          <w:color w:val="000000"/>
          <w:sz w:val="21"/>
          <w:szCs w:val="21"/>
        </w:rPr>
        <w:t>盘、台、柜门有导向式门封垫条。室内盘、台、柜内的端子排布置在易于安装接线的地方，并且与柜底的距离不少于1</w:t>
      </w:r>
      <w:r>
        <w:rPr>
          <w:rFonts w:hAnsi="宋体"/>
          <w:color w:val="000000"/>
          <w:sz w:val="21"/>
          <w:szCs w:val="21"/>
        </w:rPr>
        <w:t>00mm</w:t>
      </w:r>
      <w:r>
        <w:rPr>
          <w:rFonts w:hint="eastAsia" w:hAnsi="宋体"/>
          <w:color w:val="000000"/>
          <w:sz w:val="21"/>
          <w:szCs w:val="21"/>
        </w:rPr>
        <w:t>。电源柜端子和机柜的内部接线用线根据所需容量配置和选择线型。</w:t>
      </w:r>
      <w:r>
        <w:rPr>
          <w:rFonts w:hint="eastAsia" w:hAnsi="宋体"/>
          <w:color w:val="auto"/>
          <w:szCs w:val="21"/>
        </w:rPr>
        <w:t>且端子标号为整体连续号码，并保证号码的清晰美观。</w:t>
      </w:r>
    </w:p>
    <w:p w14:paraId="681E327B">
      <w:pPr>
        <w:tabs>
          <w:tab w:val="left" w:pos="576"/>
        </w:tabs>
        <w:snapToGrid w:val="0"/>
        <w:spacing w:line="440" w:lineRule="exact"/>
        <w:ind w:firstLine="420" w:firstLineChars="200"/>
        <w:rPr>
          <w:rFonts w:hint="eastAsia" w:hAnsi="宋体"/>
          <w:color w:val="000000"/>
          <w:sz w:val="21"/>
          <w:szCs w:val="21"/>
        </w:rPr>
      </w:pPr>
      <w:r>
        <w:rPr>
          <w:rFonts w:hint="eastAsia" w:hAnsi="宋体"/>
          <w:color w:val="auto"/>
          <w:sz w:val="21"/>
          <w:szCs w:val="21"/>
        </w:rPr>
        <w:t>对于正面不开孔安装仪表和控制设备的盘、柜采用厚度为2.5</w:t>
      </w:r>
      <w:r>
        <w:rPr>
          <w:rFonts w:hAnsi="宋体"/>
          <w:color w:val="auto"/>
          <w:sz w:val="21"/>
          <w:szCs w:val="21"/>
        </w:rPr>
        <w:t>mm</w:t>
      </w:r>
      <w:r>
        <w:rPr>
          <w:rFonts w:hint="eastAsia" w:hAnsi="宋体"/>
          <w:color w:val="auto"/>
          <w:sz w:val="21"/>
          <w:szCs w:val="21"/>
        </w:rPr>
        <w:t>的冷轧钢板；对于正面需开孔安装</w:t>
      </w:r>
      <w:r>
        <w:rPr>
          <w:rFonts w:hint="eastAsia" w:hAnsi="宋体"/>
          <w:color w:val="000000"/>
          <w:sz w:val="21"/>
          <w:szCs w:val="21"/>
        </w:rPr>
        <w:t>仪表和控制设备的盘、柜，其的正面采用厚度为3</w:t>
      </w:r>
      <w:r>
        <w:rPr>
          <w:rFonts w:hAnsi="宋体"/>
          <w:color w:val="000000"/>
          <w:sz w:val="21"/>
          <w:szCs w:val="21"/>
        </w:rPr>
        <w:t>.0mm</w:t>
      </w:r>
      <w:r>
        <w:rPr>
          <w:rFonts w:hint="eastAsia" w:hAnsi="宋体"/>
          <w:color w:val="000000"/>
          <w:sz w:val="21"/>
          <w:szCs w:val="21"/>
        </w:rPr>
        <w:t>的冷轧钢板，其余部分采用厚度为2.5</w:t>
      </w:r>
      <w:r>
        <w:rPr>
          <w:rFonts w:hAnsi="宋体"/>
          <w:color w:val="000000"/>
          <w:sz w:val="21"/>
          <w:szCs w:val="21"/>
        </w:rPr>
        <w:t>mm</w:t>
      </w:r>
      <w:r>
        <w:rPr>
          <w:rFonts w:hint="eastAsia" w:hAnsi="宋体"/>
          <w:color w:val="000000"/>
          <w:sz w:val="21"/>
          <w:szCs w:val="21"/>
        </w:rPr>
        <w:t>的冷轧钢板。</w:t>
      </w:r>
    </w:p>
    <w:p w14:paraId="77A1076E">
      <w:pPr>
        <w:tabs>
          <w:tab w:val="left" w:pos="576"/>
        </w:tabs>
        <w:snapToGrid w:val="0"/>
        <w:spacing w:line="440" w:lineRule="exact"/>
        <w:ind w:firstLine="420" w:firstLineChars="200"/>
        <w:rPr>
          <w:rFonts w:hint="eastAsia" w:hAnsi="宋体"/>
          <w:color w:val="000000"/>
          <w:sz w:val="21"/>
          <w:szCs w:val="21"/>
        </w:rPr>
      </w:pPr>
      <w:r>
        <w:rPr>
          <w:rFonts w:hint="eastAsia" w:hAnsi="宋体"/>
          <w:color w:val="000000"/>
          <w:sz w:val="21"/>
          <w:szCs w:val="21"/>
        </w:rPr>
        <w:t>控制盘、柜内保留一定数目（</w:t>
      </w:r>
      <w:r>
        <w:rPr>
          <w:rFonts w:hAnsi="宋体"/>
          <w:color w:val="000000"/>
          <w:sz w:val="21"/>
          <w:szCs w:val="21"/>
        </w:rPr>
        <w:t>1</w:t>
      </w:r>
      <w:r>
        <w:rPr>
          <w:rFonts w:hint="eastAsia" w:hAnsi="宋体"/>
          <w:color w:val="000000"/>
          <w:sz w:val="21"/>
          <w:szCs w:val="21"/>
        </w:rPr>
        <w:t>5</w:t>
      </w:r>
      <w:r>
        <w:rPr>
          <w:rFonts w:hAnsi="宋体"/>
          <w:color w:val="000000"/>
          <w:sz w:val="21"/>
          <w:szCs w:val="21"/>
        </w:rPr>
        <w:t>%</w:t>
      </w:r>
      <w:r>
        <w:rPr>
          <w:rFonts w:hint="eastAsia" w:hAnsi="宋体"/>
          <w:color w:val="000000"/>
          <w:sz w:val="21"/>
          <w:szCs w:val="21"/>
        </w:rPr>
        <w:t>）的端子空位，以便其它设备输入、输出信号接上时备用。</w:t>
      </w:r>
    </w:p>
    <w:p w14:paraId="2BB2D170">
      <w:pPr>
        <w:tabs>
          <w:tab w:val="left" w:pos="576"/>
        </w:tabs>
        <w:snapToGrid w:val="0"/>
        <w:spacing w:line="440" w:lineRule="exact"/>
        <w:ind w:firstLine="420" w:firstLineChars="200"/>
        <w:rPr>
          <w:rFonts w:hint="eastAsia" w:hAnsi="宋体"/>
          <w:color w:val="000000"/>
          <w:sz w:val="21"/>
          <w:szCs w:val="21"/>
        </w:rPr>
      </w:pPr>
      <w:r>
        <w:rPr>
          <w:rFonts w:hint="eastAsia" w:hAnsi="宋体"/>
          <w:color w:val="000000"/>
          <w:sz w:val="21"/>
          <w:szCs w:val="21"/>
        </w:rPr>
        <w:t>非金属器件如端子排、导线、电缆绝缘、导线支架、电缆连接件、油漆或其它外套以及类似物质要用非燃烧或阻燃和自熄火材料制成，不能使用助燃性材料，或引起火焰蔓延的材料。</w:t>
      </w:r>
    </w:p>
    <w:p w14:paraId="1F8AFEBF">
      <w:pPr>
        <w:tabs>
          <w:tab w:val="left" w:pos="576"/>
        </w:tabs>
        <w:snapToGrid w:val="0"/>
        <w:spacing w:line="440" w:lineRule="exact"/>
        <w:ind w:firstLine="420" w:firstLineChars="200"/>
        <w:rPr>
          <w:rFonts w:hint="eastAsia" w:hAnsi="宋体"/>
          <w:color w:val="000000"/>
          <w:sz w:val="21"/>
          <w:szCs w:val="21"/>
        </w:rPr>
      </w:pPr>
      <w:r>
        <w:rPr>
          <w:rFonts w:hint="eastAsia" w:hAnsi="宋体"/>
          <w:color w:val="000000"/>
          <w:sz w:val="21"/>
          <w:szCs w:val="21"/>
        </w:rPr>
        <w:t>所有控制盘、台、柜内的端子统一采用国产优质产品。</w:t>
      </w:r>
    </w:p>
    <w:p w14:paraId="16BBD06F">
      <w:pPr>
        <w:snapToGrid w:val="0"/>
        <w:spacing w:line="440" w:lineRule="exact"/>
        <w:ind w:firstLine="420" w:firstLineChars="200"/>
        <w:rPr>
          <w:rFonts w:hint="eastAsia"/>
          <w:color w:val="000000"/>
          <w:sz w:val="21"/>
          <w:szCs w:val="21"/>
        </w:rPr>
      </w:pPr>
      <w:r>
        <w:rPr>
          <w:rFonts w:hAnsi="宋体"/>
          <w:color w:val="000000"/>
          <w:sz w:val="21"/>
          <w:szCs w:val="21"/>
        </w:rPr>
        <w:t>控制盘柜内电源开关、继电器</w:t>
      </w:r>
      <w:r>
        <w:rPr>
          <w:rFonts w:hint="eastAsia" w:hAnsi="宋体"/>
          <w:color w:val="000000"/>
          <w:sz w:val="21"/>
          <w:szCs w:val="21"/>
        </w:rPr>
        <w:t>、交流接触器，双路电源自动切换装置等</w:t>
      </w:r>
      <w:r>
        <w:rPr>
          <w:rFonts w:hAnsi="宋体"/>
          <w:color w:val="000000"/>
          <w:sz w:val="21"/>
          <w:szCs w:val="21"/>
        </w:rPr>
        <w:t>应选用进口</w:t>
      </w:r>
      <w:r>
        <w:rPr>
          <w:rFonts w:hint="eastAsia" w:hAnsi="宋体"/>
          <w:color w:val="000000"/>
          <w:sz w:val="21"/>
          <w:szCs w:val="21"/>
        </w:rPr>
        <w:t>品牌</w:t>
      </w:r>
      <w:r>
        <w:rPr>
          <w:rFonts w:hAnsi="宋体"/>
          <w:color w:val="000000"/>
          <w:sz w:val="21"/>
          <w:szCs w:val="21"/>
        </w:rPr>
        <w:t>。</w:t>
      </w:r>
    </w:p>
    <w:p w14:paraId="16CCE843">
      <w:pPr>
        <w:tabs>
          <w:tab w:val="left" w:pos="576"/>
        </w:tabs>
        <w:snapToGrid w:val="0"/>
        <w:spacing w:line="440" w:lineRule="exact"/>
        <w:rPr>
          <w:rFonts w:hint="eastAsia" w:hAnsi="宋体"/>
          <w:color w:val="000000"/>
          <w:sz w:val="21"/>
          <w:szCs w:val="21"/>
        </w:rPr>
      </w:pPr>
      <w:r>
        <w:rPr>
          <w:rFonts w:hint="eastAsia" w:hAnsi="宋体"/>
          <w:snapToGrid w:val="0"/>
          <w:color w:val="000000"/>
          <w:sz w:val="21"/>
          <w:szCs w:val="21"/>
        </w:rPr>
        <w:t>2.5</w:t>
      </w:r>
      <w:r>
        <w:rPr>
          <w:rFonts w:hint="eastAsia" w:hAnsi="宋体"/>
          <w:color w:val="000000"/>
          <w:sz w:val="21"/>
          <w:szCs w:val="21"/>
        </w:rPr>
        <w:t>.4电缆的选型原则</w:t>
      </w:r>
    </w:p>
    <w:p w14:paraId="31CC96C2">
      <w:pPr>
        <w:tabs>
          <w:tab w:val="left" w:pos="576"/>
        </w:tabs>
        <w:snapToGrid w:val="0"/>
        <w:spacing w:line="440" w:lineRule="exact"/>
        <w:rPr>
          <w:rFonts w:hint="eastAsia" w:hAnsi="宋体"/>
          <w:color w:val="000000"/>
          <w:sz w:val="21"/>
          <w:szCs w:val="21"/>
        </w:rPr>
      </w:pPr>
      <w:r>
        <w:rPr>
          <w:rFonts w:hint="eastAsia" w:hAnsi="宋体"/>
          <w:color w:val="000000"/>
          <w:sz w:val="21"/>
          <w:szCs w:val="21"/>
        </w:rPr>
        <w:t>所有仪表及控制电缆采用铜芯，详见下表：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5299"/>
        <w:gridCol w:w="868"/>
      </w:tblGrid>
      <w:tr w14:paraId="515A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69" w:type="dxa"/>
            <w:noWrap w:val="0"/>
            <w:vAlign w:val="center"/>
          </w:tcPr>
          <w:p w14:paraId="15E1256B">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种   类</w:t>
            </w:r>
          </w:p>
        </w:tc>
        <w:tc>
          <w:tcPr>
            <w:tcW w:w="5299" w:type="dxa"/>
            <w:noWrap w:val="0"/>
            <w:vAlign w:val="center"/>
          </w:tcPr>
          <w:p w14:paraId="70329218">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型号／截面／芯数</w:t>
            </w:r>
          </w:p>
        </w:tc>
        <w:tc>
          <w:tcPr>
            <w:tcW w:w="868" w:type="dxa"/>
            <w:noWrap w:val="0"/>
            <w:vAlign w:val="center"/>
          </w:tcPr>
          <w:p w14:paraId="26E42329">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备注</w:t>
            </w:r>
          </w:p>
        </w:tc>
      </w:tr>
      <w:tr w14:paraId="3F85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69" w:type="dxa"/>
            <w:noWrap w:val="0"/>
            <w:vAlign w:val="center"/>
          </w:tcPr>
          <w:p w14:paraId="0F129EC6">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一般电源电缆</w:t>
            </w:r>
          </w:p>
        </w:tc>
        <w:tc>
          <w:tcPr>
            <w:tcW w:w="5299" w:type="dxa"/>
            <w:noWrap w:val="0"/>
            <w:vAlign w:val="center"/>
          </w:tcPr>
          <w:p w14:paraId="3504EBE9">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截面</w:t>
            </w:r>
            <w:r>
              <w:rPr>
                <w:rFonts w:hAnsi="宋体"/>
                <w:color w:val="000000"/>
                <w:sz w:val="21"/>
                <w:szCs w:val="21"/>
              </w:rPr>
              <w:t>:</w:t>
            </w:r>
            <w:r>
              <w:rPr>
                <w:rFonts w:hint="eastAsia" w:hAnsi="宋体"/>
                <w:color w:val="000000"/>
                <w:sz w:val="21"/>
                <w:szCs w:val="21"/>
              </w:rPr>
              <w:t>与电源功率相匹配，  芯数</w:t>
            </w:r>
            <w:r>
              <w:rPr>
                <w:rFonts w:hAnsi="宋体"/>
                <w:color w:val="000000"/>
                <w:sz w:val="21"/>
                <w:szCs w:val="21"/>
              </w:rPr>
              <w:t xml:space="preserve">:2, 4, 7 </w:t>
            </w:r>
            <w:r>
              <w:rPr>
                <w:rFonts w:hint="eastAsia" w:hAnsi="宋体"/>
                <w:color w:val="000000"/>
                <w:sz w:val="21"/>
                <w:szCs w:val="21"/>
              </w:rPr>
              <w:t>等</w:t>
            </w:r>
          </w:p>
        </w:tc>
        <w:tc>
          <w:tcPr>
            <w:tcW w:w="868" w:type="dxa"/>
            <w:noWrap w:val="0"/>
            <w:vAlign w:val="center"/>
          </w:tcPr>
          <w:p w14:paraId="7575ED5A">
            <w:pPr>
              <w:keepNext w:val="0"/>
              <w:keepLines w:val="0"/>
              <w:suppressLineNumbers w:val="0"/>
              <w:tabs>
                <w:tab w:val="left" w:pos="576"/>
              </w:tabs>
              <w:snapToGrid w:val="0"/>
              <w:spacing w:before="0" w:beforeAutospacing="0" w:after="0" w:afterAutospacing="0" w:line="440" w:lineRule="exact"/>
              <w:ind w:left="0" w:right="0"/>
              <w:jc w:val="center"/>
              <w:rPr>
                <w:rFonts w:hint="eastAsia" w:hAnsi="宋体"/>
                <w:color w:val="000000"/>
                <w:sz w:val="21"/>
                <w:szCs w:val="21"/>
              </w:rPr>
            </w:pPr>
          </w:p>
        </w:tc>
      </w:tr>
      <w:tr w14:paraId="06F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69" w:type="dxa"/>
            <w:noWrap w:val="0"/>
            <w:vAlign w:val="center"/>
          </w:tcPr>
          <w:p w14:paraId="0CAEE588">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开关量信号</w:t>
            </w:r>
            <w:r>
              <w:rPr>
                <w:rFonts w:hAnsi="宋体"/>
                <w:color w:val="000000"/>
                <w:sz w:val="21"/>
                <w:szCs w:val="21"/>
              </w:rPr>
              <w:t>DI/DO</w:t>
            </w:r>
            <w:r>
              <w:rPr>
                <w:rFonts w:hint="eastAsia" w:hAnsi="宋体"/>
                <w:color w:val="000000"/>
                <w:sz w:val="21"/>
                <w:szCs w:val="21"/>
              </w:rPr>
              <w:t>点电缆</w:t>
            </w:r>
          </w:p>
        </w:tc>
        <w:tc>
          <w:tcPr>
            <w:tcW w:w="5299" w:type="dxa"/>
            <w:noWrap w:val="0"/>
            <w:vAlign w:val="center"/>
          </w:tcPr>
          <w:p w14:paraId="4214D0C8">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截面</w:t>
            </w:r>
            <w:r>
              <w:rPr>
                <w:rFonts w:hAnsi="宋体"/>
                <w:color w:val="000000"/>
                <w:sz w:val="21"/>
                <w:szCs w:val="21"/>
              </w:rPr>
              <w:t>:1.5</w:t>
            </w:r>
            <w:r>
              <w:rPr>
                <w:rFonts w:hint="eastAsia" w:hAnsi="宋体"/>
                <w:color w:val="000000"/>
                <w:sz w:val="21"/>
                <w:szCs w:val="21"/>
              </w:rPr>
              <w:t xml:space="preserve">，  </w:t>
            </w:r>
            <w:r>
              <w:rPr>
                <w:rFonts w:hAnsi="宋体"/>
                <w:color w:val="000000"/>
                <w:sz w:val="21"/>
                <w:szCs w:val="21"/>
              </w:rPr>
              <w:t>6</w:t>
            </w:r>
            <w:r>
              <w:rPr>
                <w:rFonts w:hint="eastAsia" w:hAnsi="宋体"/>
                <w:color w:val="000000"/>
                <w:sz w:val="21"/>
                <w:szCs w:val="21"/>
              </w:rPr>
              <w:t>芯及以上考虑备用</w:t>
            </w:r>
          </w:p>
        </w:tc>
        <w:tc>
          <w:tcPr>
            <w:tcW w:w="868" w:type="dxa"/>
            <w:noWrap w:val="0"/>
            <w:vAlign w:val="center"/>
          </w:tcPr>
          <w:p w14:paraId="1D4C5CF3">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p>
        </w:tc>
      </w:tr>
      <w:tr w14:paraId="3B3A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69" w:type="dxa"/>
            <w:noWrap w:val="0"/>
            <w:vAlign w:val="center"/>
          </w:tcPr>
          <w:p w14:paraId="6B131182">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模拟量信号电缆</w:t>
            </w:r>
            <w:r>
              <w:rPr>
                <w:rFonts w:hAnsi="宋体"/>
                <w:color w:val="000000"/>
                <w:sz w:val="21"/>
                <w:szCs w:val="21"/>
              </w:rPr>
              <w:t>(4～20mA )</w:t>
            </w:r>
          </w:p>
        </w:tc>
        <w:tc>
          <w:tcPr>
            <w:tcW w:w="5299" w:type="dxa"/>
            <w:noWrap w:val="0"/>
            <w:vAlign w:val="center"/>
          </w:tcPr>
          <w:p w14:paraId="3EC05E7D">
            <w:pPr>
              <w:keepNext w:val="0"/>
              <w:keepLines w:val="0"/>
              <w:suppressLineNumbers w:val="0"/>
              <w:tabs>
                <w:tab w:val="left" w:pos="576"/>
              </w:tabs>
              <w:snapToGrid w:val="0"/>
              <w:spacing w:before="0" w:beforeAutospacing="0" w:after="0" w:afterAutospacing="0" w:line="440" w:lineRule="exact"/>
              <w:ind w:left="0" w:right="0"/>
              <w:jc w:val="center"/>
              <w:rPr>
                <w:rFonts w:hint="eastAsia" w:hAnsi="宋体"/>
                <w:color w:val="000000"/>
                <w:sz w:val="21"/>
                <w:szCs w:val="21"/>
              </w:rPr>
            </w:pPr>
            <w:r>
              <w:rPr>
                <w:rFonts w:hint="eastAsia" w:hAnsi="宋体"/>
                <w:color w:val="000000"/>
                <w:sz w:val="21"/>
                <w:szCs w:val="21"/>
              </w:rPr>
              <w:t>截面</w:t>
            </w:r>
            <w:r>
              <w:rPr>
                <w:rFonts w:hAnsi="宋体"/>
                <w:color w:val="000000"/>
                <w:sz w:val="21"/>
                <w:szCs w:val="21"/>
              </w:rPr>
              <w:t>:1.0</w:t>
            </w:r>
            <w:r>
              <w:rPr>
                <w:rFonts w:hint="eastAsia" w:hAnsi="宋体"/>
                <w:color w:val="000000"/>
                <w:sz w:val="21"/>
                <w:szCs w:val="21"/>
              </w:rPr>
              <w:t>，  4个对绞及以上考虑备用</w:t>
            </w:r>
          </w:p>
        </w:tc>
        <w:tc>
          <w:tcPr>
            <w:tcW w:w="868" w:type="dxa"/>
            <w:noWrap w:val="0"/>
            <w:vAlign w:val="center"/>
          </w:tcPr>
          <w:p w14:paraId="141B6733">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p>
        </w:tc>
      </w:tr>
      <w:tr w14:paraId="1958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69" w:type="dxa"/>
            <w:noWrap w:val="0"/>
            <w:vAlign w:val="center"/>
          </w:tcPr>
          <w:p w14:paraId="0CC21236">
            <w:pPr>
              <w:keepNext w:val="0"/>
              <w:keepLines w:val="0"/>
              <w:suppressLineNumbers w:val="0"/>
              <w:tabs>
                <w:tab w:val="left" w:pos="576"/>
              </w:tabs>
              <w:snapToGrid w:val="0"/>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模拟量信号电缆</w:t>
            </w:r>
            <w:r>
              <w:rPr>
                <w:rFonts w:hAnsi="宋体"/>
                <w:color w:val="000000"/>
                <w:sz w:val="21"/>
                <w:szCs w:val="21"/>
              </w:rPr>
              <w:t>(</w:t>
            </w:r>
            <w:r>
              <w:rPr>
                <w:rFonts w:hint="eastAsia" w:hAnsi="宋体"/>
                <w:color w:val="000000"/>
                <w:sz w:val="21"/>
                <w:szCs w:val="21"/>
              </w:rPr>
              <w:t>热电阻</w:t>
            </w:r>
            <w:r>
              <w:rPr>
                <w:rFonts w:hAnsi="宋体"/>
                <w:color w:val="000000"/>
                <w:sz w:val="21"/>
                <w:szCs w:val="21"/>
              </w:rPr>
              <w:t>RTD)</w:t>
            </w:r>
          </w:p>
        </w:tc>
        <w:tc>
          <w:tcPr>
            <w:tcW w:w="5299" w:type="dxa"/>
            <w:noWrap w:val="0"/>
            <w:vAlign w:val="center"/>
          </w:tcPr>
          <w:p w14:paraId="5674E13E">
            <w:pPr>
              <w:keepNext w:val="0"/>
              <w:keepLines w:val="0"/>
              <w:suppressLineNumbers w:val="0"/>
              <w:tabs>
                <w:tab w:val="left" w:pos="576"/>
              </w:tabs>
              <w:snapToGrid w:val="0"/>
              <w:spacing w:before="0" w:beforeAutospacing="0" w:after="0" w:afterAutospacing="0" w:line="440" w:lineRule="exact"/>
              <w:ind w:left="0" w:right="0"/>
              <w:jc w:val="center"/>
              <w:rPr>
                <w:rFonts w:hint="eastAsia" w:hAnsi="宋体"/>
                <w:color w:val="000000"/>
                <w:sz w:val="21"/>
                <w:szCs w:val="21"/>
              </w:rPr>
            </w:pPr>
            <w:r>
              <w:rPr>
                <w:rFonts w:hint="eastAsia" w:hAnsi="宋体"/>
                <w:color w:val="000000"/>
                <w:sz w:val="21"/>
                <w:szCs w:val="21"/>
              </w:rPr>
              <w:t>截面</w:t>
            </w:r>
            <w:r>
              <w:rPr>
                <w:rFonts w:hAnsi="宋体"/>
                <w:color w:val="000000"/>
                <w:sz w:val="21"/>
                <w:szCs w:val="21"/>
              </w:rPr>
              <w:t>:1.0</w:t>
            </w:r>
            <w:r>
              <w:rPr>
                <w:rFonts w:hint="eastAsia" w:hAnsi="宋体"/>
                <w:color w:val="000000"/>
                <w:sz w:val="21"/>
                <w:szCs w:val="21"/>
              </w:rPr>
              <w:t>，   4个对绞及以上考虑备用</w:t>
            </w:r>
          </w:p>
        </w:tc>
        <w:tc>
          <w:tcPr>
            <w:tcW w:w="868" w:type="dxa"/>
            <w:noWrap w:val="0"/>
            <w:vAlign w:val="center"/>
          </w:tcPr>
          <w:p w14:paraId="19432CB6">
            <w:pPr>
              <w:keepNext w:val="0"/>
              <w:keepLines w:val="0"/>
              <w:suppressLineNumbers w:val="0"/>
              <w:tabs>
                <w:tab w:val="left" w:pos="576"/>
              </w:tabs>
              <w:snapToGrid w:val="0"/>
              <w:spacing w:before="0" w:beforeAutospacing="0" w:after="0" w:afterAutospacing="0" w:line="440" w:lineRule="exact"/>
              <w:ind w:left="0" w:right="0"/>
              <w:jc w:val="center"/>
              <w:rPr>
                <w:rFonts w:hint="eastAsia" w:hAnsi="宋体"/>
                <w:color w:val="000000"/>
                <w:sz w:val="21"/>
                <w:szCs w:val="21"/>
              </w:rPr>
            </w:pPr>
          </w:p>
        </w:tc>
      </w:tr>
    </w:tbl>
    <w:p w14:paraId="39AF9D5A">
      <w:pPr>
        <w:tabs>
          <w:tab w:val="left" w:pos="426"/>
          <w:tab w:val="left" w:pos="1418"/>
          <w:tab w:val="left" w:pos="4253"/>
          <w:tab w:val="left" w:pos="5670"/>
          <w:tab w:val="left" w:pos="7088"/>
        </w:tabs>
        <w:spacing w:line="440" w:lineRule="exact"/>
        <w:rPr>
          <w:rFonts w:hint="eastAsia"/>
          <w:color w:val="000000"/>
          <w:sz w:val="21"/>
          <w:szCs w:val="21"/>
        </w:rPr>
      </w:pPr>
      <w:r>
        <w:rPr>
          <w:rFonts w:hint="eastAsia" w:hAnsi="宋体"/>
          <w:snapToGrid w:val="0"/>
          <w:color w:val="000000"/>
          <w:sz w:val="21"/>
          <w:szCs w:val="21"/>
        </w:rPr>
        <w:t>2.5</w:t>
      </w:r>
      <w:r>
        <w:rPr>
          <w:rFonts w:hint="eastAsia"/>
          <w:color w:val="000000"/>
          <w:sz w:val="21"/>
          <w:szCs w:val="21"/>
        </w:rPr>
        <w:t>.5 仪表和控制设备选型原则</w:t>
      </w:r>
    </w:p>
    <w:p w14:paraId="261AB750">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（1）买方提供的控制电源为交流380V/220V，当卖方提供的控制设备和系统需其它等级电源时，卖方自行提供电源变换设备以满足其需要。</w:t>
      </w:r>
    </w:p>
    <w:p w14:paraId="2EC166EC">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（2）针对仪表设备投标厂家只准报出一个价格，并计入投标总价，最终由招标方在多个推荐厂商中选定其中一家，其价格保持不变。</w:t>
      </w:r>
    </w:p>
    <w:p w14:paraId="730FA987">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（3）实现设备的全自动运行，实现设备的一键启停。</w:t>
      </w:r>
    </w:p>
    <w:p w14:paraId="2A6F870A">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（4）</w:t>
      </w:r>
      <w:r>
        <w:rPr>
          <w:color w:val="000000"/>
          <w:sz w:val="21"/>
          <w:szCs w:val="21"/>
        </w:rPr>
        <w:t>投标方负责</w:t>
      </w:r>
      <w:r>
        <w:rPr>
          <w:rFonts w:hint="eastAsia"/>
          <w:color w:val="000000"/>
          <w:sz w:val="21"/>
          <w:szCs w:val="21"/>
        </w:rPr>
        <w:t>控制</w:t>
      </w:r>
      <w:r>
        <w:rPr>
          <w:color w:val="000000"/>
          <w:sz w:val="21"/>
          <w:szCs w:val="21"/>
        </w:rPr>
        <w:t>柜至各就地仪表盘的控制电缆的设计和供货。</w:t>
      </w:r>
    </w:p>
    <w:p w14:paraId="3F794CF5">
      <w:pPr>
        <w:pStyle w:val="64"/>
        <w:spacing w:line="440" w:lineRule="exact"/>
        <w:outlineLvl w:val="1"/>
        <w:rPr>
          <w:rFonts w:hint="eastAsia"/>
          <w:b/>
          <w:color w:val="000000"/>
          <w:sz w:val="21"/>
          <w:szCs w:val="21"/>
        </w:rPr>
      </w:pPr>
      <w:bookmarkStart w:id="31" w:name="_Toc271049308"/>
      <w:bookmarkStart w:id="32" w:name="_Toc270453091"/>
      <w:r>
        <w:rPr>
          <w:rFonts w:hint="eastAsia"/>
          <w:b/>
          <w:color w:val="000000"/>
          <w:sz w:val="21"/>
          <w:szCs w:val="21"/>
        </w:rPr>
        <w:t>3 设备规范</w:t>
      </w:r>
      <w:bookmarkEnd w:id="31"/>
      <w:bookmarkEnd w:id="32"/>
    </w:p>
    <w:p w14:paraId="3E632E39">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 xml:space="preserve">3.2全自动软化水处理装置 </w:t>
      </w:r>
    </w:p>
    <w:p w14:paraId="3E21E34F">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3.2.1技术参数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076"/>
        <w:gridCol w:w="1124"/>
        <w:gridCol w:w="1260"/>
        <w:gridCol w:w="1260"/>
        <w:gridCol w:w="1260"/>
      </w:tblGrid>
      <w:tr w14:paraId="12D6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165" w:type="dxa"/>
            <w:noWrap w:val="0"/>
            <w:vAlign w:val="center"/>
          </w:tcPr>
          <w:p w14:paraId="09C78B79">
            <w:pPr>
              <w:keepNext w:val="0"/>
              <w:keepLines w:val="0"/>
              <w:suppressLineNumbers w:val="0"/>
              <w:spacing w:before="0" w:beforeAutospacing="0" w:after="0" w:afterAutospacing="0" w:line="440" w:lineRule="exact"/>
              <w:ind w:left="0" w:right="0"/>
              <w:rPr>
                <w:rFonts w:hint="eastAsia"/>
                <w:color w:val="000000"/>
                <w:sz w:val="21"/>
                <w:szCs w:val="21"/>
              </w:rPr>
            </w:pPr>
            <w:r>
              <w:rPr>
                <w:rFonts w:hint="eastAsia"/>
                <w:color w:val="000000"/>
                <w:sz w:val="21"/>
                <w:szCs w:val="21"/>
              </w:rPr>
              <mc:AlternateContent>
                <mc:Choice Requires="wps">
                  <w:drawing>
                    <wp:anchor distT="0" distB="0" distL="114300" distR="114300" simplePos="0" relativeHeight="251661312" behindDoc="0" locked="0" layoutInCell="1" allowOverlap="1">
                      <wp:simplePos x="0" y="0"/>
                      <wp:positionH relativeFrom="column">
                        <wp:posOffset>645795</wp:posOffset>
                      </wp:positionH>
                      <wp:positionV relativeFrom="paragraph">
                        <wp:posOffset>92710</wp:posOffset>
                      </wp:positionV>
                      <wp:extent cx="571500" cy="3962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1500" cy="396240"/>
                              </a:xfrm>
                              <a:prstGeom prst="rect">
                                <a:avLst/>
                              </a:prstGeom>
                              <a:noFill/>
                              <a:ln>
                                <a:noFill/>
                              </a:ln>
                            </wps:spPr>
                            <wps:txbx>
                              <w:txbxContent>
                                <w:p w14:paraId="7D1577D2">
                                  <w:pPr>
                                    <w:rPr>
                                      <w:rFonts w:hint="eastAsia"/>
                                      <w:sz w:val="18"/>
                                      <w:szCs w:val="18"/>
                                    </w:rPr>
                                  </w:pPr>
                                  <w:r>
                                    <w:rPr>
                                      <w:rFonts w:hint="eastAsia"/>
                                      <w:sz w:val="18"/>
                                      <w:szCs w:val="18"/>
                                    </w:rPr>
                                    <w:t>序号</w:t>
                                  </w:r>
                                </w:p>
                              </w:txbxContent>
                            </wps:txbx>
                            <wps:bodyPr upright="1"/>
                          </wps:wsp>
                        </a:graphicData>
                      </a:graphic>
                    </wp:anchor>
                  </w:drawing>
                </mc:Choice>
                <mc:Fallback>
                  <w:pict>
                    <v:shape id="_x0000_s1026" o:spid="_x0000_s1026" o:spt="202" type="#_x0000_t202" style="position:absolute;left:0pt;margin-left:50.85pt;margin-top:7.3pt;height:31.2pt;width:45pt;z-index:251661312;mso-width-relative:page;mso-height-relative:page;" filled="f" stroked="f" coordsize="21600,21600" o:gfxdata="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C9LPNUAAAAJ&#10;AQAADwAAAAAAAAABACAAAAAiAAAAZHJzL2Rvd25yZXYueG1sUEsBAhQAFAAAAAgAh07iQCYxFzqt&#10;AQAATQMAAA4AAAAAAAAAAQAgAAAAJAEAAGRycy9lMm9Eb2MueG1sUEsFBgAAAAAGAAYAWQEAAEMF&#10;AAAAAA==&#10;">
                      <v:fill on="f" focussize="0,0"/>
                      <v:stroke on="f"/>
                      <v:imagedata o:title=""/>
                      <o:lock v:ext="edit" aspectratio="f"/>
                      <v:textbox>
                        <w:txbxContent>
                          <w:p w14:paraId="7D1577D2">
                            <w:pPr>
                              <w:rPr>
                                <w:rFonts w:hint="eastAsia"/>
                                <w:sz w:val="18"/>
                                <w:szCs w:val="18"/>
                              </w:rPr>
                            </w:pPr>
                            <w:r>
                              <w:rPr>
                                <w:rFonts w:hint="eastAsia"/>
                                <w:sz w:val="18"/>
                                <w:szCs w:val="18"/>
                              </w:rPr>
                              <w:t>序号</w:t>
                            </w:r>
                          </w:p>
                        </w:txbxContent>
                      </v:textbox>
                    </v:shape>
                  </w:pict>
                </mc:Fallback>
              </mc:AlternateContent>
            </w:r>
            <w:r>
              <w:rPr>
                <w:rFonts w:hint="eastAsia"/>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-3810</wp:posOffset>
                      </wp:positionV>
                      <wp:extent cx="1371600" cy="693420"/>
                      <wp:effectExtent l="1905" t="4445" r="17145" b="6985"/>
                      <wp:wrapNone/>
                      <wp:docPr id="11" name="直接连接符 11"/>
                      <wp:cNvGraphicFramePr/>
                      <a:graphic xmlns:a="http://schemas.openxmlformats.org/drawingml/2006/main">
                        <a:graphicData uri="http://schemas.microsoft.com/office/word/2010/wordprocessingShape">
                          <wps:wsp>
                            <wps:cNvCnPr/>
                            <wps:spPr>
                              <a:xfrm>
                                <a:off x="0" y="0"/>
                                <a:ext cx="137160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3pt;height:54.6pt;width:108pt;z-index:251660288;mso-width-relative:page;mso-height-relative:page;" filled="f" stroked="t" coordsize="21600,21600" o:gfxdata="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6unC9cAAAAJAQAADwAAAAAAAAABACAAAAAiAAAAZHJzL2Rvd25yZXYu&#10;eG1sUEsBAhQAFAAAAAgAh07iQExoVIX8AQAA6wMAAA4AAAAAAAAAAQAgAAAAJgEAAGRycy9lMm9E&#10;b2MueG1sUEsFBgAAAAAGAAYAWQEAAJQFAAAAAA==&#10;">
                      <v:fill on="f" focussize="0,0"/>
                      <v:stroke color="#000000" joinstyle="round"/>
                      <v:imagedata o:title=""/>
                      <o:lock v:ext="edit" aspectratio="f"/>
                    </v:line>
                  </w:pict>
                </mc:Fallback>
              </mc:AlternateContent>
            </w:r>
            <w:r>
              <w:rPr>
                <w:rFonts w:hint="eastAsia"/>
                <w:color w:val="000000"/>
                <w:sz w:val="21"/>
                <w:szCs w:val="21"/>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290830</wp:posOffset>
                      </wp:positionV>
                      <wp:extent cx="685800" cy="396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85800" cy="396240"/>
                              </a:xfrm>
                              <a:prstGeom prst="rect">
                                <a:avLst/>
                              </a:prstGeom>
                              <a:noFill/>
                              <a:ln>
                                <a:noFill/>
                              </a:ln>
                            </wps:spPr>
                            <wps:txbx>
                              <w:txbxContent>
                                <w:p w14:paraId="2257AE22">
                                  <w:pPr>
                                    <w:rPr>
                                      <w:rFonts w:hint="eastAsia"/>
                                      <w:sz w:val="18"/>
                                      <w:szCs w:val="18"/>
                                    </w:rPr>
                                  </w:pPr>
                                  <w:r>
                                    <w:rPr>
                                      <w:rFonts w:hint="eastAsia"/>
                                      <w:sz w:val="18"/>
                                      <w:szCs w:val="18"/>
                                    </w:rPr>
                                    <w:t>项目</w:t>
                                  </w:r>
                                </w:p>
                              </w:txbxContent>
                            </wps:txbx>
                            <wps:bodyPr upright="1"/>
                          </wps:wsp>
                        </a:graphicData>
                      </a:graphic>
                    </wp:anchor>
                  </w:drawing>
                </mc:Choice>
                <mc:Fallback>
                  <w:pict>
                    <v:shape id="_x0000_s1026" o:spid="_x0000_s1026" o:spt="202" type="#_x0000_t202" style="position:absolute;left:0pt;margin-left:3.65pt;margin-top:22.9pt;height:31.2pt;width:54pt;z-index:251662336;mso-width-relative:page;mso-height-relative:page;" filled="f" stroked="f" coordsize="21600,21600" o:gfxdata="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E8V/tUAAAAI&#10;AQAADwAAAAAAAAABACAAAAAiAAAAZHJzL2Rvd25yZXYueG1sUEsBAhQAFAAAAAgAh07iQJpVufCt&#10;AQAATwMAAA4AAAAAAAAAAQAgAAAAJAEAAGRycy9lMm9Eb2MueG1sUEsFBgAAAAAGAAYAWQEAAEMF&#10;AAAAAA==&#10;">
                      <v:fill on="f" focussize="0,0"/>
                      <v:stroke on="f"/>
                      <v:imagedata o:title=""/>
                      <o:lock v:ext="edit" aspectratio="f"/>
                      <v:textbox>
                        <w:txbxContent>
                          <w:p w14:paraId="2257AE22">
                            <w:pPr>
                              <w:rPr>
                                <w:rFonts w:hint="eastAsia"/>
                                <w:sz w:val="18"/>
                                <w:szCs w:val="18"/>
                              </w:rPr>
                            </w:pPr>
                            <w:r>
                              <w:rPr>
                                <w:rFonts w:hint="eastAsia"/>
                                <w:sz w:val="18"/>
                                <w:szCs w:val="18"/>
                              </w:rPr>
                              <w:t>项目</w:t>
                            </w:r>
                          </w:p>
                        </w:txbxContent>
                      </v:textbox>
                    </v:shape>
                  </w:pict>
                </mc:Fallback>
              </mc:AlternateContent>
            </w:r>
          </w:p>
        </w:tc>
        <w:tc>
          <w:tcPr>
            <w:tcW w:w="1076" w:type="dxa"/>
            <w:noWrap w:val="0"/>
            <w:vAlign w:val="center"/>
          </w:tcPr>
          <w:p w14:paraId="0F8326D1">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w:t>
            </w:r>
          </w:p>
        </w:tc>
        <w:tc>
          <w:tcPr>
            <w:tcW w:w="1124" w:type="dxa"/>
            <w:noWrap w:val="0"/>
            <w:vAlign w:val="center"/>
          </w:tcPr>
          <w:p w14:paraId="5FC6657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2</w:t>
            </w:r>
          </w:p>
        </w:tc>
        <w:tc>
          <w:tcPr>
            <w:tcW w:w="1260" w:type="dxa"/>
            <w:noWrap w:val="0"/>
            <w:vAlign w:val="center"/>
          </w:tcPr>
          <w:p w14:paraId="33799761">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3</w:t>
            </w:r>
          </w:p>
        </w:tc>
        <w:tc>
          <w:tcPr>
            <w:tcW w:w="1260" w:type="dxa"/>
            <w:noWrap w:val="0"/>
            <w:vAlign w:val="top"/>
          </w:tcPr>
          <w:p w14:paraId="5E3CAF35">
            <w:pPr>
              <w:keepNext w:val="0"/>
              <w:keepLines w:val="0"/>
              <w:suppressLineNumbers w:val="0"/>
              <w:spacing w:before="0" w:beforeAutospacing="0" w:after="0" w:afterAutospacing="0" w:line="440" w:lineRule="exact"/>
              <w:ind w:left="0" w:right="0"/>
              <w:jc w:val="center"/>
              <w:rPr>
                <w:rFonts w:hint="eastAsia"/>
                <w:color w:val="000000"/>
                <w:sz w:val="21"/>
                <w:szCs w:val="21"/>
              </w:rPr>
            </w:pPr>
          </w:p>
          <w:p w14:paraId="7E4874E6">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4</w:t>
            </w:r>
          </w:p>
        </w:tc>
        <w:tc>
          <w:tcPr>
            <w:tcW w:w="1260" w:type="dxa"/>
            <w:noWrap w:val="0"/>
            <w:vAlign w:val="top"/>
          </w:tcPr>
          <w:p w14:paraId="6BA3E188">
            <w:pPr>
              <w:keepNext w:val="0"/>
              <w:keepLines w:val="0"/>
              <w:suppressLineNumbers w:val="0"/>
              <w:spacing w:before="0" w:beforeAutospacing="0" w:after="0" w:afterAutospacing="0" w:line="440" w:lineRule="exact"/>
              <w:ind w:left="0" w:right="0"/>
              <w:jc w:val="center"/>
              <w:rPr>
                <w:rFonts w:hint="eastAsia"/>
                <w:color w:val="000000"/>
                <w:sz w:val="21"/>
                <w:szCs w:val="21"/>
              </w:rPr>
            </w:pPr>
          </w:p>
          <w:p w14:paraId="114A2107">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5</w:t>
            </w:r>
          </w:p>
        </w:tc>
      </w:tr>
      <w:tr w14:paraId="066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5" w:type="dxa"/>
            <w:noWrap w:val="0"/>
            <w:vAlign w:val="center"/>
          </w:tcPr>
          <w:p w14:paraId="5B70CF47">
            <w:pPr>
              <w:keepNext w:val="0"/>
              <w:keepLines w:val="0"/>
              <w:suppressLineNumbers w:val="0"/>
              <w:spacing w:before="0" w:beforeAutospacing="0" w:after="0" w:afterAutospacing="0" w:line="440" w:lineRule="exact"/>
              <w:ind w:left="0" w:right="0"/>
              <w:rPr>
                <w:rFonts w:hint="eastAsia"/>
                <w:color w:val="000000"/>
                <w:sz w:val="21"/>
                <w:szCs w:val="21"/>
              </w:rPr>
            </w:pPr>
            <w:r>
              <w:rPr>
                <w:rFonts w:hint="eastAsia"/>
                <w:color w:val="000000"/>
                <w:sz w:val="21"/>
                <w:szCs w:val="21"/>
              </w:rPr>
              <w:t>进水压力（Mpa）</w:t>
            </w:r>
          </w:p>
        </w:tc>
        <w:tc>
          <w:tcPr>
            <w:tcW w:w="1076" w:type="dxa"/>
            <w:noWrap w:val="0"/>
            <w:vAlign w:val="center"/>
          </w:tcPr>
          <w:p w14:paraId="390718B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≥0.3</w:t>
            </w:r>
          </w:p>
        </w:tc>
        <w:tc>
          <w:tcPr>
            <w:tcW w:w="1124" w:type="dxa"/>
            <w:noWrap w:val="0"/>
            <w:vAlign w:val="center"/>
          </w:tcPr>
          <w:p w14:paraId="0E1F5C3A">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≥0.3</w:t>
            </w:r>
          </w:p>
        </w:tc>
        <w:tc>
          <w:tcPr>
            <w:tcW w:w="1260" w:type="dxa"/>
            <w:noWrap w:val="0"/>
            <w:vAlign w:val="center"/>
          </w:tcPr>
          <w:p w14:paraId="2CD16B02">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≥0.3</w:t>
            </w:r>
          </w:p>
        </w:tc>
        <w:tc>
          <w:tcPr>
            <w:tcW w:w="1260" w:type="dxa"/>
            <w:noWrap w:val="0"/>
            <w:vAlign w:val="center"/>
          </w:tcPr>
          <w:p w14:paraId="5D92C133">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≥0.3</w:t>
            </w:r>
          </w:p>
        </w:tc>
        <w:tc>
          <w:tcPr>
            <w:tcW w:w="1260" w:type="dxa"/>
            <w:noWrap w:val="0"/>
            <w:vAlign w:val="center"/>
          </w:tcPr>
          <w:p w14:paraId="7FED340B">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≥0.3</w:t>
            </w:r>
          </w:p>
        </w:tc>
      </w:tr>
      <w:tr w14:paraId="0DBB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65" w:type="dxa"/>
            <w:noWrap w:val="0"/>
            <w:vAlign w:val="center"/>
          </w:tcPr>
          <w:p w14:paraId="4BB2F0B5">
            <w:pPr>
              <w:keepNext w:val="0"/>
              <w:keepLines w:val="0"/>
              <w:suppressLineNumbers w:val="0"/>
              <w:spacing w:before="0" w:beforeAutospacing="0" w:after="0" w:afterAutospacing="0" w:line="440" w:lineRule="exact"/>
              <w:ind w:left="0" w:right="0"/>
              <w:rPr>
                <w:rFonts w:hint="eastAsia"/>
                <w:color w:val="000000"/>
                <w:sz w:val="21"/>
                <w:szCs w:val="21"/>
              </w:rPr>
            </w:pPr>
            <w:r>
              <w:rPr>
                <w:rFonts w:hint="eastAsia"/>
                <w:color w:val="000000"/>
                <w:sz w:val="21"/>
                <w:szCs w:val="21"/>
              </w:rPr>
              <w:t>进水介质</w:t>
            </w:r>
          </w:p>
        </w:tc>
        <w:tc>
          <w:tcPr>
            <w:tcW w:w="1076" w:type="dxa"/>
            <w:noWrap w:val="0"/>
            <w:vAlign w:val="center"/>
          </w:tcPr>
          <w:p w14:paraId="7D5A79C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124" w:type="dxa"/>
            <w:noWrap w:val="0"/>
            <w:vAlign w:val="center"/>
          </w:tcPr>
          <w:p w14:paraId="67578A71">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260" w:type="dxa"/>
            <w:noWrap w:val="0"/>
            <w:vAlign w:val="center"/>
          </w:tcPr>
          <w:p w14:paraId="5FB09A8C">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260" w:type="dxa"/>
            <w:noWrap w:val="0"/>
            <w:vAlign w:val="center"/>
          </w:tcPr>
          <w:p w14:paraId="2B896731">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260" w:type="dxa"/>
            <w:noWrap w:val="0"/>
            <w:vAlign w:val="center"/>
          </w:tcPr>
          <w:p w14:paraId="6064E5D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r>
      <w:tr w14:paraId="356B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165" w:type="dxa"/>
            <w:noWrap w:val="0"/>
            <w:vAlign w:val="center"/>
          </w:tcPr>
          <w:p w14:paraId="7B7C2BA3">
            <w:pPr>
              <w:keepNext w:val="0"/>
              <w:keepLines w:val="0"/>
              <w:suppressLineNumbers w:val="0"/>
              <w:spacing w:before="0" w:beforeAutospacing="0" w:after="0" w:afterAutospacing="0" w:line="440" w:lineRule="exact"/>
              <w:ind w:left="0" w:right="0"/>
              <w:rPr>
                <w:rFonts w:hint="eastAsia"/>
                <w:color w:val="000000"/>
                <w:sz w:val="21"/>
                <w:szCs w:val="21"/>
              </w:rPr>
            </w:pPr>
            <w:r>
              <w:rPr>
                <w:rFonts w:hint="eastAsia"/>
                <w:color w:val="000000"/>
                <w:sz w:val="21"/>
                <w:szCs w:val="21"/>
              </w:rPr>
              <w:t>工作介质温度（</w:t>
            </w:r>
            <w:r>
              <w:rPr>
                <w:rFonts w:hint="eastAsia" w:hAnsi="宋体"/>
                <w:color w:val="000000"/>
                <w:sz w:val="21"/>
                <w:szCs w:val="21"/>
              </w:rPr>
              <w:t>℃</w:t>
            </w:r>
          </w:p>
        </w:tc>
        <w:tc>
          <w:tcPr>
            <w:tcW w:w="1076" w:type="dxa"/>
            <w:noWrap w:val="0"/>
            <w:vAlign w:val="center"/>
          </w:tcPr>
          <w:p w14:paraId="6CB3A600">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124" w:type="dxa"/>
            <w:noWrap w:val="0"/>
            <w:vAlign w:val="center"/>
          </w:tcPr>
          <w:p w14:paraId="1F30703A">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260" w:type="dxa"/>
            <w:noWrap w:val="0"/>
            <w:vAlign w:val="center"/>
          </w:tcPr>
          <w:p w14:paraId="2D06B6F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260" w:type="dxa"/>
            <w:noWrap w:val="0"/>
            <w:vAlign w:val="center"/>
          </w:tcPr>
          <w:p w14:paraId="2FDAC98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260" w:type="dxa"/>
            <w:noWrap w:val="0"/>
            <w:vAlign w:val="center"/>
          </w:tcPr>
          <w:p w14:paraId="5ADB60D2">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r>
      <w:tr w14:paraId="2C0E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165" w:type="dxa"/>
            <w:noWrap w:val="0"/>
            <w:vAlign w:val="center"/>
          </w:tcPr>
          <w:p w14:paraId="3ABEF102">
            <w:pPr>
              <w:keepNext w:val="0"/>
              <w:keepLines w:val="0"/>
              <w:suppressLineNumbers w:val="0"/>
              <w:spacing w:before="0" w:beforeAutospacing="0" w:after="0" w:afterAutospacing="0" w:line="440" w:lineRule="exact"/>
              <w:ind w:left="0" w:right="0"/>
              <w:rPr>
                <w:rFonts w:hint="eastAsia"/>
                <w:color w:val="000000"/>
                <w:sz w:val="21"/>
                <w:szCs w:val="21"/>
              </w:rPr>
            </w:pPr>
            <w:r>
              <w:rPr>
                <w:rFonts w:hint="eastAsia"/>
                <w:color w:val="000000"/>
                <w:sz w:val="21"/>
                <w:szCs w:val="21"/>
              </w:rPr>
              <w:t>处理量（m</w:t>
            </w:r>
            <w:r>
              <w:rPr>
                <w:rFonts w:hint="eastAsia"/>
                <w:color w:val="000000"/>
                <w:sz w:val="21"/>
                <w:szCs w:val="21"/>
                <w:vertAlign w:val="superscript"/>
              </w:rPr>
              <w:t>3</w:t>
            </w:r>
            <w:r>
              <w:rPr>
                <w:rFonts w:hint="eastAsia"/>
                <w:color w:val="000000"/>
                <w:sz w:val="21"/>
                <w:szCs w:val="21"/>
              </w:rPr>
              <w:t>/h）</w:t>
            </w:r>
          </w:p>
        </w:tc>
        <w:tc>
          <w:tcPr>
            <w:tcW w:w="1076" w:type="dxa"/>
            <w:noWrap w:val="0"/>
            <w:vAlign w:val="center"/>
          </w:tcPr>
          <w:p w14:paraId="50FBE164">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10</w:t>
            </w:r>
          </w:p>
        </w:tc>
        <w:tc>
          <w:tcPr>
            <w:tcW w:w="1124" w:type="dxa"/>
            <w:noWrap w:val="0"/>
            <w:vAlign w:val="center"/>
          </w:tcPr>
          <w:p w14:paraId="7CB4ECA3">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60" w:type="dxa"/>
            <w:noWrap w:val="0"/>
            <w:vAlign w:val="center"/>
          </w:tcPr>
          <w:p w14:paraId="78EBC633">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60" w:type="dxa"/>
            <w:noWrap w:val="0"/>
            <w:vAlign w:val="center"/>
          </w:tcPr>
          <w:p w14:paraId="4C984A76">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60" w:type="dxa"/>
            <w:noWrap w:val="0"/>
            <w:vAlign w:val="center"/>
          </w:tcPr>
          <w:p w14:paraId="2EA1B9E4">
            <w:pPr>
              <w:keepNext w:val="0"/>
              <w:keepLines w:val="0"/>
              <w:suppressLineNumbers w:val="0"/>
              <w:spacing w:before="0" w:beforeAutospacing="0" w:after="0" w:afterAutospacing="0" w:line="440" w:lineRule="exact"/>
              <w:ind w:left="0" w:right="0"/>
              <w:jc w:val="center"/>
              <w:rPr>
                <w:rFonts w:hint="eastAsia"/>
                <w:color w:val="000000"/>
                <w:sz w:val="21"/>
                <w:szCs w:val="21"/>
              </w:rPr>
            </w:pPr>
          </w:p>
        </w:tc>
      </w:tr>
      <w:tr w14:paraId="03E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65" w:type="dxa"/>
            <w:noWrap w:val="0"/>
            <w:vAlign w:val="center"/>
          </w:tcPr>
          <w:p w14:paraId="48F12A48">
            <w:pPr>
              <w:keepNext w:val="0"/>
              <w:keepLines w:val="0"/>
              <w:suppressLineNumbers w:val="0"/>
              <w:spacing w:before="0" w:beforeAutospacing="0" w:after="0" w:afterAutospacing="0" w:line="440" w:lineRule="exact"/>
              <w:ind w:left="0" w:right="0"/>
              <w:rPr>
                <w:rFonts w:hint="eastAsia"/>
                <w:color w:val="000000"/>
                <w:sz w:val="21"/>
                <w:szCs w:val="21"/>
              </w:rPr>
            </w:pPr>
            <w:r>
              <w:rPr>
                <w:rFonts w:hint="eastAsia"/>
                <w:color w:val="000000"/>
                <w:sz w:val="21"/>
                <w:szCs w:val="21"/>
              </w:rPr>
              <w:t>配用法兰压力（Mpa）</w:t>
            </w:r>
          </w:p>
        </w:tc>
        <w:tc>
          <w:tcPr>
            <w:tcW w:w="1076" w:type="dxa"/>
            <w:noWrap w:val="0"/>
            <w:vAlign w:val="center"/>
          </w:tcPr>
          <w:p w14:paraId="3D86D3D4">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1.0</w:t>
            </w:r>
          </w:p>
        </w:tc>
        <w:tc>
          <w:tcPr>
            <w:tcW w:w="1124" w:type="dxa"/>
            <w:noWrap w:val="0"/>
            <w:vAlign w:val="center"/>
          </w:tcPr>
          <w:p w14:paraId="75875AD6">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60" w:type="dxa"/>
            <w:noWrap w:val="0"/>
            <w:vAlign w:val="center"/>
          </w:tcPr>
          <w:p w14:paraId="4E55DF18">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60" w:type="dxa"/>
            <w:noWrap w:val="0"/>
            <w:vAlign w:val="top"/>
          </w:tcPr>
          <w:p w14:paraId="7D06FA3D">
            <w:pPr>
              <w:keepNext w:val="0"/>
              <w:keepLines w:val="0"/>
              <w:suppressLineNumbers w:val="0"/>
              <w:spacing w:before="0" w:beforeAutospacing="0" w:after="0" w:afterAutospacing="0" w:line="440" w:lineRule="exact"/>
              <w:ind w:left="0" w:right="0"/>
              <w:jc w:val="center"/>
              <w:rPr>
                <w:color w:val="000000"/>
                <w:sz w:val="21"/>
                <w:szCs w:val="21"/>
              </w:rPr>
            </w:pPr>
          </w:p>
        </w:tc>
        <w:tc>
          <w:tcPr>
            <w:tcW w:w="1260" w:type="dxa"/>
            <w:noWrap w:val="0"/>
            <w:vAlign w:val="top"/>
          </w:tcPr>
          <w:p w14:paraId="5CBA0C1E">
            <w:pPr>
              <w:keepNext w:val="0"/>
              <w:keepLines w:val="0"/>
              <w:suppressLineNumbers w:val="0"/>
              <w:spacing w:before="0" w:beforeAutospacing="0" w:after="0" w:afterAutospacing="0" w:line="440" w:lineRule="exact"/>
              <w:ind w:left="0" w:right="0"/>
              <w:jc w:val="center"/>
              <w:rPr>
                <w:color w:val="000000"/>
                <w:sz w:val="21"/>
                <w:szCs w:val="21"/>
              </w:rPr>
            </w:pPr>
          </w:p>
        </w:tc>
      </w:tr>
    </w:tbl>
    <w:p w14:paraId="24B2C37E">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备注：水处理所有设备整体高度不超过4米</w:t>
      </w:r>
    </w:p>
    <w:p w14:paraId="4DE8DCB0">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3.2.1.1出水总硬度：≤0.3mmol/L</w:t>
      </w:r>
    </w:p>
    <w:p w14:paraId="470F75B5">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3.2.1.2控制方式：全自动</w:t>
      </w:r>
    </w:p>
    <w:p w14:paraId="5B1E163C">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3.2.1.3环境温度：1~40℃</w:t>
      </w:r>
    </w:p>
    <w:p w14:paraId="1B615CD7">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  技术要求</w:t>
      </w:r>
    </w:p>
    <w:p w14:paraId="5220631F">
      <w:pPr>
        <w:spacing w:line="440" w:lineRule="exact"/>
        <w:ind w:firstLine="525" w:firstLineChars="250"/>
        <w:rPr>
          <w:rFonts w:hint="eastAsia" w:hAnsi="宋体"/>
          <w:color w:val="000000"/>
          <w:sz w:val="21"/>
          <w:szCs w:val="21"/>
        </w:rPr>
      </w:pPr>
      <w:r>
        <w:rPr>
          <w:rFonts w:hint="eastAsia"/>
          <w:color w:val="000000"/>
          <w:sz w:val="21"/>
          <w:szCs w:val="21"/>
        </w:rPr>
        <w:t>3.2.2.1  软水装置为全自动软化设备，所有设备成套组装在一个底座上，</w:t>
      </w:r>
      <w:r>
        <w:rPr>
          <w:rFonts w:hint="eastAsia" w:hAnsi="宋体"/>
          <w:color w:val="000000"/>
          <w:sz w:val="21"/>
          <w:szCs w:val="21"/>
        </w:rPr>
        <w:t>设备底座必须进行防腐处理。</w:t>
      </w:r>
    </w:p>
    <w:p w14:paraId="0F956F83">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3.2.2.2 结构型式：双罐体立式</w:t>
      </w:r>
    </w:p>
    <w:p w14:paraId="2FF97B24">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3.2.2.3罐体材质：304不锈钢材质</w:t>
      </w:r>
    </w:p>
    <w:p w14:paraId="01ED81AC">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3.2.2.4处理方式：单级浮动床逆流再生钠离子交换</w:t>
      </w:r>
    </w:p>
    <w:p w14:paraId="63A2F370">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3.2.2.5控制方式：</w:t>
      </w:r>
      <w:r>
        <w:rPr>
          <w:rFonts w:hint="eastAsia" w:ascii="宋体" w:hAnsi="宋体" w:cs="宋体"/>
          <w:color w:val="auto"/>
          <w:sz w:val="21"/>
          <w:szCs w:val="21"/>
        </w:rPr>
        <w:t>软化及盐液系统能够保证双柱交替工作，连续产水，自动兼手动控制，盐液输送同时自动进行，控制盐液自动向软化系统中补充浓盐液。微电脑显示，</w:t>
      </w:r>
      <w:r>
        <w:rPr>
          <w:rFonts w:hint="eastAsia"/>
          <w:color w:val="auto"/>
          <w:sz w:val="21"/>
          <w:szCs w:val="21"/>
        </w:rPr>
        <w:t>带通讯输出，支持Modbus协议</w:t>
      </w:r>
      <w:r>
        <w:rPr>
          <w:rFonts w:hint="eastAsia" w:ascii="宋体" w:hAnsi="宋体" w:cs="宋体"/>
          <w:color w:val="auto"/>
          <w:sz w:val="21"/>
          <w:szCs w:val="21"/>
        </w:rPr>
        <w:t>。能够实现在线检修。</w:t>
      </w:r>
      <w:r>
        <w:rPr>
          <w:rFonts w:hint="eastAsia" w:ascii="宋体" w:hAnsi="宋体" w:cs="宋体"/>
          <w:color w:val="auto"/>
          <w:sz w:val="21"/>
          <w:szCs w:val="21"/>
          <w:lang w:eastAsia="zh-CN"/>
        </w:rPr>
        <w:t>不得采用离子交换器罐体</w:t>
      </w:r>
      <w:r>
        <w:rPr>
          <w:rFonts w:hint="eastAsia"/>
          <w:color w:val="auto"/>
          <w:sz w:val="21"/>
          <w:szCs w:val="21"/>
          <w:lang w:val="en-US" w:eastAsia="zh-CN"/>
        </w:rPr>
        <w:t>顶部为整体控制头的控制方式。</w:t>
      </w:r>
    </w:p>
    <w:p w14:paraId="6B597EFA">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3.2.2.6进出水装置材质：应选用防盐、氯腐蚀性材料。</w:t>
      </w:r>
    </w:p>
    <w:p w14:paraId="7BBFE20F">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3.2.2.7树脂装填高度：为罐体的80－90%，按照100%膨胀考虑；树脂采用漂来特或罗门哈斯产品</w:t>
      </w:r>
    </w:p>
    <w:p w14:paraId="3F7E2161">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3.2.2.8 设计压力：1.0M</w:t>
      </w:r>
      <w:r>
        <w:rPr>
          <w:color w:val="000000"/>
          <w:sz w:val="21"/>
          <w:szCs w:val="21"/>
        </w:rPr>
        <w:t>p</w:t>
      </w:r>
      <w:r>
        <w:rPr>
          <w:rFonts w:hint="eastAsia"/>
          <w:color w:val="000000"/>
          <w:sz w:val="21"/>
          <w:szCs w:val="21"/>
        </w:rPr>
        <w:t>a</w:t>
      </w:r>
    </w:p>
    <w:p w14:paraId="0DC2098E">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3.2.2.9 成套装置的机架材质：Q235，外喷涂耐盐油漆</w:t>
      </w:r>
    </w:p>
    <w:p w14:paraId="16C8E21E">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lang w:val="en-US" w:eastAsia="zh-CN"/>
        </w:rPr>
        <w:t>质保期内，每年供热结束后，负责补充足够量的树脂。</w:t>
      </w:r>
    </w:p>
    <w:p w14:paraId="03E1F552">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3.2.3电气及控制</w:t>
      </w:r>
    </w:p>
    <w:p w14:paraId="040A2645">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3.2.3.1</w:t>
      </w:r>
      <w:r>
        <w:rPr>
          <w:color w:val="000000"/>
          <w:sz w:val="21"/>
          <w:szCs w:val="21"/>
        </w:rPr>
        <w:t>投标方成套提供完整的全部就地仪表、控制箱、仪表盘（箱）、电磁阀箱和接线箱（盒）等测控设备，列出所供的仪表，并指出其用途、制造厂和型号。</w:t>
      </w:r>
    </w:p>
    <w:p w14:paraId="31DCAA32">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3.2.4其它要求</w:t>
      </w:r>
    </w:p>
    <w:p w14:paraId="468BC238">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3.2.4.1中标后提供电子版的安装图纸、技术性能参数及控制原理图</w:t>
      </w:r>
    </w:p>
    <w:p w14:paraId="4A067C54">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3.2.4.2接管法兰、垫片及紧固件按化工行业标准HG20592-97;HG20607-97;HG20613-97;HG20614-97执行，PN</w:t>
      </w:r>
      <w:r>
        <w:rPr>
          <w:color w:val="000000"/>
          <w:sz w:val="21"/>
          <w:szCs w:val="21"/>
        </w:rPr>
        <w:softHyphen/>
      </w:r>
      <w:r>
        <w:rPr>
          <w:rFonts w:hint="eastAsia"/>
          <w:color w:val="000000"/>
          <w:sz w:val="21"/>
          <w:szCs w:val="21"/>
        </w:rPr>
        <w:t>=1.0MPa</w:t>
      </w:r>
    </w:p>
    <w:p w14:paraId="5E6951D8">
      <w:pPr>
        <w:tabs>
          <w:tab w:val="left" w:pos="426"/>
          <w:tab w:val="left" w:pos="4253"/>
          <w:tab w:val="left" w:pos="5670"/>
          <w:tab w:val="left" w:pos="7088"/>
        </w:tabs>
        <w:spacing w:line="440" w:lineRule="exact"/>
        <w:ind w:firstLine="550" w:firstLineChars="262"/>
        <w:rPr>
          <w:rFonts w:hint="eastAsia"/>
          <w:color w:val="000000"/>
          <w:sz w:val="21"/>
          <w:szCs w:val="21"/>
          <w:lang w:eastAsia="zh-CN"/>
        </w:rPr>
      </w:pPr>
      <w:r>
        <w:rPr>
          <w:rFonts w:hint="eastAsia"/>
          <w:color w:val="000000"/>
          <w:sz w:val="21"/>
          <w:szCs w:val="21"/>
        </w:rPr>
        <w:t>3.2.4.3供货范围：自</w:t>
      </w:r>
      <w:r>
        <w:rPr>
          <w:rFonts w:hint="eastAsia"/>
          <w:color w:val="000000"/>
          <w:sz w:val="21"/>
          <w:szCs w:val="21"/>
          <w:lang w:eastAsia="zh-CN"/>
        </w:rPr>
        <w:t>来水</w:t>
      </w:r>
      <w:r>
        <w:rPr>
          <w:rFonts w:hint="eastAsia"/>
          <w:color w:val="000000"/>
          <w:sz w:val="21"/>
          <w:szCs w:val="21"/>
        </w:rPr>
        <w:t>出口（含阀门）至</w:t>
      </w:r>
      <w:r>
        <w:rPr>
          <w:rFonts w:hint="eastAsia"/>
          <w:color w:val="000000"/>
          <w:sz w:val="21"/>
          <w:szCs w:val="21"/>
          <w:lang w:eastAsia="zh-CN"/>
        </w:rPr>
        <w:t>机组补水泵入口</w:t>
      </w:r>
      <w:r>
        <w:rPr>
          <w:rFonts w:hint="eastAsia"/>
          <w:color w:val="000000"/>
          <w:sz w:val="21"/>
          <w:szCs w:val="21"/>
        </w:rPr>
        <w:t>之间的所有设备</w:t>
      </w:r>
      <w:r>
        <w:rPr>
          <w:rFonts w:hint="eastAsia"/>
          <w:color w:val="000000"/>
          <w:sz w:val="21"/>
          <w:szCs w:val="21"/>
          <w:lang w:eastAsia="zh-CN"/>
        </w:rPr>
        <w:t>。</w:t>
      </w:r>
    </w:p>
    <w:p w14:paraId="0E73E686">
      <w:pPr>
        <w:tabs>
          <w:tab w:val="left" w:pos="426"/>
          <w:tab w:val="left" w:pos="4253"/>
          <w:tab w:val="left" w:pos="5670"/>
          <w:tab w:val="left" w:pos="7088"/>
        </w:tabs>
        <w:spacing w:line="440" w:lineRule="exact"/>
        <w:ind w:firstLine="550" w:firstLineChars="262"/>
        <w:rPr>
          <w:color w:val="000000"/>
          <w:sz w:val="21"/>
          <w:szCs w:val="21"/>
        </w:rPr>
      </w:pPr>
      <w:r>
        <w:rPr>
          <w:rFonts w:hint="eastAsia"/>
          <w:color w:val="000000"/>
          <w:sz w:val="21"/>
          <w:szCs w:val="21"/>
        </w:rPr>
        <w:t>3.2.4.4</w:t>
      </w:r>
      <w:r>
        <w:rPr>
          <w:color w:val="000000"/>
          <w:sz w:val="21"/>
          <w:szCs w:val="21"/>
        </w:rPr>
        <w:t>在投标文件中应详细描述各部分工艺系统设备选用原则、运行工况以及自动控制方式及控制参数等。</w:t>
      </w:r>
    </w:p>
    <w:p w14:paraId="315D6BA5">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3.2.4.5外购配部件，应符合相应的国家标准要求。</w:t>
      </w:r>
    </w:p>
    <w:p w14:paraId="2F6DF8A6">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3.2.4.6树脂采用漂来特或罗门哈斯产品。</w:t>
      </w:r>
    </w:p>
    <w:p w14:paraId="297DACF5">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3.2.4.7设备制造及验收标准</w:t>
      </w:r>
    </w:p>
    <w:p w14:paraId="71632F15">
      <w:pPr>
        <w:tabs>
          <w:tab w:val="left" w:pos="426"/>
          <w:tab w:val="left" w:pos="4253"/>
          <w:tab w:val="left" w:pos="5670"/>
          <w:tab w:val="left" w:pos="7088"/>
        </w:tabs>
        <w:spacing w:line="440" w:lineRule="exact"/>
        <w:ind w:firstLine="550" w:firstLineChars="262"/>
        <w:rPr>
          <w:color w:val="000000"/>
          <w:sz w:val="21"/>
          <w:szCs w:val="21"/>
        </w:rPr>
      </w:pPr>
      <w:r>
        <w:rPr>
          <w:color w:val="000000"/>
          <w:sz w:val="21"/>
          <w:szCs w:val="21"/>
        </w:rPr>
        <w:t>GB150《钢制压力容器》</w:t>
      </w:r>
      <w:r>
        <w:rPr>
          <w:rFonts w:hint="eastAsia"/>
          <w:color w:val="000000"/>
          <w:sz w:val="21"/>
          <w:szCs w:val="21"/>
        </w:rPr>
        <w:t>；</w:t>
      </w:r>
      <w:r>
        <w:rPr>
          <w:color w:val="000000"/>
          <w:sz w:val="21"/>
          <w:szCs w:val="21"/>
        </w:rPr>
        <w:t>《压力容器安全监察规程》</w:t>
      </w:r>
    </w:p>
    <w:p w14:paraId="683816C4">
      <w:pPr>
        <w:tabs>
          <w:tab w:val="left" w:pos="426"/>
          <w:tab w:val="left" w:pos="4253"/>
          <w:tab w:val="left" w:pos="5670"/>
          <w:tab w:val="left" w:pos="7088"/>
        </w:tabs>
        <w:spacing w:line="440" w:lineRule="exact"/>
        <w:ind w:firstLine="550" w:firstLineChars="262"/>
        <w:rPr>
          <w:color w:val="000000"/>
          <w:sz w:val="21"/>
          <w:szCs w:val="21"/>
        </w:rPr>
      </w:pPr>
      <w:r>
        <w:rPr>
          <w:color w:val="000000"/>
          <w:sz w:val="21"/>
          <w:szCs w:val="21"/>
        </w:rPr>
        <w:t xml:space="preserve">JB2932《水处理设备制造技术条件》  </w:t>
      </w:r>
    </w:p>
    <w:p w14:paraId="210282A2">
      <w:pPr>
        <w:tabs>
          <w:tab w:val="left" w:pos="426"/>
          <w:tab w:val="left" w:pos="4253"/>
          <w:tab w:val="left" w:pos="5670"/>
          <w:tab w:val="left" w:pos="7088"/>
        </w:tabs>
        <w:spacing w:line="440" w:lineRule="exact"/>
        <w:ind w:firstLine="550" w:firstLineChars="262"/>
        <w:rPr>
          <w:color w:val="000000"/>
          <w:sz w:val="21"/>
          <w:szCs w:val="21"/>
        </w:rPr>
      </w:pPr>
      <w:r>
        <w:rPr>
          <w:color w:val="000000"/>
          <w:sz w:val="21"/>
          <w:szCs w:val="21"/>
        </w:rPr>
        <w:t>SDDZ037《电厂水处理设备制造质量分等标准》</w:t>
      </w:r>
    </w:p>
    <w:p w14:paraId="72EB8721">
      <w:pPr>
        <w:tabs>
          <w:tab w:val="left" w:pos="426"/>
          <w:tab w:val="left" w:pos="4253"/>
          <w:tab w:val="left" w:pos="5670"/>
          <w:tab w:val="left" w:pos="7088"/>
        </w:tabs>
        <w:spacing w:line="440" w:lineRule="exact"/>
        <w:ind w:firstLine="550" w:firstLineChars="262"/>
        <w:rPr>
          <w:color w:val="000000"/>
          <w:sz w:val="21"/>
          <w:szCs w:val="21"/>
        </w:rPr>
      </w:pPr>
      <w:r>
        <w:rPr>
          <w:color w:val="000000"/>
          <w:sz w:val="21"/>
          <w:szCs w:val="21"/>
        </w:rPr>
        <w:t>HGJ320-91《橡胶衬里化工设备》</w:t>
      </w:r>
    </w:p>
    <w:p w14:paraId="22E30F54">
      <w:pPr>
        <w:tabs>
          <w:tab w:val="left" w:pos="426"/>
          <w:tab w:val="left" w:pos="4253"/>
          <w:tab w:val="left" w:pos="5670"/>
          <w:tab w:val="left" w:pos="7088"/>
        </w:tabs>
        <w:spacing w:line="440" w:lineRule="exact"/>
        <w:ind w:firstLine="550" w:firstLineChars="262"/>
        <w:rPr>
          <w:color w:val="000000"/>
          <w:sz w:val="21"/>
          <w:szCs w:val="21"/>
        </w:rPr>
      </w:pPr>
      <w:r>
        <w:rPr>
          <w:color w:val="000000"/>
          <w:sz w:val="21"/>
          <w:szCs w:val="21"/>
        </w:rPr>
        <w:t>DC130A16《橡胶衬里设备技术条件》</w:t>
      </w:r>
    </w:p>
    <w:p w14:paraId="069DB3F0">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 xml:space="preserve">3.3软化水补水箱 </w:t>
      </w:r>
    </w:p>
    <w:p w14:paraId="44D5EC16">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3.3.1技术参数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030"/>
        <w:gridCol w:w="1080"/>
        <w:gridCol w:w="1080"/>
        <w:gridCol w:w="1080"/>
        <w:gridCol w:w="1080"/>
      </w:tblGrid>
      <w:tr w14:paraId="2255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76" w:type="dxa"/>
            <w:noWrap w:val="0"/>
            <w:vAlign w:val="center"/>
          </w:tcPr>
          <w:p w14:paraId="17E674A5">
            <w:pPr>
              <w:keepNext w:val="0"/>
              <w:keepLines w:val="0"/>
              <w:suppressLineNumbers w:val="0"/>
              <w:tabs>
                <w:tab w:val="left" w:pos="426"/>
                <w:tab w:val="left" w:pos="4253"/>
                <w:tab w:val="left" w:pos="5670"/>
                <w:tab w:val="left" w:pos="7088"/>
              </w:tabs>
              <w:spacing w:before="0" w:beforeAutospacing="0" w:after="0" w:afterAutospacing="0" w:line="440" w:lineRule="exact"/>
              <w:ind w:left="0" w:right="0" w:firstLine="550" w:firstLineChars="262"/>
              <w:rPr>
                <w:rFonts w:hint="eastAsia" w:hAnsi="宋体" w:eastAsia="宋体"/>
                <w:color w:val="000000"/>
                <w:sz w:val="21"/>
                <w:szCs w:val="21"/>
                <w:lang w:eastAsia="zh-CN"/>
              </w:rPr>
            </w:pPr>
            <w:r>
              <w:rPr>
                <w:rFonts w:hint="eastAsia" w:hAnsi="宋体"/>
                <w:color w:val="000000"/>
                <w:sz w:val="21"/>
                <w:szCs w:val="21"/>
                <w:lang w:eastAsia="zh-CN"/>
              </w:rPr>
              <w:t>序号</w:t>
            </w:r>
          </w:p>
        </w:tc>
        <w:tc>
          <w:tcPr>
            <w:tcW w:w="1030" w:type="dxa"/>
            <w:noWrap w:val="0"/>
            <w:vAlign w:val="center"/>
          </w:tcPr>
          <w:p w14:paraId="6C1C55BC">
            <w:pPr>
              <w:keepNext w:val="0"/>
              <w:keepLines w:val="0"/>
              <w:suppressLineNumbers w:val="0"/>
              <w:tabs>
                <w:tab w:val="left" w:pos="426"/>
                <w:tab w:val="left" w:pos="4253"/>
                <w:tab w:val="left" w:pos="5670"/>
                <w:tab w:val="left" w:pos="7088"/>
              </w:tabs>
              <w:spacing w:before="0" w:beforeAutospacing="0" w:after="0" w:afterAutospacing="0" w:line="440" w:lineRule="exact"/>
              <w:ind w:left="0" w:right="0" w:firstLine="550" w:firstLineChars="262"/>
              <w:jc w:val="center"/>
              <w:rPr>
                <w:rFonts w:hint="eastAsia" w:hAnsi="宋体"/>
                <w:color w:val="000000"/>
                <w:sz w:val="21"/>
                <w:szCs w:val="21"/>
              </w:rPr>
            </w:pPr>
            <w:r>
              <w:rPr>
                <w:rFonts w:hint="eastAsia" w:hAnsi="宋体"/>
                <w:color w:val="000000"/>
                <w:sz w:val="21"/>
                <w:szCs w:val="21"/>
              </w:rPr>
              <w:t>1</w:t>
            </w:r>
          </w:p>
        </w:tc>
        <w:tc>
          <w:tcPr>
            <w:tcW w:w="1080" w:type="dxa"/>
            <w:noWrap w:val="0"/>
            <w:vAlign w:val="center"/>
          </w:tcPr>
          <w:p w14:paraId="7BBCBDEB">
            <w:pPr>
              <w:keepNext w:val="0"/>
              <w:keepLines w:val="0"/>
              <w:suppressLineNumbers w:val="0"/>
              <w:tabs>
                <w:tab w:val="left" w:pos="426"/>
                <w:tab w:val="left" w:pos="4253"/>
                <w:tab w:val="left" w:pos="5670"/>
                <w:tab w:val="left" w:pos="7088"/>
              </w:tabs>
              <w:spacing w:before="0" w:beforeAutospacing="0" w:after="0" w:afterAutospacing="0" w:line="440" w:lineRule="exact"/>
              <w:ind w:left="0" w:right="0" w:firstLine="550" w:firstLineChars="262"/>
              <w:jc w:val="center"/>
              <w:rPr>
                <w:rFonts w:hint="eastAsia" w:hAnsi="宋体"/>
                <w:color w:val="000000"/>
                <w:sz w:val="21"/>
                <w:szCs w:val="21"/>
              </w:rPr>
            </w:pPr>
            <w:r>
              <w:rPr>
                <w:rFonts w:hint="eastAsia" w:hAnsi="宋体"/>
                <w:color w:val="000000"/>
                <w:sz w:val="21"/>
                <w:szCs w:val="21"/>
              </w:rPr>
              <w:t>2</w:t>
            </w:r>
          </w:p>
        </w:tc>
        <w:tc>
          <w:tcPr>
            <w:tcW w:w="1080" w:type="dxa"/>
            <w:noWrap w:val="0"/>
            <w:vAlign w:val="center"/>
          </w:tcPr>
          <w:p w14:paraId="5ECE2BA3">
            <w:pPr>
              <w:keepNext w:val="0"/>
              <w:keepLines w:val="0"/>
              <w:suppressLineNumbers w:val="0"/>
              <w:tabs>
                <w:tab w:val="left" w:pos="426"/>
                <w:tab w:val="left" w:pos="4253"/>
                <w:tab w:val="left" w:pos="5670"/>
                <w:tab w:val="left" w:pos="7088"/>
              </w:tabs>
              <w:spacing w:before="0" w:beforeAutospacing="0" w:after="0" w:afterAutospacing="0" w:line="440" w:lineRule="exact"/>
              <w:ind w:left="0" w:right="0" w:firstLine="550" w:firstLineChars="262"/>
              <w:jc w:val="center"/>
              <w:rPr>
                <w:rFonts w:hint="eastAsia" w:hAnsi="宋体"/>
                <w:color w:val="000000"/>
                <w:sz w:val="21"/>
                <w:szCs w:val="21"/>
              </w:rPr>
            </w:pPr>
            <w:r>
              <w:rPr>
                <w:rFonts w:hint="eastAsia" w:hAnsi="宋体"/>
                <w:color w:val="000000"/>
                <w:sz w:val="21"/>
                <w:szCs w:val="21"/>
              </w:rPr>
              <w:t>3</w:t>
            </w:r>
          </w:p>
        </w:tc>
        <w:tc>
          <w:tcPr>
            <w:tcW w:w="1080" w:type="dxa"/>
            <w:noWrap w:val="0"/>
            <w:vAlign w:val="center"/>
          </w:tcPr>
          <w:p w14:paraId="0D22C74F">
            <w:pPr>
              <w:keepNext w:val="0"/>
              <w:keepLines w:val="0"/>
              <w:suppressLineNumbers w:val="0"/>
              <w:tabs>
                <w:tab w:val="left" w:pos="426"/>
                <w:tab w:val="left" w:pos="4253"/>
                <w:tab w:val="left" w:pos="5670"/>
                <w:tab w:val="left" w:pos="7088"/>
              </w:tabs>
              <w:spacing w:before="0" w:beforeAutospacing="0" w:after="0" w:afterAutospacing="0" w:line="440" w:lineRule="exact"/>
              <w:ind w:left="0" w:right="0"/>
              <w:jc w:val="center"/>
              <w:rPr>
                <w:rFonts w:hint="eastAsia" w:hAnsi="宋体"/>
                <w:color w:val="000000"/>
                <w:sz w:val="21"/>
                <w:szCs w:val="21"/>
              </w:rPr>
            </w:pPr>
            <w:r>
              <w:rPr>
                <w:rFonts w:hint="eastAsia" w:hAnsi="宋体"/>
                <w:color w:val="000000"/>
                <w:sz w:val="21"/>
                <w:szCs w:val="21"/>
              </w:rPr>
              <w:t>4</w:t>
            </w:r>
          </w:p>
        </w:tc>
        <w:tc>
          <w:tcPr>
            <w:tcW w:w="1080" w:type="dxa"/>
            <w:noWrap w:val="0"/>
            <w:vAlign w:val="center"/>
          </w:tcPr>
          <w:p w14:paraId="70CA35E9">
            <w:pPr>
              <w:keepNext w:val="0"/>
              <w:keepLines w:val="0"/>
              <w:suppressLineNumbers w:val="0"/>
              <w:tabs>
                <w:tab w:val="left" w:pos="426"/>
                <w:tab w:val="left" w:pos="4253"/>
                <w:tab w:val="left" w:pos="5670"/>
                <w:tab w:val="left" w:pos="7088"/>
              </w:tabs>
              <w:spacing w:before="0" w:beforeAutospacing="0" w:after="0" w:afterAutospacing="0" w:line="440" w:lineRule="exact"/>
              <w:ind w:left="0" w:right="0"/>
              <w:jc w:val="center"/>
              <w:rPr>
                <w:rFonts w:hint="eastAsia" w:hAnsi="宋体"/>
                <w:color w:val="000000"/>
                <w:sz w:val="21"/>
                <w:szCs w:val="21"/>
              </w:rPr>
            </w:pPr>
            <w:r>
              <w:rPr>
                <w:rFonts w:hint="eastAsia" w:hAnsi="宋体"/>
                <w:color w:val="000000"/>
                <w:sz w:val="21"/>
                <w:szCs w:val="21"/>
              </w:rPr>
              <w:t>5</w:t>
            </w:r>
          </w:p>
        </w:tc>
      </w:tr>
      <w:tr w14:paraId="5BAD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noWrap w:val="0"/>
            <w:vAlign w:val="center"/>
          </w:tcPr>
          <w:p w14:paraId="653F09B7">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水处理能力t/h</w:t>
            </w:r>
          </w:p>
        </w:tc>
        <w:tc>
          <w:tcPr>
            <w:tcW w:w="1030" w:type="dxa"/>
            <w:noWrap w:val="0"/>
            <w:vAlign w:val="center"/>
          </w:tcPr>
          <w:p w14:paraId="0175594B">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10</w:t>
            </w:r>
          </w:p>
        </w:tc>
        <w:tc>
          <w:tcPr>
            <w:tcW w:w="1080" w:type="dxa"/>
            <w:noWrap w:val="0"/>
            <w:vAlign w:val="center"/>
          </w:tcPr>
          <w:p w14:paraId="25DEF11D">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15</w:t>
            </w:r>
          </w:p>
        </w:tc>
        <w:tc>
          <w:tcPr>
            <w:tcW w:w="1080" w:type="dxa"/>
            <w:noWrap w:val="0"/>
            <w:vAlign w:val="center"/>
          </w:tcPr>
          <w:p w14:paraId="0316CD40">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20</w:t>
            </w:r>
          </w:p>
        </w:tc>
        <w:tc>
          <w:tcPr>
            <w:tcW w:w="1080" w:type="dxa"/>
            <w:noWrap w:val="0"/>
            <w:vAlign w:val="top"/>
          </w:tcPr>
          <w:p w14:paraId="182AD323">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35</w:t>
            </w:r>
          </w:p>
        </w:tc>
        <w:tc>
          <w:tcPr>
            <w:tcW w:w="1080" w:type="dxa"/>
            <w:noWrap w:val="0"/>
            <w:vAlign w:val="top"/>
          </w:tcPr>
          <w:p w14:paraId="1FE5B901">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50</w:t>
            </w:r>
          </w:p>
        </w:tc>
      </w:tr>
      <w:tr w14:paraId="3553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noWrap w:val="0"/>
            <w:vAlign w:val="center"/>
          </w:tcPr>
          <w:p w14:paraId="6E9AD889">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工作介质</w:t>
            </w:r>
          </w:p>
        </w:tc>
        <w:tc>
          <w:tcPr>
            <w:tcW w:w="1030" w:type="dxa"/>
            <w:noWrap w:val="0"/>
            <w:vAlign w:val="center"/>
          </w:tcPr>
          <w:p w14:paraId="0E8C263A">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软化水</w:t>
            </w:r>
          </w:p>
        </w:tc>
        <w:tc>
          <w:tcPr>
            <w:tcW w:w="1080" w:type="dxa"/>
            <w:noWrap w:val="0"/>
            <w:vAlign w:val="center"/>
          </w:tcPr>
          <w:p w14:paraId="5909036C">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软化水</w:t>
            </w:r>
          </w:p>
        </w:tc>
        <w:tc>
          <w:tcPr>
            <w:tcW w:w="1080" w:type="dxa"/>
            <w:noWrap w:val="0"/>
            <w:vAlign w:val="center"/>
          </w:tcPr>
          <w:p w14:paraId="373BDC0C">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软化水</w:t>
            </w:r>
          </w:p>
        </w:tc>
        <w:tc>
          <w:tcPr>
            <w:tcW w:w="1080" w:type="dxa"/>
            <w:noWrap w:val="0"/>
            <w:vAlign w:val="center"/>
          </w:tcPr>
          <w:p w14:paraId="7423A77F">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软化水</w:t>
            </w:r>
          </w:p>
        </w:tc>
        <w:tc>
          <w:tcPr>
            <w:tcW w:w="1080" w:type="dxa"/>
            <w:noWrap w:val="0"/>
            <w:vAlign w:val="center"/>
          </w:tcPr>
          <w:p w14:paraId="0B23D3AD">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软化水</w:t>
            </w:r>
          </w:p>
        </w:tc>
      </w:tr>
      <w:tr w14:paraId="06B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76" w:type="dxa"/>
            <w:noWrap w:val="0"/>
            <w:vAlign w:val="center"/>
          </w:tcPr>
          <w:p w14:paraId="2FCF4FA4">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工作介质温度（℃</w:t>
            </w:r>
          </w:p>
        </w:tc>
        <w:tc>
          <w:tcPr>
            <w:tcW w:w="1030" w:type="dxa"/>
            <w:noWrap w:val="0"/>
            <w:vAlign w:val="center"/>
          </w:tcPr>
          <w:p w14:paraId="7BA87259">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常温</w:t>
            </w:r>
          </w:p>
        </w:tc>
        <w:tc>
          <w:tcPr>
            <w:tcW w:w="1080" w:type="dxa"/>
            <w:noWrap w:val="0"/>
            <w:vAlign w:val="center"/>
          </w:tcPr>
          <w:p w14:paraId="4073C902">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常温</w:t>
            </w:r>
          </w:p>
        </w:tc>
        <w:tc>
          <w:tcPr>
            <w:tcW w:w="1080" w:type="dxa"/>
            <w:noWrap w:val="0"/>
            <w:vAlign w:val="center"/>
          </w:tcPr>
          <w:p w14:paraId="0D19F3FA">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常温</w:t>
            </w:r>
          </w:p>
        </w:tc>
        <w:tc>
          <w:tcPr>
            <w:tcW w:w="1080" w:type="dxa"/>
            <w:noWrap w:val="0"/>
            <w:vAlign w:val="center"/>
          </w:tcPr>
          <w:p w14:paraId="7B385178">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常温</w:t>
            </w:r>
          </w:p>
        </w:tc>
        <w:tc>
          <w:tcPr>
            <w:tcW w:w="1080" w:type="dxa"/>
            <w:noWrap w:val="0"/>
            <w:vAlign w:val="center"/>
          </w:tcPr>
          <w:p w14:paraId="14B57D3E">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常温</w:t>
            </w:r>
          </w:p>
        </w:tc>
      </w:tr>
      <w:tr w14:paraId="2853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76" w:type="dxa"/>
            <w:noWrap w:val="0"/>
            <w:vAlign w:val="center"/>
          </w:tcPr>
          <w:p w14:paraId="3B9F3493">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有效容积（m3）</w:t>
            </w:r>
          </w:p>
        </w:tc>
        <w:tc>
          <w:tcPr>
            <w:tcW w:w="1030" w:type="dxa"/>
            <w:noWrap w:val="0"/>
            <w:vAlign w:val="center"/>
          </w:tcPr>
          <w:p w14:paraId="157B493A">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default" w:hAnsi="宋体" w:eastAsia="宋体"/>
                <w:color w:val="000000"/>
                <w:sz w:val="21"/>
                <w:szCs w:val="21"/>
                <w:lang w:val="en-US" w:eastAsia="zh-CN"/>
              </w:rPr>
            </w:pPr>
            <w:r>
              <w:rPr>
                <w:rFonts w:hint="eastAsia" w:hAnsi="宋体"/>
                <w:color w:val="000000"/>
                <w:sz w:val="21"/>
                <w:szCs w:val="21"/>
                <w:lang w:val="en-US" w:eastAsia="zh-CN"/>
              </w:rPr>
              <w:t>10</w:t>
            </w:r>
          </w:p>
        </w:tc>
        <w:tc>
          <w:tcPr>
            <w:tcW w:w="1080" w:type="dxa"/>
            <w:noWrap w:val="0"/>
            <w:vAlign w:val="center"/>
          </w:tcPr>
          <w:p w14:paraId="6538E576">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12</w:t>
            </w:r>
          </w:p>
        </w:tc>
        <w:tc>
          <w:tcPr>
            <w:tcW w:w="1080" w:type="dxa"/>
            <w:noWrap w:val="0"/>
            <w:vAlign w:val="center"/>
          </w:tcPr>
          <w:p w14:paraId="1E471CBE">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1</w:t>
            </w:r>
            <w:r>
              <w:rPr>
                <w:rFonts w:hint="eastAsia" w:hAnsi="宋体"/>
                <w:color w:val="000000"/>
                <w:sz w:val="21"/>
                <w:szCs w:val="21"/>
                <w:lang w:val="en-US" w:eastAsia="zh-CN"/>
              </w:rPr>
              <w:t>6</w:t>
            </w:r>
          </w:p>
        </w:tc>
        <w:tc>
          <w:tcPr>
            <w:tcW w:w="1080" w:type="dxa"/>
            <w:noWrap w:val="0"/>
            <w:vAlign w:val="top"/>
          </w:tcPr>
          <w:p w14:paraId="020EDA99">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20</w:t>
            </w:r>
          </w:p>
        </w:tc>
        <w:tc>
          <w:tcPr>
            <w:tcW w:w="1080" w:type="dxa"/>
            <w:noWrap w:val="0"/>
            <w:vAlign w:val="top"/>
          </w:tcPr>
          <w:p w14:paraId="002BADE8">
            <w:pPr>
              <w:keepNext w:val="0"/>
              <w:keepLines w:val="0"/>
              <w:suppressLineNumbers w:val="0"/>
              <w:tabs>
                <w:tab w:val="left" w:pos="426"/>
                <w:tab w:val="left" w:pos="4253"/>
                <w:tab w:val="left" w:pos="5670"/>
                <w:tab w:val="left" w:pos="7088"/>
              </w:tabs>
              <w:spacing w:before="0" w:beforeAutospacing="0" w:after="0" w:afterAutospacing="0" w:line="440" w:lineRule="exact"/>
              <w:ind w:left="0" w:right="0"/>
              <w:rPr>
                <w:rFonts w:hint="eastAsia" w:hAnsi="宋体"/>
                <w:color w:val="000000"/>
                <w:sz w:val="21"/>
                <w:szCs w:val="21"/>
              </w:rPr>
            </w:pPr>
            <w:r>
              <w:rPr>
                <w:rFonts w:hint="eastAsia" w:hAnsi="宋体"/>
                <w:color w:val="000000"/>
                <w:sz w:val="21"/>
                <w:szCs w:val="21"/>
              </w:rPr>
              <w:t>20</w:t>
            </w:r>
          </w:p>
        </w:tc>
      </w:tr>
    </w:tbl>
    <w:p w14:paraId="53EC3499">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3.3.1.1工作压力：常压</w:t>
      </w:r>
    </w:p>
    <w:p w14:paraId="26E13DBA">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3.3.1.2环境温度：1~40℃</w:t>
      </w:r>
    </w:p>
    <w:p w14:paraId="1E02F079">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3.3.2技术要求</w:t>
      </w:r>
    </w:p>
    <w:p w14:paraId="5D7F57F6">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3.3.2.1结构型式：方体立式</w:t>
      </w:r>
    </w:p>
    <w:p w14:paraId="448BE645">
      <w:pPr>
        <w:tabs>
          <w:tab w:val="left" w:pos="426"/>
          <w:tab w:val="left" w:pos="4253"/>
          <w:tab w:val="left" w:pos="5670"/>
          <w:tab w:val="left" w:pos="7088"/>
        </w:tabs>
        <w:spacing w:line="440" w:lineRule="exact"/>
        <w:ind w:firstLine="550" w:firstLineChars="262"/>
        <w:rPr>
          <w:rFonts w:hint="eastAsia"/>
          <w:color w:val="000000"/>
          <w:sz w:val="21"/>
          <w:szCs w:val="21"/>
          <w:lang w:val="en-US" w:eastAsia="zh-CN"/>
        </w:rPr>
      </w:pPr>
      <w:r>
        <w:rPr>
          <w:rFonts w:hint="eastAsia"/>
          <w:color w:val="000000"/>
          <w:sz w:val="21"/>
          <w:szCs w:val="21"/>
        </w:rPr>
        <w:t>3.3.2.4材质：304不锈钢</w:t>
      </w:r>
      <w:r>
        <w:rPr>
          <w:rFonts w:hint="eastAsia"/>
          <w:color w:val="000000"/>
          <w:sz w:val="21"/>
          <w:szCs w:val="21"/>
          <w:lang w:eastAsia="zh-CN"/>
        </w:rPr>
        <w:t>，水箱底部板材厚度</w:t>
      </w:r>
      <w:r>
        <w:rPr>
          <w:rFonts w:hint="eastAsia"/>
          <w:color w:val="000000"/>
          <w:sz w:val="21"/>
          <w:szCs w:val="21"/>
          <w:lang w:val="en-US" w:eastAsia="zh-CN"/>
        </w:rPr>
        <w:t>2.5mm</w:t>
      </w:r>
      <w:r>
        <w:rPr>
          <w:rFonts w:hint="eastAsia"/>
          <w:color w:val="000000"/>
          <w:sz w:val="21"/>
          <w:szCs w:val="21"/>
        </w:rPr>
        <w:t>，</w:t>
      </w:r>
      <w:r>
        <w:rPr>
          <w:rFonts w:hint="eastAsia"/>
          <w:color w:val="000000"/>
          <w:sz w:val="21"/>
          <w:szCs w:val="21"/>
          <w:lang w:eastAsia="zh-CN"/>
        </w:rPr>
        <w:t>侧面和顶面板材厚度</w:t>
      </w:r>
      <w:r>
        <w:rPr>
          <w:rFonts w:hint="eastAsia"/>
          <w:color w:val="000000"/>
          <w:sz w:val="21"/>
          <w:szCs w:val="21"/>
          <w:lang w:val="en-US" w:eastAsia="zh-CN"/>
        </w:rPr>
        <w:t>2mm；</w:t>
      </w:r>
      <w:r>
        <w:rPr>
          <w:rFonts w:hint="eastAsia"/>
          <w:color w:val="000000"/>
          <w:sz w:val="21"/>
          <w:szCs w:val="21"/>
          <w:lang w:eastAsia="zh-CN"/>
        </w:rPr>
        <w:t>基础槽钢框架支撑间隔</w:t>
      </w:r>
      <w:r>
        <w:rPr>
          <w:rFonts w:hint="eastAsia"/>
          <w:color w:val="000000"/>
          <w:sz w:val="21"/>
          <w:szCs w:val="21"/>
          <w:lang w:val="en-US" w:eastAsia="zh-CN"/>
        </w:rPr>
        <w:t>300×300（mm），并进行4遍玻璃鳞片漆的防腐处理。</w:t>
      </w:r>
    </w:p>
    <w:p w14:paraId="17FB5F23">
      <w:pPr>
        <w:tabs>
          <w:tab w:val="left" w:pos="426"/>
          <w:tab w:val="left" w:pos="4253"/>
          <w:tab w:val="left" w:pos="5670"/>
          <w:tab w:val="left" w:pos="7088"/>
        </w:tabs>
        <w:spacing w:line="440" w:lineRule="exact"/>
        <w:ind w:firstLine="550" w:firstLineChars="262"/>
        <w:rPr>
          <w:rFonts w:hint="eastAsia"/>
          <w:color w:val="auto"/>
          <w:sz w:val="21"/>
          <w:szCs w:val="21"/>
          <w:lang w:val="en-US" w:eastAsia="zh-CN"/>
        </w:rPr>
      </w:pPr>
      <w:r>
        <w:rPr>
          <w:rFonts w:hint="eastAsia"/>
          <w:color w:val="auto"/>
          <w:sz w:val="21"/>
          <w:szCs w:val="21"/>
          <w:lang w:val="en-US" w:eastAsia="zh-CN"/>
        </w:rPr>
        <w:t>3.3.2.5软水箱进口安装与进水管同口径的浮球阀，控制水箱高水位溢水，安装便于检修，并配有检修孔。</w:t>
      </w:r>
    </w:p>
    <w:p w14:paraId="2CC292A5">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3.3.3其它要求</w:t>
      </w:r>
    </w:p>
    <w:p w14:paraId="7336DA76">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3.3.3.1中标后提供电子版的安装图纸</w:t>
      </w:r>
    </w:p>
    <w:p w14:paraId="7DB91B33">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3.3.3.2软水箱要求现场组装。</w:t>
      </w:r>
    </w:p>
    <w:p w14:paraId="4AF22529">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3.3.3.4供货范围：</w:t>
      </w:r>
      <w:r>
        <w:rPr>
          <w:rFonts w:hint="eastAsia"/>
          <w:color w:val="auto"/>
          <w:sz w:val="21"/>
          <w:szCs w:val="21"/>
        </w:rPr>
        <w:t>设备本体，</w:t>
      </w:r>
      <w:r>
        <w:rPr>
          <w:rFonts w:hint="eastAsia"/>
          <w:color w:val="auto"/>
          <w:sz w:val="21"/>
          <w:szCs w:val="21"/>
          <w:lang w:eastAsia="zh-CN"/>
        </w:rPr>
        <w:t>标有刻度的</w:t>
      </w:r>
      <w:r>
        <w:rPr>
          <w:rFonts w:hint="eastAsia"/>
          <w:color w:val="auto"/>
          <w:sz w:val="21"/>
          <w:szCs w:val="21"/>
        </w:rPr>
        <w:t>水位计,内爬梯</w:t>
      </w:r>
      <w:r>
        <w:rPr>
          <w:rFonts w:hint="eastAsia"/>
          <w:color w:val="auto"/>
          <w:sz w:val="21"/>
          <w:szCs w:val="21"/>
          <w:lang w:eastAsia="zh-CN"/>
        </w:rPr>
        <w:t>符合要求，并配</w:t>
      </w:r>
      <w:r>
        <w:rPr>
          <w:rFonts w:hint="eastAsia"/>
          <w:color w:val="auto"/>
          <w:sz w:val="21"/>
          <w:szCs w:val="21"/>
          <w:lang w:val="en-US" w:eastAsia="zh-CN"/>
        </w:rPr>
        <w:t>4米的铝合金爬梯一台</w:t>
      </w:r>
      <w:r>
        <w:rPr>
          <w:rFonts w:hint="eastAsia"/>
          <w:color w:val="auto"/>
          <w:sz w:val="21"/>
          <w:szCs w:val="21"/>
        </w:rPr>
        <w:t>。</w:t>
      </w:r>
    </w:p>
    <w:p w14:paraId="2E89D760">
      <w:pPr>
        <w:tabs>
          <w:tab w:val="left" w:pos="426"/>
          <w:tab w:val="left" w:pos="4253"/>
          <w:tab w:val="left" w:pos="5670"/>
          <w:tab w:val="left" w:pos="7088"/>
        </w:tabs>
        <w:spacing w:line="440" w:lineRule="exact"/>
        <w:ind w:firstLine="550" w:firstLineChars="262"/>
        <w:rPr>
          <w:rFonts w:hint="eastAsia"/>
          <w:color w:val="000000"/>
          <w:sz w:val="21"/>
          <w:szCs w:val="21"/>
        </w:rPr>
      </w:pPr>
      <w:r>
        <w:rPr>
          <w:rFonts w:hint="eastAsia"/>
          <w:color w:val="000000"/>
          <w:sz w:val="21"/>
          <w:szCs w:val="21"/>
        </w:rPr>
        <w:t>3.3.3.5外购配部件，应符合相应的国家标准要求。</w:t>
      </w:r>
    </w:p>
    <w:p w14:paraId="7A1E4500">
      <w:pPr>
        <w:spacing w:line="440" w:lineRule="exact"/>
        <w:ind w:firstLine="525" w:firstLineChars="250"/>
        <w:rPr>
          <w:rFonts w:hint="eastAsia" w:hAnsi="宋体"/>
          <w:b/>
          <w:color w:val="000000"/>
          <w:sz w:val="21"/>
          <w:szCs w:val="21"/>
        </w:rPr>
      </w:pPr>
      <w:r>
        <w:rPr>
          <w:rFonts w:hint="eastAsia"/>
          <w:color w:val="000000"/>
          <w:sz w:val="21"/>
          <w:szCs w:val="21"/>
        </w:rPr>
        <w:t xml:space="preserve">3.4 </w:t>
      </w:r>
      <w:bookmarkStart w:id="33" w:name="_Toc270453092"/>
      <w:r>
        <w:rPr>
          <w:rFonts w:hint="eastAsia" w:hAnsi="宋体"/>
          <w:b/>
          <w:color w:val="000000"/>
          <w:sz w:val="21"/>
          <w:szCs w:val="21"/>
        </w:rPr>
        <w:t>投入式液位计</w:t>
      </w:r>
    </w:p>
    <w:p w14:paraId="2157AA13">
      <w:pPr>
        <w:spacing w:line="440" w:lineRule="exact"/>
        <w:ind w:firstLine="525" w:firstLineChars="250"/>
        <w:rPr>
          <w:rFonts w:hint="eastAsia" w:hAnsi="宋体"/>
          <w:color w:val="000000"/>
          <w:sz w:val="21"/>
          <w:szCs w:val="21"/>
        </w:rPr>
      </w:pPr>
      <w:r>
        <w:rPr>
          <w:rFonts w:hint="eastAsia" w:hAnsi="宋体"/>
          <w:color w:val="000000"/>
          <w:sz w:val="21"/>
          <w:szCs w:val="21"/>
        </w:rPr>
        <w:t>3.4.1防护等级：IP68。</w:t>
      </w:r>
    </w:p>
    <w:p w14:paraId="5FCCB46D">
      <w:pPr>
        <w:spacing w:line="440" w:lineRule="exact"/>
        <w:ind w:firstLine="525" w:firstLineChars="250"/>
        <w:rPr>
          <w:rFonts w:hint="eastAsia" w:hAnsi="宋体"/>
          <w:color w:val="000000"/>
          <w:sz w:val="21"/>
          <w:szCs w:val="21"/>
        </w:rPr>
      </w:pPr>
      <w:r>
        <w:rPr>
          <w:rFonts w:hint="eastAsia" w:hAnsi="宋体"/>
          <w:color w:val="000000"/>
          <w:sz w:val="21"/>
          <w:szCs w:val="21"/>
        </w:rPr>
        <w:t>3.4.2 输出信号：4~20m A/DC。</w:t>
      </w:r>
    </w:p>
    <w:p w14:paraId="4DE49CD9">
      <w:pPr>
        <w:spacing w:line="440" w:lineRule="exact"/>
        <w:ind w:firstLine="525" w:firstLineChars="250"/>
        <w:rPr>
          <w:rFonts w:hint="eastAsia" w:hAnsi="宋体"/>
          <w:color w:val="000000"/>
          <w:sz w:val="21"/>
          <w:szCs w:val="21"/>
        </w:rPr>
      </w:pPr>
      <w:r>
        <w:rPr>
          <w:rFonts w:hint="eastAsia" w:hAnsi="宋体"/>
          <w:color w:val="000000"/>
          <w:sz w:val="21"/>
          <w:szCs w:val="21"/>
        </w:rPr>
        <w:t xml:space="preserve">3.4.3 供电电源：24V±5V/DC。 </w:t>
      </w:r>
    </w:p>
    <w:p w14:paraId="030AF0B6">
      <w:pPr>
        <w:spacing w:line="440" w:lineRule="exact"/>
        <w:ind w:firstLine="525" w:firstLineChars="250"/>
        <w:rPr>
          <w:rFonts w:hint="eastAsia" w:hAnsi="宋体"/>
          <w:color w:val="000000"/>
          <w:sz w:val="21"/>
          <w:szCs w:val="21"/>
        </w:rPr>
      </w:pPr>
      <w:r>
        <w:rPr>
          <w:rFonts w:hint="eastAsia" w:hAnsi="宋体"/>
          <w:color w:val="000000"/>
          <w:sz w:val="21"/>
          <w:szCs w:val="21"/>
        </w:rPr>
        <w:t>3.4.4 准确等级：0.5级。</w:t>
      </w:r>
    </w:p>
    <w:p w14:paraId="7E3CE623">
      <w:pPr>
        <w:spacing w:line="440" w:lineRule="exact"/>
        <w:ind w:firstLine="525" w:firstLineChars="250"/>
        <w:rPr>
          <w:rFonts w:hint="eastAsia" w:hAnsi="宋体"/>
          <w:color w:val="000000"/>
          <w:sz w:val="21"/>
          <w:szCs w:val="21"/>
        </w:rPr>
      </w:pPr>
      <w:r>
        <w:rPr>
          <w:rFonts w:hint="eastAsia" w:hAnsi="宋体"/>
          <w:color w:val="000000"/>
          <w:sz w:val="21"/>
          <w:szCs w:val="21"/>
        </w:rPr>
        <w:t>3.4.5 长期稳定性：≤±0.2%F•S/年</w:t>
      </w:r>
    </w:p>
    <w:p w14:paraId="5DB34F3F">
      <w:pPr>
        <w:spacing w:line="440" w:lineRule="exact"/>
        <w:ind w:firstLine="525" w:firstLineChars="250"/>
        <w:rPr>
          <w:rFonts w:hint="eastAsia" w:hAnsi="宋体"/>
          <w:color w:val="000000"/>
          <w:sz w:val="21"/>
          <w:szCs w:val="21"/>
        </w:rPr>
      </w:pPr>
      <w:r>
        <w:rPr>
          <w:rFonts w:hint="eastAsia" w:hAnsi="宋体"/>
          <w:color w:val="000000"/>
          <w:sz w:val="21"/>
          <w:szCs w:val="21"/>
        </w:rPr>
        <w:t>3.4.6 介质温度：-10~60℃</w:t>
      </w:r>
    </w:p>
    <w:p w14:paraId="47688135">
      <w:pPr>
        <w:spacing w:line="440" w:lineRule="exact"/>
        <w:ind w:firstLine="525" w:firstLineChars="250"/>
        <w:rPr>
          <w:rFonts w:hint="eastAsia" w:hAnsi="宋体"/>
          <w:color w:val="000000"/>
          <w:sz w:val="21"/>
          <w:szCs w:val="21"/>
        </w:rPr>
      </w:pPr>
      <w:r>
        <w:rPr>
          <w:rFonts w:hint="eastAsia" w:hAnsi="宋体"/>
          <w:color w:val="000000"/>
          <w:sz w:val="21"/>
          <w:szCs w:val="21"/>
        </w:rPr>
        <w:t xml:space="preserve">3.4.7.投入体为不锈钢，密封件为氟橡胶 </w:t>
      </w:r>
    </w:p>
    <w:p w14:paraId="4C4E6E92">
      <w:pPr>
        <w:spacing w:line="440" w:lineRule="exact"/>
        <w:ind w:firstLine="525" w:firstLineChars="250"/>
        <w:rPr>
          <w:rFonts w:hint="eastAsia" w:hAnsi="宋体"/>
          <w:color w:val="000000"/>
          <w:sz w:val="21"/>
          <w:szCs w:val="21"/>
        </w:rPr>
      </w:pPr>
      <w:r>
        <w:rPr>
          <w:rFonts w:hint="eastAsia" w:hAnsi="宋体"/>
          <w:color w:val="000000"/>
          <w:sz w:val="21"/>
          <w:szCs w:val="21"/>
        </w:rPr>
        <w:t>3.4.8不受被测介质起泡、沉积、电气特性的影响。具有电源反相极性及过载限流保护。</w:t>
      </w:r>
    </w:p>
    <w:p w14:paraId="4AF175A5">
      <w:pPr>
        <w:tabs>
          <w:tab w:val="left" w:pos="426"/>
          <w:tab w:val="left" w:pos="4253"/>
          <w:tab w:val="left" w:pos="5670"/>
          <w:tab w:val="left" w:pos="7088"/>
        </w:tabs>
        <w:spacing w:line="440" w:lineRule="exact"/>
        <w:ind w:firstLine="525" w:firstLineChars="250"/>
        <w:rPr>
          <w:rFonts w:hint="eastAsia"/>
          <w:color w:val="000000"/>
          <w:sz w:val="21"/>
          <w:szCs w:val="21"/>
        </w:rPr>
      </w:pPr>
      <w:r>
        <w:rPr>
          <w:rFonts w:hint="eastAsia"/>
          <w:color w:val="000000"/>
          <w:sz w:val="21"/>
          <w:szCs w:val="21"/>
        </w:rPr>
        <w:t>3.4.9、投入式液位计量程根据补水箱深度确定。</w:t>
      </w:r>
    </w:p>
    <w:p w14:paraId="57C1C14B">
      <w:pPr>
        <w:spacing w:line="440" w:lineRule="exact"/>
        <w:ind w:firstLine="525" w:firstLineChars="250"/>
        <w:rPr>
          <w:rFonts w:hint="eastAsia" w:hAnsi="宋体"/>
          <w:b/>
          <w:bCs/>
          <w:color w:val="000000"/>
          <w:sz w:val="32"/>
          <w:szCs w:val="32"/>
        </w:rPr>
      </w:pPr>
      <w:r>
        <w:rPr>
          <w:rFonts w:hint="eastAsia" w:hAnsi="宋体"/>
          <w:b w:val="0"/>
          <w:bCs/>
          <w:color w:val="000000"/>
          <w:sz w:val="21"/>
          <w:szCs w:val="21"/>
        </w:rPr>
        <w:t>3.5设备系统的控制要求：补水箱处于低液位时，软化水自动补水；补水箱处于高液位时，软化水自动停止。</w:t>
      </w:r>
    </w:p>
    <w:p w14:paraId="10889BAD">
      <w:pPr>
        <w:spacing w:line="440" w:lineRule="exact"/>
        <w:ind w:firstLine="527" w:firstLineChars="250"/>
        <w:rPr>
          <w:rFonts w:hint="eastAsia" w:hAnsi="宋体"/>
          <w:b/>
          <w:bCs/>
          <w:color w:val="000000"/>
          <w:sz w:val="21"/>
          <w:szCs w:val="21"/>
        </w:rPr>
      </w:pPr>
    </w:p>
    <w:p w14:paraId="7DFAA499">
      <w:pPr>
        <w:pStyle w:val="64"/>
        <w:spacing w:line="440" w:lineRule="exact"/>
        <w:outlineLvl w:val="1"/>
        <w:rPr>
          <w:rFonts w:hint="eastAsia"/>
          <w:b/>
          <w:color w:val="000000"/>
          <w:sz w:val="21"/>
          <w:szCs w:val="21"/>
        </w:rPr>
      </w:pPr>
      <w:bookmarkStart w:id="34" w:name="_Toc271049309"/>
      <w:r>
        <w:rPr>
          <w:rFonts w:hint="eastAsia"/>
          <w:b/>
          <w:color w:val="000000"/>
          <w:sz w:val="21"/>
          <w:szCs w:val="21"/>
        </w:rPr>
        <w:t>4 供货范围</w:t>
      </w:r>
      <w:bookmarkEnd w:id="33"/>
      <w:bookmarkEnd w:id="34"/>
    </w:p>
    <w:p w14:paraId="0BB956EF">
      <w:pPr>
        <w:spacing w:line="440" w:lineRule="exact"/>
        <w:ind w:firstLine="525" w:firstLineChars="250"/>
        <w:rPr>
          <w:rFonts w:hint="eastAsia"/>
          <w:color w:val="000000"/>
          <w:sz w:val="21"/>
          <w:szCs w:val="21"/>
        </w:rPr>
      </w:pPr>
      <w:r>
        <w:rPr>
          <w:rFonts w:hint="eastAsia"/>
          <w:color w:val="000000"/>
          <w:sz w:val="21"/>
          <w:szCs w:val="21"/>
        </w:rPr>
        <w:t>4.1 一般规定</w:t>
      </w:r>
    </w:p>
    <w:p w14:paraId="43A2349C">
      <w:pPr>
        <w:spacing w:line="440" w:lineRule="exact"/>
        <w:ind w:firstLine="525" w:firstLineChars="250"/>
        <w:rPr>
          <w:color w:val="000000"/>
          <w:sz w:val="21"/>
          <w:szCs w:val="21"/>
        </w:rPr>
      </w:pPr>
      <w:r>
        <w:rPr>
          <w:rFonts w:hint="eastAsia"/>
          <w:color w:val="000000"/>
          <w:sz w:val="21"/>
          <w:szCs w:val="21"/>
        </w:rPr>
        <w:t>4.1</w:t>
      </w:r>
      <w:r>
        <w:rPr>
          <w:color w:val="000000"/>
          <w:sz w:val="21"/>
          <w:szCs w:val="21"/>
        </w:rPr>
        <w:t xml:space="preserve">.1  </w:t>
      </w:r>
      <w:r>
        <w:rPr>
          <w:rFonts w:hint="eastAsia"/>
          <w:color w:val="000000"/>
          <w:sz w:val="21"/>
          <w:szCs w:val="21"/>
        </w:rPr>
        <w:t>卖方提供具有该设备全部功能的并配置全套内外部件的完整的全自动钠离子交换器，要求能够实现自动运行、反洗和再生，并能够接受外部信号控制设备的起停。设备包括本体及内部安装的全部部件和紧固件、设备外部所需配置的管件、部件、紧固件、阀门及仪表、仪表阀门、仪表导管、连接电缆等。</w:t>
      </w:r>
    </w:p>
    <w:p w14:paraId="2212D4AA">
      <w:pPr>
        <w:spacing w:line="440" w:lineRule="exact"/>
        <w:ind w:firstLine="525" w:firstLineChars="250"/>
        <w:rPr>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 xml:space="preserve">  </w:t>
      </w:r>
      <w:r>
        <w:rPr>
          <w:rFonts w:hint="eastAsia"/>
          <w:color w:val="000000"/>
          <w:sz w:val="21"/>
          <w:szCs w:val="21"/>
        </w:rPr>
        <w:t>设备</w:t>
      </w:r>
      <w:r>
        <w:rPr>
          <w:rFonts w:hint="eastAsia" w:hAnsi="宋体"/>
          <w:color w:val="000000"/>
          <w:sz w:val="21"/>
          <w:szCs w:val="21"/>
        </w:rPr>
        <w:t>外部</w:t>
      </w:r>
      <w:r>
        <w:rPr>
          <w:rFonts w:hint="eastAsia"/>
          <w:color w:val="000000"/>
          <w:sz w:val="21"/>
          <w:szCs w:val="21"/>
        </w:rPr>
        <w:t>配置的管件具备下列条件：</w:t>
      </w:r>
    </w:p>
    <w:p w14:paraId="7C9C6DF0">
      <w:pPr>
        <w:spacing w:line="440" w:lineRule="exact"/>
        <w:ind w:firstLine="525" w:firstLineChars="250"/>
        <w:rPr>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 xml:space="preserve">.1  </w:t>
      </w:r>
      <w:r>
        <w:rPr>
          <w:rFonts w:hint="eastAsia"/>
          <w:color w:val="000000"/>
          <w:sz w:val="21"/>
          <w:szCs w:val="21"/>
        </w:rPr>
        <w:t>配备各功能阀门及仪表。</w:t>
      </w:r>
    </w:p>
    <w:p w14:paraId="78589B3F">
      <w:pPr>
        <w:spacing w:line="440" w:lineRule="exact"/>
        <w:ind w:firstLine="525" w:firstLineChars="250"/>
        <w:rPr>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 xml:space="preserve">.2  </w:t>
      </w:r>
      <w:r>
        <w:rPr>
          <w:rFonts w:hint="eastAsia"/>
          <w:color w:val="000000"/>
          <w:sz w:val="21"/>
          <w:szCs w:val="21"/>
        </w:rPr>
        <w:t>保证</w:t>
      </w:r>
      <w:r>
        <w:rPr>
          <w:rFonts w:hint="eastAsia" w:hAnsi="宋体"/>
          <w:color w:val="000000"/>
          <w:sz w:val="21"/>
          <w:szCs w:val="21"/>
        </w:rPr>
        <w:t>所有</w:t>
      </w:r>
      <w:r>
        <w:rPr>
          <w:rFonts w:hint="eastAsia"/>
          <w:color w:val="000000"/>
          <w:sz w:val="21"/>
          <w:szCs w:val="21"/>
        </w:rPr>
        <w:t>功能阀门手操方便。</w:t>
      </w:r>
    </w:p>
    <w:p w14:paraId="586E9076">
      <w:pPr>
        <w:spacing w:line="440" w:lineRule="exact"/>
        <w:ind w:firstLine="525" w:firstLineChars="250"/>
        <w:rPr>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 xml:space="preserve">.3  </w:t>
      </w:r>
      <w:r>
        <w:rPr>
          <w:rFonts w:hint="eastAsia"/>
          <w:color w:val="000000"/>
          <w:sz w:val="21"/>
          <w:szCs w:val="21"/>
        </w:rPr>
        <w:t>保证所采用的阀门间的安装间距，并考虑今后阀门检修的拆装方便。</w:t>
      </w:r>
    </w:p>
    <w:p w14:paraId="47BC4727">
      <w:pPr>
        <w:spacing w:line="440" w:lineRule="exact"/>
        <w:ind w:firstLine="525" w:firstLineChars="250"/>
        <w:rPr>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 xml:space="preserve">.4  </w:t>
      </w:r>
      <w:r>
        <w:rPr>
          <w:rFonts w:hint="eastAsia"/>
          <w:color w:val="000000"/>
          <w:sz w:val="21"/>
          <w:szCs w:val="21"/>
        </w:rPr>
        <w:t>所有配备的管件和附件配带紧固件和支撑部件。</w:t>
      </w:r>
    </w:p>
    <w:p w14:paraId="2337B869">
      <w:pPr>
        <w:spacing w:line="440" w:lineRule="exact"/>
        <w:ind w:firstLine="525" w:firstLineChars="250"/>
        <w:rPr>
          <w:rFonts w:hint="eastAsia"/>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5  表计及附件</w:t>
      </w:r>
    </w:p>
    <w:p w14:paraId="7E2ACED7">
      <w:pPr>
        <w:spacing w:line="440" w:lineRule="exact"/>
        <w:ind w:firstLine="525" w:firstLineChars="250"/>
        <w:rPr>
          <w:rFonts w:hint="eastAsia"/>
          <w:color w:val="000000"/>
          <w:sz w:val="21"/>
          <w:szCs w:val="21"/>
        </w:rPr>
      </w:pPr>
      <w:r>
        <w:rPr>
          <w:color w:val="000000"/>
          <w:sz w:val="21"/>
          <w:szCs w:val="21"/>
        </w:rPr>
        <w:t>a</w:t>
      </w:r>
      <w:r>
        <w:rPr>
          <w:rFonts w:hint="eastAsia"/>
          <w:color w:val="000000"/>
          <w:sz w:val="21"/>
          <w:szCs w:val="21"/>
        </w:rPr>
        <w:t>、进水</w:t>
      </w:r>
      <w:r>
        <w:rPr>
          <w:rFonts w:hint="eastAsia" w:hAnsi="宋体"/>
          <w:color w:val="000000"/>
          <w:sz w:val="21"/>
          <w:szCs w:val="21"/>
        </w:rPr>
        <w:t>压力表</w:t>
      </w:r>
      <w:r>
        <w:rPr>
          <w:rFonts w:hint="eastAsia"/>
          <w:color w:val="000000"/>
          <w:sz w:val="21"/>
          <w:szCs w:val="21"/>
        </w:rPr>
        <w:t>为耐腐蚀型，量程附合设备运行要求。</w:t>
      </w:r>
    </w:p>
    <w:p w14:paraId="4D5D65D1">
      <w:pPr>
        <w:spacing w:line="440" w:lineRule="exact"/>
        <w:ind w:firstLine="525" w:firstLineChars="250"/>
        <w:rPr>
          <w:rFonts w:hint="eastAsia"/>
          <w:color w:val="000000"/>
          <w:sz w:val="21"/>
          <w:szCs w:val="21"/>
        </w:rPr>
      </w:pPr>
      <w:r>
        <w:rPr>
          <w:rFonts w:hint="eastAsia"/>
          <w:color w:val="000000"/>
          <w:sz w:val="21"/>
          <w:szCs w:val="21"/>
        </w:rPr>
        <w:t>4.1</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6  取样阀及附件</w:t>
      </w:r>
    </w:p>
    <w:p w14:paraId="730D2408">
      <w:pPr>
        <w:spacing w:line="440" w:lineRule="exact"/>
        <w:ind w:firstLine="525" w:firstLineChars="250"/>
        <w:rPr>
          <w:rFonts w:hint="eastAsia"/>
          <w:color w:val="000000"/>
          <w:sz w:val="21"/>
          <w:szCs w:val="21"/>
        </w:rPr>
      </w:pPr>
      <w:r>
        <w:rPr>
          <w:color w:val="000000"/>
          <w:sz w:val="21"/>
          <w:szCs w:val="21"/>
        </w:rPr>
        <w:t>a</w:t>
      </w:r>
      <w:r>
        <w:rPr>
          <w:rFonts w:hint="eastAsia"/>
          <w:color w:val="000000"/>
          <w:sz w:val="21"/>
          <w:szCs w:val="21"/>
        </w:rPr>
        <w:t>、进水</w:t>
      </w:r>
      <w:r>
        <w:rPr>
          <w:rFonts w:hint="eastAsia" w:hAnsi="宋体"/>
          <w:color w:val="000000"/>
          <w:sz w:val="21"/>
          <w:szCs w:val="21"/>
        </w:rPr>
        <w:t>取样</w:t>
      </w:r>
      <w:r>
        <w:rPr>
          <w:rFonts w:hint="eastAsia"/>
          <w:color w:val="000000"/>
          <w:sz w:val="21"/>
          <w:szCs w:val="21"/>
        </w:rPr>
        <w:t>阀，为耐腐蚀型。</w:t>
      </w:r>
    </w:p>
    <w:p w14:paraId="52954908">
      <w:pPr>
        <w:spacing w:line="440" w:lineRule="exact"/>
        <w:ind w:firstLine="525" w:firstLineChars="250"/>
        <w:rPr>
          <w:rFonts w:hint="eastAsia"/>
          <w:color w:val="000000"/>
          <w:sz w:val="21"/>
          <w:szCs w:val="21"/>
        </w:rPr>
      </w:pPr>
      <w:r>
        <w:rPr>
          <w:color w:val="000000"/>
          <w:sz w:val="21"/>
          <w:szCs w:val="21"/>
        </w:rPr>
        <w:t>b</w:t>
      </w:r>
      <w:r>
        <w:rPr>
          <w:rFonts w:hint="eastAsia"/>
          <w:color w:val="000000"/>
          <w:sz w:val="21"/>
          <w:szCs w:val="21"/>
        </w:rPr>
        <w:t>、出水</w:t>
      </w:r>
      <w:r>
        <w:rPr>
          <w:rFonts w:hint="eastAsia" w:hAnsi="宋体"/>
          <w:color w:val="000000"/>
          <w:sz w:val="21"/>
          <w:szCs w:val="21"/>
        </w:rPr>
        <w:t>取样</w:t>
      </w:r>
      <w:r>
        <w:rPr>
          <w:rFonts w:hint="eastAsia"/>
          <w:color w:val="000000"/>
          <w:sz w:val="21"/>
          <w:szCs w:val="21"/>
        </w:rPr>
        <w:t>阀，为耐腐蚀型。</w:t>
      </w:r>
    </w:p>
    <w:p w14:paraId="5B366CA2">
      <w:pPr>
        <w:spacing w:line="440" w:lineRule="exact"/>
        <w:ind w:firstLine="525" w:firstLineChars="250"/>
        <w:rPr>
          <w:rFonts w:hint="eastAsia"/>
          <w:color w:val="000000"/>
          <w:sz w:val="21"/>
          <w:szCs w:val="21"/>
          <w:lang w:val="en-US" w:eastAsia="zh-CN"/>
        </w:rPr>
      </w:pPr>
      <w:r>
        <w:rPr>
          <w:rFonts w:hint="eastAsia"/>
          <w:color w:val="000000"/>
          <w:sz w:val="21"/>
          <w:szCs w:val="21"/>
          <w:lang w:val="en-US" w:eastAsia="zh-CN"/>
        </w:rPr>
        <w:t>c、取样阀接至空旷取样点，每台设备需配备不锈钢材质取样盒并用不锈钢管接至地沟。</w:t>
      </w:r>
    </w:p>
    <w:p w14:paraId="2239680F">
      <w:pPr>
        <w:spacing w:line="440" w:lineRule="exact"/>
        <w:ind w:firstLine="525" w:firstLineChars="250"/>
        <w:rPr>
          <w:rFonts w:hint="eastAsia"/>
          <w:color w:val="000000"/>
          <w:sz w:val="21"/>
          <w:szCs w:val="21"/>
          <w:lang w:val="en-US" w:eastAsia="zh-CN"/>
        </w:rPr>
      </w:pPr>
      <w:r>
        <w:rPr>
          <w:rFonts w:hint="eastAsia"/>
          <w:color w:val="000000"/>
          <w:sz w:val="21"/>
          <w:szCs w:val="21"/>
          <w:lang w:val="en-US" w:eastAsia="zh-CN"/>
        </w:rPr>
        <w:t>d、稀释后的盐水取样阀。</w:t>
      </w:r>
    </w:p>
    <w:p w14:paraId="455CA1F0">
      <w:pPr>
        <w:spacing w:line="440" w:lineRule="exact"/>
        <w:ind w:firstLine="525" w:firstLineChars="250"/>
        <w:rPr>
          <w:rFonts w:hint="eastAsia"/>
          <w:color w:val="000000"/>
          <w:spacing w:val="5"/>
          <w:sz w:val="21"/>
          <w:szCs w:val="21"/>
        </w:rPr>
      </w:pPr>
      <w:r>
        <w:rPr>
          <w:rFonts w:hint="eastAsia"/>
          <w:color w:val="000000"/>
          <w:sz w:val="21"/>
          <w:szCs w:val="21"/>
        </w:rPr>
        <w:t>4.1</w:t>
      </w:r>
      <w:r>
        <w:rPr>
          <w:color w:val="000000"/>
          <w:sz w:val="21"/>
          <w:szCs w:val="21"/>
        </w:rPr>
        <w:t>.</w:t>
      </w:r>
      <w:r>
        <w:rPr>
          <w:rFonts w:hint="eastAsia"/>
          <w:color w:val="000000"/>
          <w:sz w:val="21"/>
          <w:szCs w:val="21"/>
        </w:rPr>
        <w:t>3</w:t>
      </w:r>
      <w:r>
        <w:rPr>
          <w:color w:val="000000"/>
          <w:sz w:val="21"/>
          <w:szCs w:val="21"/>
        </w:rPr>
        <w:t>.</w:t>
      </w:r>
      <w:r>
        <w:rPr>
          <w:rFonts w:hint="eastAsia"/>
          <w:color w:val="000000"/>
          <w:sz w:val="21"/>
          <w:szCs w:val="21"/>
        </w:rPr>
        <w:t>7  设备</w:t>
      </w:r>
      <w:r>
        <w:rPr>
          <w:rFonts w:hint="eastAsia" w:hAnsi="宋体"/>
          <w:color w:val="000000"/>
          <w:sz w:val="21"/>
          <w:szCs w:val="21"/>
        </w:rPr>
        <w:t>内部</w:t>
      </w:r>
      <w:r>
        <w:rPr>
          <w:rFonts w:hint="eastAsia"/>
          <w:color w:val="000000"/>
          <w:sz w:val="21"/>
          <w:szCs w:val="21"/>
        </w:rPr>
        <w:t>及框架内全部装置及零部件配带齐全。</w:t>
      </w:r>
      <w:r>
        <w:rPr>
          <w:rFonts w:hint="eastAsia"/>
          <w:color w:val="000000"/>
          <w:spacing w:val="5"/>
          <w:sz w:val="21"/>
          <w:szCs w:val="21"/>
        </w:rPr>
        <w:t>对于属于整套设备运行和施工所必需的部件，如果本合同附件未列出和</w:t>
      </w:r>
      <w:r>
        <w:rPr>
          <w:color w:val="000000"/>
          <w:spacing w:val="5"/>
          <w:sz w:val="21"/>
          <w:szCs w:val="21"/>
        </w:rPr>
        <w:t>/</w:t>
      </w:r>
      <w:r>
        <w:rPr>
          <w:rFonts w:hint="eastAsia"/>
          <w:color w:val="000000"/>
          <w:spacing w:val="5"/>
          <w:sz w:val="21"/>
          <w:szCs w:val="21"/>
        </w:rPr>
        <w:t>或数量不足，供方仍需在执行合同时补足。</w:t>
      </w:r>
    </w:p>
    <w:p w14:paraId="5E1F8B7E">
      <w:pPr>
        <w:spacing w:line="440" w:lineRule="exact"/>
        <w:ind w:firstLine="550" w:firstLineChars="250"/>
        <w:rPr>
          <w:rFonts w:hint="eastAsia"/>
          <w:color w:val="000000"/>
          <w:spacing w:val="5"/>
          <w:sz w:val="21"/>
          <w:szCs w:val="21"/>
        </w:rPr>
      </w:pPr>
      <w:r>
        <w:rPr>
          <w:rFonts w:hint="eastAsia"/>
          <w:color w:val="000000"/>
          <w:spacing w:val="5"/>
          <w:sz w:val="21"/>
          <w:szCs w:val="21"/>
        </w:rPr>
        <w:t>4.1.3.8 水处理设备由供货商负责安装、调试。</w:t>
      </w:r>
    </w:p>
    <w:p w14:paraId="76BBB55B">
      <w:pPr>
        <w:spacing w:line="440" w:lineRule="exact"/>
        <w:ind w:firstLine="550" w:firstLineChars="250"/>
        <w:rPr>
          <w:rFonts w:hint="eastAsia"/>
          <w:color w:val="000000"/>
          <w:spacing w:val="5"/>
          <w:sz w:val="21"/>
          <w:szCs w:val="21"/>
        </w:rPr>
      </w:pPr>
      <w:r>
        <w:rPr>
          <w:rFonts w:hint="eastAsia"/>
          <w:color w:val="000000"/>
          <w:spacing w:val="5"/>
          <w:sz w:val="21"/>
          <w:szCs w:val="21"/>
        </w:rPr>
        <w:t>4.2 供货数量</w:t>
      </w:r>
    </w:p>
    <w:p w14:paraId="4E147747">
      <w:pPr>
        <w:spacing w:before="312" w:beforeLines="100" w:after="312" w:afterLines="100" w:line="440" w:lineRule="exact"/>
        <w:jc w:val="center"/>
        <w:rPr>
          <w:rFonts w:hint="eastAsia" w:ascii="黑体" w:eastAsia="黑体"/>
          <w:color w:val="000000"/>
          <w:sz w:val="21"/>
          <w:szCs w:val="21"/>
        </w:rPr>
      </w:pPr>
      <w:r>
        <w:rPr>
          <w:rFonts w:hint="eastAsia" w:ascii="黑体" w:eastAsia="黑体"/>
          <w:color w:val="000000"/>
          <w:sz w:val="21"/>
          <w:szCs w:val="21"/>
        </w:rPr>
        <w:t>全自动软化水处理设备参数及数量</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346"/>
        <w:gridCol w:w="1346"/>
        <w:gridCol w:w="1346"/>
        <w:gridCol w:w="1346"/>
        <w:gridCol w:w="1345"/>
      </w:tblGrid>
      <w:tr w14:paraId="6173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57" w:type="dxa"/>
            <w:noWrap w:val="0"/>
            <w:vAlign w:val="center"/>
          </w:tcPr>
          <w:p w14:paraId="4F6FB2E7">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346" w:type="dxa"/>
            <w:noWrap w:val="0"/>
            <w:vAlign w:val="center"/>
          </w:tcPr>
          <w:p w14:paraId="77A88164">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w:t>
            </w:r>
          </w:p>
        </w:tc>
        <w:tc>
          <w:tcPr>
            <w:tcW w:w="1346" w:type="dxa"/>
            <w:noWrap w:val="0"/>
            <w:vAlign w:val="center"/>
          </w:tcPr>
          <w:p w14:paraId="4D3BD1BD">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2</w:t>
            </w:r>
          </w:p>
        </w:tc>
        <w:tc>
          <w:tcPr>
            <w:tcW w:w="1346" w:type="dxa"/>
            <w:noWrap w:val="0"/>
            <w:vAlign w:val="center"/>
          </w:tcPr>
          <w:p w14:paraId="1EF8999C">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3</w:t>
            </w:r>
          </w:p>
        </w:tc>
        <w:tc>
          <w:tcPr>
            <w:tcW w:w="1346" w:type="dxa"/>
            <w:noWrap w:val="0"/>
            <w:vAlign w:val="center"/>
          </w:tcPr>
          <w:p w14:paraId="21DEDC2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4</w:t>
            </w:r>
          </w:p>
        </w:tc>
        <w:tc>
          <w:tcPr>
            <w:tcW w:w="1345" w:type="dxa"/>
            <w:noWrap w:val="0"/>
            <w:vAlign w:val="center"/>
          </w:tcPr>
          <w:p w14:paraId="4E8CDF66">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5</w:t>
            </w:r>
          </w:p>
        </w:tc>
      </w:tr>
      <w:tr w14:paraId="68B4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57" w:type="dxa"/>
            <w:noWrap w:val="0"/>
            <w:vAlign w:val="center"/>
          </w:tcPr>
          <w:p w14:paraId="6D4F79A4">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进水压力（Mpa）</w:t>
            </w:r>
          </w:p>
        </w:tc>
        <w:tc>
          <w:tcPr>
            <w:tcW w:w="1346" w:type="dxa"/>
            <w:noWrap w:val="0"/>
            <w:vAlign w:val="center"/>
          </w:tcPr>
          <w:p w14:paraId="1A07DABF">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≥0.2</w:t>
            </w:r>
          </w:p>
        </w:tc>
        <w:tc>
          <w:tcPr>
            <w:tcW w:w="1346" w:type="dxa"/>
            <w:noWrap w:val="0"/>
            <w:vAlign w:val="center"/>
          </w:tcPr>
          <w:p w14:paraId="685B46B0">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≥0.2</w:t>
            </w:r>
          </w:p>
        </w:tc>
        <w:tc>
          <w:tcPr>
            <w:tcW w:w="1346" w:type="dxa"/>
            <w:noWrap w:val="0"/>
            <w:vAlign w:val="center"/>
          </w:tcPr>
          <w:p w14:paraId="0652800D">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≥0.2</w:t>
            </w:r>
          </w:p>
        </w:tc>
        <w:tc>
          <w:tcPr>
            <w:tcW w:w="1346" w:type="dxa"/>
            <w:noWrap w:val="0"/>
            <w:vAlign w:val="center"/>
          </w:tcPr>
          <w:p w14:paraId="3490CE3C">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≥0.2</w:t>
            </w:r>
          </w:p>
        </w:tc>
        <w:tc>
          <w:tcPr>
            <w:tcW w:w="1345" w:type="dxa"/>
            <w:noWrap w:val="0"/>
            <w:vAlign w:val="center"/>
          </w:tcPr>
          <w:p w14:paraId="77E40C83">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≥0.2</w:t>
            </w:r>
          </w:p>
        </w:tc>
      </w:tr>
      <w:tr w14:paraId="6B72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57" w:type="dxa"/>
            <w:noWrap w:val="0"/>
            <w:vAlign w:val="center"/>
          </w:tcPr>
          <w:p w14:paraId="34BB593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进水介质</w:t>
            </w:r>
          </w:p>
        </w:tc>
        <w:tc>
          <w:tcPr>
            <w:tcW w:w="1346" w:type="dxa"/>
            <w:noWrap w:val="0"/>
            <w:vAlign w:val="center"/>
          </w:tcPr>
          <w:p w14:paraId="48D5FC23">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346" w:type="dxa"/>
            <w:noWrap w:val="0"/>
            <w:vAlign w:val="center"/>
          </w:tcPr>
          <w:p w14:paraId="06AACC50">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346" w:type="dxa"/>
            <w:noWrap w:val="0"/>
            <w:vAlign w:val="center"/>
          </w:tcPr>
          <w:p w14:paraId="072100B2">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346" w:type="dxa"/>
            <w:noWrap w:val="0"/>
            <w:vAlign w:val="center"/>
          </w:tcPr>
          <w:p w14:paraId="6579B86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c>
          <w:tcPr>
            <w:tcW w:w="1345" w:type="dxa"/>
            <w:noWrap w:val="0"/>
            <w:vAlign w:val="center"/>
          </w:tcPr>
          <w:p w14:paraId="2E64EE8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自来水</w:t>
            </w:r>
          </w:p>
        </w:tc>
      </w:tr>
      <w:tr w14:paraId="0FD7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57" w:type="dxa"/>
            <w:noWrap w:val="0"/>
            <w:vAlign w:val="center"/>
          </w:tcPr>
          <w:p w14:paraId="3AE26F0C">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工作介质温度（</w:t>
            </w:r>
            <w:r>
              <w:rPr>
                <w:rFonts w:hint="eastAsia" w:hAnsi="宋体"/>
                <w:color w:val="000000"/>
                <w:sz w:val="21"/>
                <w:szCs w:val="21"/>
              </w:rPr>
              <w:t>℃</w:t>
            </w:r>
          </w:p>
        </w:tc>
        <w:tc>
          <w:tcPr>
            <w:tcW w:w="1346" w:type="dxa"/>
            <w:noWrap w:val="0"/>
            <w:vAlign w:val="center"/>
          </w:tcPr>
          <w:p w14:paraId="4FB4188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346" w:type="dxa"/>
            <w:noWrap w:val="0"/>
            <w:vAlign w:val="center"/>
          </w:tcPr>
          <w:p w14:paraId="20BAD80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346" w:type="dxa"/>
            <w:noWrap w:val="0"/>
            <w:vAlign w:val="center"/>
          </w:tcPr>
          <w:p w14:paraId="3AFD64C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346" w:type="dxa"/>
            <w:noWrap w:val="0"/>
            <w:vAlign w:val="center"/>
          </w:tcPr>
          <w:p w14:paraId="4A97376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c>
          <w:tcPr>
            <w:tcW w:w="1345" w:type="dxa"/>
            <w:noWrap w:val="0"/>
            <w:vAlign w:val="center"/>
          </w:tcPr>
          <w:p w14:paraId="4C89083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常温</w:t>
            </w:r>
          </w:p>
        </w:tc>
      </w:tr>
      <w:tr w14:paraId="20AA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57" w:type="dxa"/>
            <w:noWrap w:val="0"/>
            <w:vAlign w:val="center"/>
          </w:tcPr>
          <w:p w14:paraId="7128C774">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处理量（m</w:t>
            </w:r>
            <w:r>
              <w:rPr>
                <w:rFonts w:hint="eastAsia"/>
                <w:color w:val="000000"/>
                <w:sz w:val="21"/>
                <w:szCs w:val="21"/>
                <w:vertAlign w:val="superscript"/>
              </w:rPr>
              <w:t>3</w:t>
            </w:r>
            <w:r>
              <w:rPr>
                <w:rFonts w:hint="eastAsia"/>
                <w:color w:val="000000"/>
                <w:sz w:val="21"/>
                <w:szCs w:val="21"/>
              </w:rPr>
              <w:t>/h）</w:t>
            </w:r>
          </w:p>
        </w:tc>
        <w:tc>
          <w:tcPr>
            <w:tcW w:w="1346" w:type="dxa"/>
            <w:noWrap w:val="0"/>
            <w:vAlign w:val="center"/>
          </w:tcPr>
          <w:p w14:paraId="0C2A3F1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10</w:t>
            </w:r>
          </w:p>
        </w:tc>
        <w:tc>
          <w:tcPr>
            <w:tcW w:w="1346" w:type="dxa"/>
            <w:noWrap w:val="0"/>
            <w:vAlign w:val="center"/>
          </w:tcPr>
          <w:p w14:paraId="7D6959F7">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15</w:t>
            </w:r>
          </w:p>
        </w:tc>
        <w:tc>
          <w:tcPr>
            <w:tcW w:w="1346" w:type="dxa"/>
            <w:noWrap w:val="0"/>
            <w:vAlign w:val="center"/>
          </w:tcPr>
          <w:p w14:paraId="6A7E824C">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20</w:t>
            </w:r>
          </w:p>
        </w:tc>
        <w:tc>
          <w:tcPr>
            <w:tcW w:w="1346" w:type="dxa"/>
            <w:noWrap w:val="0"/>
            <w:vAlign w:val="center"/>
          </w:tcPr>
          <w:p w14:paraId="5621E307">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35</w:t>
            </w:r>
          </w:p>
        </w:tc>
        <w:tc>
          <w:tcPr>
            <w:tcW w:w="1345" w:type="dxa"/>
            <w:noWrap w:val="0"/>
            <w:vAlign w:val="center"/>
          </w:tcPr>
          <w:p w14:paraId="359EDC7A">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50</w:t>
            </w:r>
          </w:p>
        </w:tc>
      </w:tr>
      <w:tr w14:paraId="557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57" w:type="dxa"/>
            <w:noWrap w:val="0"/>
            <w:vAlign w:val="center"/>
          </w:tcPr>
          <w:p w14:paraId="4A1E7886">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配用法兰压力（Mpa）</w:t>
            </w:r>
          </w:p>
        </w:tc>
        <w:tc>
          <w:tcPr>
            <w:tcW w:w="1346" w:type="dxa"/>
            <w:noWrap w:val="0"/>
            <w:vAlign w:val="center"/>
          </w:tcPr>
          <w:p w14:paraId="230D529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1.0</w:t>
            </w:r>
          </w:p>
        </w:tc>
        <w:tc>
          <w:tcPr>
            <w:tcW w:w="1346" w:type="dxa"/>
            <w:noWrap w:val="0"/>
            <w:vAlign w:val="center"/>
          </w:tcPr>
          <w:p w14:paraId="68766E7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1.0</w:t>
            </w:r>
          </w:p>
        </w:tc>
        <w:tc>
          <w:tcPr>
            <w:tcW w:w="1346" w:type="dxa"/>
            <w:noWrap w:val="0"/>
            <w:vAlign w:val="center"/>
          </w:tcPr>
          <w:p w14:paraId="1A824C84">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1.0</w:t>
            </w:r>
          </w:p>
        </w:tc>
        <w:tc>
          <w:tcPr>
            <w:tcW w:w="1346" w:type="dxa"/>
            <w:noWrap w:val="0"/>
            <w:vAlign w:val="center"/>
          </w:tcPr>
          <w:p w14:paraId="5120E56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1.0</w:t>
            </w:r>
          </w:p>
        </w:tc>
        <w:tc>
          <w:tcPr>
            <w:tcW w:w="1345" w:type="dxa"/>
            <w:noWrap w:val="0"/>
            <w:vAlign w:val="center"/>
          </w:tcPr>
          <w:p w14:paraId="5FD24B76">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1.0</w:t>
            </w:r>
          </w:p>
        </w:tc>
      </w:tr>
      <w:tr w14:paraId="144D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57" w:type="dxa"/>
            <w:noWrap w:val="0"/>
            <w:vAlign w:val="center"/>
          </w:tcPr>
          <w:p w14:paraId="5A94098F">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数量（台）</w:t>
            </w:r>
          </w:p>
        </w:tc>
        <w:tc>
          <w:tcPr>
            <w:tcW w:w="1346" w:type="dxa"/>
            <w:noWrap w:val="0"/>
            <w:vAlign w:val="center"/>
          </w:tcPr>
          <w:p w14:paraId="1023B2B6">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1</w:t>
            </w:r>
          </w:p>
        </w:tc>
        <w:tc>
          <w:tcPr>
            <w:tcW w:w="1346" w:type="dxa"/>
            <w:noWrap w:val="0"/>
            <w:vAlign w:val="center"/>
          </w:tcPr>
          <w:p w14:paraId="2942E160">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1346" w:type="dxa"/>
            <w:noWrap w:val="0"/>
            <w:vAlign w:val="center"/>
          </w:tcPr>
          <w:p w14:paraId="1981DBBD">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1346" w:type="dxa"/>
            <w:noWrap w:val="0"/>
            <w:vAlign w:val="center"/>
          </w:tcPr>
          <w:p w14:paraId="11AC2D90">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0</w:t>
            </w:r>
          </w:p>
        </w:tc>
        <w:tc>
          <w:tcPr>
            <w:tcW w:w="1345" w:type="dxa"/>
            <w:noWrap w:val="0"/>
            <w:vAlign w:val="center"/>
          </w:tcPr>
          <w:p w14:paraId="07F402A9">
            <w:pPr>
              <w:keepNext w:val="0"/>
              <w:keepLines w:val="0"/>
              <w:suppressLineNumbers w:val="0"/>
              <w:spacing w:before="0" w:beforeAutospacing="0" w:after="0" w:afterAutospacing="0" w:line="44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0</w:t>
            </w:r>
          </w:p>
        </w:tc>
      </w:tr>
      <w:tr w14:paraId="2BE4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57" w:type="dxa"/>
            <w:noWrap w:val="0"/>
            <w:vAlign w:val="center"/>
          </w:tcPr>
          <w:p w14:paraId="0763C219">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346" w:type="dxa"/>
            <w:noWrap w:val="0"/>
            <w:vAlign w:val="center"/>
          </w:tcPr>
          <w:p w14:paraId="600ADBE5">
            <w:pPr>
              <w:keepNext w:val="0"/>
              <w:keepLines w:val="0"/>
              <w:suppressLineNumbers w:val="0"/>
              <w:spacing w:before="0" w:beforeAutospacing="0" w:after="0" w:afterAutospacing="0" w:line="440" w:lineRule="exact"/>
              <w:ind w:left="0" w:right="0"/>
              <w:jc w:val="center"/>
              <w:rPr>
                <w:rFonts w:hint="eastAsia"/>
                <w:color w:val="000000"/>
                <w:sz w:val="21"/>
                <w:szCs w:val="21"/>
                <w:lang w:val="en-US" w:eastAsia="zh-CN"/>
              </w:rPr>
            </w:pPr>
          </w:p>
        </w:tc>
        <w:tc>
          <w:tcPr>
            <w:tcW w:w="1346" w:type="dxa"/>
            <w:noWrap w:val="0"/>
            <w:vAlign w:val="center"/>
          </w:tcPr>
          <w:p w14:paraId="491BDBA2">
            <w:pPr>
              <w:keepNext w:val="0"/>
              <w:keepLines w:val="0"/>
              <w:suppressLineNumbers w:val="0"/>
              <w:spacing w:before="0" w:beforeAutospacing="0" w:after="0" w:afterAutospacing="0" w:line="440" w:lineRule="exact"/>
              <w:ind w:left="0" w:right="0"/>
              <w:jc w:val="center"/>
              <w:rPr>
                <w:rFonts w:hint="eastAsia"/>
                <w:color w:val="000000"/>
                <w:sz w:val="21"/>
                <w:szCs w:val="21"/>
                <w:lang w:val="en-US" w:eastAsia="zh-CN"/>
              </w:rPr>
            </w:pPr>
          </w:p>
        </w:tc>
        <w:tc>
          <w:tcPr>
            <w:tcW w:w="1346" w:type="dxa"/>
            <w:noWrap w:val="0"/>
            <w:vAlign w:val="center"/>
          </w:tcPr>
          <w:p w14:paraId="08290BFB">
            <w:pPr>
              <w:keepNext w:val="0"/>
              <w:keepLines w:val="0"/>
              <w:suppressLineNumbers w:val="0"/>
              <w:spacing w:before="0" w:beforeAutospacing="0" w:after="0" w:afterAutospacing="0" w:line="440" w:lineRule="exact"/>
              <w:ind w:left="0" w:right="0"/>
              <w:jc w:val="center"/>
              <w:rPr>
                <w:rFonts w:hint="eastAsia"/>
                <w:color w:val="000000"/>
                <w:sz w:val="21"/>
                <w:szCs w:val="21"/>
                <w:lang w:val="en-US" w:eastAsia="zh-CN"/>
              </w:rPr>
            </w:pPr>
          </w:p>
        </w:tc>
        <w:tc>
          <w:tcPr>
            <w:tcW w:w="1346" w:type="dxa"/>
            <w:noWrap w:val="0"/>
            <w:vAlign w:val="center"/>
          </w:tcPr>
          <w:p w14:paraId="3541BDAE">
            <w:pPr>
              <w:keepNext w:val="0"/>
              <w:keepLines w:val="0"/>
              <w:suppressLineNumbers w:val="0"/>
              <w:spacing w:before="0" w:beforeAutospacing="0" w:after="0" w:afterAutospacing="0" w:line="440" w:lineRule="exact"/>
              <w:ind w:left="0" w:right="0"/>
              <w:jc w:val="center"/>
              <w:rPr>
                <w:rFonts w:hint="eastAsia"/>
                <w:color w:val="000000"/>
                <w:sz w:val="21"/>
                <w:szCs w:val="21"/>
                <w:lang w:val="en-US" w:eastAsia="zh-CN"/>
              </w:rPr>
            </w:pPr>
          </w:p>
        </w:tc>
        <w:tc>
          <w:tcPr>
            <w:tcW w:w="1345" w:type="dxa"/>
            <w:noWrap w:val="0"/>
            <w:vAlign w:val="center"/>
          </w:tcPr>
          <w:p w14:paraId="75118A0A">
            <w:pPr>
              <w:keepNext w:val="0"/>
              <w:keepLines w:val="0"/>
              <w:suppressLineNumbers w:val="0"/>
              <w:spacing w:before="0" w:beforeAutospacing="0" w:after="0" w:afterAutospacing="0" w:line="440" w:lineRule="exact"/>
              <w:ind w:left="0" w:right="0"/>
              <w:jc w:val="center"/>
              <w:rPr>
                <w:rFonts w:hint="eastAsia"/>
                <w:color w:val="000000"/>
                <w:sz w:val="21"/>
                <w:szCs w:val="21"/>
                <w:lang w:val="en-US" w:eastAsia="zh-CN"/>
              </w:rPr>
            </w:pPr>
          </w:p>
        </w:tc>
      </w:tr>
    </w:tbl>
    <w:p w14:paraId="629195C9">
      <w:pPr>
        <w:shd w:val="clear" w:color="auto" w:fill="FFFFFF"/>
        <w:spacing w:line="440" w:lineRule="exact"/>
        <w:ind w:firstLine="550" w:firstLineChars="250"/>
        <w:rPr>
          <w:ins w:id="0" w:author="DELL" w:date="2013-05-11T15:53:00Z"/>
          <w:rFonts w:hint="eastAsia"/>
          <w:color w:val="000000"/>
          <w:spacing w:val="5"/>
          <w:sz w:val="21"/>
          <w:szCs w:val="21"/>
        </w:rPr>
      </w:pPr>
    </w:p>
    <w:p w14:paraId="3B6BC120">
      <w:pPr>
        <w:shd w:val="clear" w:color="auto" w:fill="FFFFFF"/>
        <w:spacing w:line="440" w:lineRule="exact"/>
        <w:ind w:firstLine="550" w:firstLineChars="250"/>
        <w:rPr>
          <w:rFonts w:hint="eastAsia"/>
          <w:color w:val="000000"/>
          <w:spacing w:val="5"/>
          <w:sz w:val="21"/>
          <w:szCs w:val="21"/>
        </w:rPr>
      </w:pPr>
      <w:r>
        <w:rPr>
          <w:rFonts w:hint="eastAsia"/>
          <w:color w:val="000000"/>
          <w:spacing w:val="5"/>
          <w:sz w:val="21"/>
          <w:szCs w:val="21"/>
        </w:rPr>
        <w:t xml:space="preserve">4.3 </w:t>
      </w:r>
      <w:r>
        <w:rPr>
          <w:rFonts w:hint="eastAsia"/>
          <w:color w:val="000000"/>
          <w:sz w:val="21"/>
          <w:szCs w:val="21"/>
          <w:lang w:eastAsia="zh-CN"/>
        </w:rPr>
        <w:t>盐水辅助泵</w:t>
      </w:r>
    </w:p>
    <w:p w14:paraId="0AE2BC90">
      <w:pPr>
        <w:spacing w:line="440" w:lineRule="exact"/>
        <w:ind w:firstLine="525" w:firstLineChars="250"/>
        <w:rPr>
          <w:rFonts w:hint="eastAsia"/>
          <w:color w:val="000000"/>
          <w:sz w:val="21"/>
          <w:szCs w:val="21"/>
        </w:rPr>
      </w:pPr>
      <w:r>
        <w:rPr>
          <w:rFonts w:hint="eastAsia"/>
          <w:color w:val="000000"/>
          <w:sz w:val="21"/>
          <w:szCs w:val="21"/>
        </w:rPr>
        <w:t>由于自来水压力普遍低于0.1MPa，</w:t>
      </w:r>
      <w:r>
        <w:rPr>
          <w:rFonts w:hint="eastAsia"/>
          <w:color w:val="000000"/>
          <w:sz w:val="21"/>
          <w:szCs w:val="21"/>
          <w:lang w:eastAsia="zh-CN"/>
        </w:rPr>
        <w:t>因</w:t>
      </w:r>
      <w:r>
        <w:rPr>
          <w:rFonts w:hint="eastAsia"/>
          <w:color w:val="000000"/>
          <w:sz w:val="21"/>
          <w:szCs w:val="21"/>
        </w:rPr>
        <w:t>自来水压力不能满足供货方设备</w:t>
      </w:r>
      <w:r>
        <w:rPr>
          <w:rFonts w:hint="eastAsia"/>
          <w:color w:val="000000"/>
          <w:sz w:val="21"/>
          <w:szCs w:val="21"/>
          <w:lang w:eastAsia="zh-CN"/>
        </w:rPr>
        <w:t>水处理交换器</w:t>
      </w:r>
      <w:r>
        <w:rPr>
          <w:rFonts w:hint="eastAsia"/>
          <w:color w:val="000000"/>
          <w:sz w:val="21"/>
          <w:szCs w:val="21"/>
        </w:rPr>
        <w:t>反洗需要，供货方应提供</w:t>
      </w:r>
      <w:r>
        <w:rPr>
          <w:rFonts w:hint="eastAsia"/>
          <w:color w:val="000000"/>
          <w:sz w:val="21"/>
          <w:szCs w:val="21"/>
          <w:lang w:eastAsia="zh-CN"/>
        </w:rPr>
        <w:t>盐水辅助泵</w:t>
      </w:r>
      <w:r>
        <w:rPr>
          <w:rFonts w:hint="eastAsia"/>
          <w:color w:val="000000"/>
          <w:sz w:val="21"/>
          <w:szCs w:val="21"/>
        </w:rPr>
        <w:t>以满足</w:t>
      </w:r>
      <w:r>
        <w:rPr>
          <w:rFonts w:hint="eastAsia"/>
          <w:color w:val="000000"/>
          <w:sz w:val="21"/>
          <w:szCs w:val="21"/>
          <w:lang w:eastAsia="zh-CN"/>
        </w:rPr>
        <w:t>水处理交换器的</w:t>
      </w:r>
      <w:r>
        <w:rPr>
          <w:rFonts w:hint="eastAsia"/>
          <w:color w:val="000000"/>
          <w:sz w:val="21"/>
          <w:szCs w:val="21"/>
        </w:rPr>
        <w:t>反洗要求，否则由此引起的设备出水能力不足或反洗效果差等问题，视同设备质量不合格，供货方负全部责任；进水设置配备原水箱一台</w:t>
      </w:r>
      <w:r>
        <w:rPr>
          <w:rFonts w:hint="eastAsia"/>
          <w:color w:val="000000"/>
          <w:sz w:val="21"/>
          <w:szCs w:val="21"/>
          <w:lang w:eastAsia="zh-CN"/>
        </w:rPr>
        <w:t>，</w:t>
      </w:r>
      <w:r>
        <w:rPr>
          <w:rFonts w:hint="eastAsia"/>
          <w:color w:val="000000"/>
          <w:sz w:val="21"/>
          <w:szCs w:val="21"/>
        </w:rPr>
        <w:t>原水箱及</w:t>
      </w:r>
      <w:r>
        <w:rPr>
          <w:rFonts w:hint="eastAsia"/>
          <w:color w:val="000000"/>
          <w:sz w:val="21"/>
          <w:szCs w:val="21"/>
          <w:lang w:eastAsia="zh-CN"/>
        </w:rPr>
        <w:t>盐水辅助泵</w:t>
      </w:r>
      <w:r>
        <w:rPr>
          <w:rFonts w:hint="eastAsia"/>
          <w:color w:val="000000"/>
          <w:sz w:val="21"/>
          <w:szCs w:val="21"/>
        </w:rPr>
        <w:t>属于水处理系统的一部分，由供货方负责安装。</w:t>
      </w:r>
    </w:p>
    <w:p w14:paraId="5FF963AB">
      <w:pPr>
        <w:pStyle w:val="64"/>
        <w:spacing w:line="440" w:lineRule="exact"/>
        <w:outlineLvl w:val="1"/>
        <w:rPr>
          <w:rFonts w:hint="eastAsia"/>
          <w:b/>
          <w:color w:val="000000"/>
          <w:sz w:val="21"/>
          <w:szCs w:val="21"/>
        </w:rPr>
      </w:pPr>
      <w:bookmarkStart w:id="35" w:name="_Toc271049310"/>
      <w:bookmarkStart w:id="36" w:name="_Toc270453093"/>
      <w:r>
        <w:rPr>
          <w:rFonts w:hint="eastAsia"/>
          <w:b/>
          <w:color w:val="000000"/>
          <w:sz w:val="21"/>
          <w:szCs w:val="21"/>
        </w:rPr>
        <w:t>5 备品备件及专用工具</w:t>
      </w:r>
      <w:bookmarkEnd w:id="35"/>
      <w:bookmarkEnd w:id="36"/>
      <w:r>
        <w:rPr>
          <w:rFonts w:hint="eastAsia"/>
          <w:b/>
          <w:color w:val="000000"/>
          <w:sz w:val="21"/>
          <w:szCs w:val="21"/>
        </w:rPr>
        <w:t xml:space="preserve">  </w:t>
      </w:r>
    </w:p>
    <w:p w14:paraId="242D53DC">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1  备品备件</w:t>
      </w:r>
    </w:p>
    <w:p w14:paraId="6CE43135">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  供方当指出所推荐的备件的生产厂家的名称和地址以及交付所需要的大概期限时间。</w:t>
      </w:r>
    </w:p>
    <w:p w14:paraId="07A45D55">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2  供方在</w:t>
      </w:r>
      <w:r>
        <w:rPr>
          <w:rFonts w:hint="eastAsia" w:hAnsi="宋体"/>
          <w:color w:val="000000"/>
          <w:sz w:val="21"/>
          <w:szCs w:val="21"/>
        </w:rPr>
        <w:t>终止</w:t>
      </w:r>
      <w:r>
        <w:rPr>
          <w:rFonts w:hint="eastAsia"/>
          <w:color w:val="000000"/>
          <w:sz w:val="21"/>
          <w:szCs w:val="21"/>
        </w:rPr>
        <w:t>备件生产前通知需方，以便需方根据需要及时增加订购备件的数量。</w:t>
      </w:r>
    </w:p>
    <w:p w14:paraId="17251404">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3  合同执行过程中，供方设备中所用的标准部件若有改动时，应相应改动提供的备件中的品种。</w:t>
      </w:r>
    </w:p>
    <w:p w14:paraId="1E68B39F">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.1.4</w:t>
      </w:r>
      <w:r>
        <w:rPr>
          <w:rFonts w:hint="eastAsia"/>
          <w:color w:val="000000"/>
          <w:sz w:val="21"/>
          <w:szCs w:val="21"/>
        </w:rPr>
        <w:t xml:space="preserve">  供方建议的生产用备品备件清单应在报价中分项列出。</w:t>
      </w:r>
    </w:p>
    <w:p w14:paraId="0DB68FE0">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5  备品备件清单</w:t>
      </w:r>
    </w:p>
    <w:p w14:paraId="62AF408E">
      <w:pPr>
        <w:spacing w:line="440" w:lineRule="exact"/>
        <w:ind w:firstLine="525" w:firstLineChars="250"/>
        <w:rPr>
          <w:rFonts w:hint="eastAsia"/>
          <w:color w:val="000000"/>
          <w:sz w:val="21"/>
          <w:szCs w:val="21"/>
          <w:lang w:eastAsia="zh-CN"/>
        </w:rPr>
      </w:pPr>
      <w:r>
        <w:rPr>
          <w:color w:val="000000"/>
          <w:sz w:val="21"/>
          <w:szCs w:val="21"/>
        </w:rPr>
        <w:t>a</w:t>
      </w:r>
      <w:r>
        <w:rPr>
          <w:rFonts w:hint="eastAsia"/>
          <w:color w:val="000000"/>
          <w:sz w:val="21"/>
          <w:szCs w:val="21"/>
        </w:rPr>
        <w:t>、</w:t>
      </w:r>
      <w:r>
        <w:rPr>
          <w:rFonts w:hint="eastAsia"/>
          <w:color w:val="000000"/>
          <w:sz w:val="21"/>
          <w:szCs w:val="21"/>
          <w:lang w:eastAsia="zh-CN"/>
        </w:rPr>
        <w:t>本次供货包含备品清单（单独报价，含到总价中）</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276"/>
        <w:gridCol w:w="1276"/>
        <w:gridCol w:w="1134"/>
      </w:tblGrid>
      <w:tr w14:paraId="7519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081E0EB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序号</w:t>
            </w:r>
          </w:p>
        </w:tc>
        <w:tc>
          <w:tcPr>
            <w:tcW w:w="3260" w:type="dxa"/>
            <w:noWrap w:val="0"/>
            <w:vAlign w:val="top"/>
          </w:tcPr>
          <w:p w14:paraId="35B0899D">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名  称  及  规  范</w:t>
            </w:r>
          </w:p>
        </w:tc>
        <w:tc>
          <w:tcPr>
            <w:tcW w:w="1276" w:type="dxa"/>
            <w:noWrap w:val="0"/>
            <w:vAlign w:val="top"/>
          </w:tcPr>
          <w:p w14:paraId="36669E74">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数 量</w:t>
            </w:r>
          </w:p>
        </w:tc>
        <w:tc>
          <w:tcPr>
            <w:tcW w:w="1276" w:type="dxa"/>
            <w:noWrap w:val="0"/>
            <w:vAlign w:val="top"/>
          </w:tcPr>
          <w:p w14:paraId="11B31971">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单  价</w:t>
            </w:r>
          </w:p>
        </w:tc>
        <w:tc>
          <w:tcPr>
            <w:tcW w:w="1134" w:type="dxa"/>
            <w:noWrap w:val="0"/>
            <w:vAlign w:val="top"/>
          </w:tcPr>
          <w:p w14:paraId="1A4821CF">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总  价</w:t>
            </w:r>
          </w:p>
        </w:tc>
      </w:tr>
      <w:tr w14:paraId="52B6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14A136FB">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3260" w:type="dxa"/>
            <w:noWrap w:val="0"/>
            <w:vAlign w:val="top"/>
          </w:tcPr>
          <w:p w14:paraId="6F223E86">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094C432B">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2CB816E2">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134" w:type="dxa"/>
            <w:noWrap w:val="0"/>
            <w:vAlign w:val="top"/>
          </w:tcPr>
          <w:p w14:paraId="28EBB911">
            <w:pPr>
              <w:keepNext w:val="0"/>
              <w:keepLines w:val="0"/>
              <w:suppressLineNumbers w:val="0"/>
              <w:spacing w:before="0" w:beforeAutospacing="0" w:after="0" w:afterAutospacing="0" w:line="440" w:lineRule="exact"/>
              <w:ind w:left="0" w:right="0"/>
              <w:rPr>
                <w:rFonts w:hint="eastAsia"/>
                <w:color w:val="000000"/>
                <w:sz w:val="21"/>
                <w:szCs w:val="21"/>
              </w:rPr>
            </w:pPr>
          </w:p>
        </w:tc>
      </w:tr>
      <w:tr w14:paraId="0E7D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095433AB">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总计</w:t>
            </w:r>
          </w:p>
        </w:tc>
        <w:tc>
          <w:tcPr>
            <w:tcW w:w="3260" w:type="dxa"/>
            <w:noWrap w:val="0"/>
            <w:vAlign w:val="top"/>
          </w:tcPr>
          <w:p w14:paraId="495FBA89">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054425A5">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46DAF192">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134" w:type="dxa"/>
            <w:noWrap w:val="0"/>
            <w:vAlign w:val="top"/>
          </w:tcPr>
          <w:p w14:paraId="23C6441B">
            <w:pPr>
              <w:keepNext w:val="0"/>
              <w:keepLines w:val="0"/>
              <w:suppressLineNumbers w:val="0"/>
              <w:spacing w:before="0" w:beforeAutospacing="0" w:after="0" w:afterAutospacing="0" w:line="440" w:lineRule="exact"/>
              <w:ind w:left="0" w:right="0"/>
              <w:jc w:val="center"/>
              <w:rPr>
                <w:rFonts w:hint="eastAsia"/>
                <w:color w:val="000000"/>
                <w:sz w:val="21"/>
                <w:szCs w:val="21"/>
              </w:rPr>
            </w:pPr>
          </w:p>
        </w:tc>
      </w:tr>
    </w:tbl>
    <w:p w14:paraId="7ED3FBA0">
      <w:pPr>
        <w:spacing w:line="440" w:lineRule="exact"/>
        <w:ind w:firstLine="525" w:firstLineChars="250"/>
        <w:rPr>
          <w:rFonts w:hint="eastAsia"/>
          <w:color w:val="000000"/>
          <w:sz w:val="21"/>
          <w:szCs w:val="21"/>
        </w:rPr>
      </w:pPr>
      <w:r>
        <w:rPr>
          <w:color w:val="000000"/>
          <w:sz w:val="21"/>
          <w:szCs w:val="21"/>
        </w:rPr>
        <w:t>b</w:t>
      </w:r>
      <w:r>
        <w:rPr>
          <w:rFonts w:hint="eastAsia"/>
          <w:color w:val="000000"/>
          <w:sz w:val="21"/>
          <w:szCs w:val="21"/>
        </w:rPr>
        <w:t>、必须的备品备件清单（保证3年运行期，免费提供）</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276"/>
        <w:gridCol w:w="1276"/>
        <w:gridCol w:w="1134"/>
      </w:tblGrid>
      <w:tr w14:paraId="13E3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3CF9FE70">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序号</w:t>
            </w:r>
          </w:p>
        </w:tc>
        <w:tc>
          <w:tcPr>
            <w:tcW w:w="3260" w:type="dxa"/>
            <w:noWrap w:val="0"/>
            <w:vAlign w:val="top"/>
          </w:tcPr>
          <w:p w14:paraId="51275D8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名  称  及  规  范</w:t>
            </w:r>
          </w:p>
        </w:tc>
        <w:tc>
          <w:tcPr>
            <w:tcW w:w="1276" w:type="dxa"/>
            <w:noWrap w:val="0"/>
            <w:vAlign w:val="top"/>
          </w:tcPr>
          <w:p w14:paraId="76730FC0">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数 量</w:t>
            </w:r>
          </w:p>
        </w:tc>
        <w:tc>
          <w:tcPr>
            <w:tcW w:w="1276" w:type="dxa"/>
            <w:noWrap w:val="0"/>
            <w:vAlign w:val="top"/>
          </w:tcPr>
          <w:p w14:paraId="433E6670">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单  价</w:t>
            </w:r>
          </w:p>
        </w:tc>
        <w:tc>
          <w:tcPr>
            <w:tcW w:w="1134" w:type="dxa"/>
            <w:noWrap w:val="0"/>
            <w:vAlign w:val="top"/>
          </w:tcPr>
          <w:p w14:paraId="6F4CB1F0">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总  价</w:t>
            </w:r>
          </w:p>
        </w:tc>
      </w:tr>
      <w:tr w14:paraId="5AEB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603A1F92">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3260" w:type="dxa"/>
            <w:noWrap w:val="0"/>
            <w:vAlign w:val="top"/>
          </w:tcPr>
          <w:p w14:paraId="2C32F080">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59450D59">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53FB091A">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134" w:type="dxa"/>
            <w:noWrap w:val="0"/>
            <w:vAlign w:val="top"/>
          </w:tcPr>
          <w:p w14:paraId="2D18E3DC">
            <w:pPr>
              <w:keepNext w:val="0"/>
              <w:keepLines w:val="0"/>
              <w:suppressLineNumbers w:val="0"/>
              <w:spacing w:before="0" w:beforeAutospacing="0" w:after="0" w:afterAutospacing="0" w:line="440" w:lineRule="exact"/>
              <w:ind w:left="0" w:right="0"/>
              <w:rPr>
                <w:rFonts w:hint="eastAsia"/>
                <w:color w:val="000000"/>
                <w:sz w:val="21"/>
                <w:szCs w:val="21"/>
              </w:rPr>
            </w:pPr>
          </w:p>
        </w:tc>
      </w:tr>
      <w:tr w14:paraId="2EC8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1895D9D9">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总计</w:t>
            </w:r>
          </w:p>
        </w:tc>
        <w:tc>
          <w:tcPr>
            <w:tcW w:w="3260" w:type="dxa"/>
            <w:noWrap w:val="0"/>
            <w:vAlign w:val="top"/>
          </w:tcPr>
          <w:p w14:paraId="09662DD9">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0ACA9854">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76" w:type="dxa"/>
            <w:noWrap w:val="0"/>
            <w:vAlign w:val="top"/>
          </w:tcPr>
          <w:p w14:paraId="731DE602">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134" w:type="dxa"/>
            <w:noWrap w:val="0"/>
            <w:vAlign w:val="top"/>
          </w:tcPr>
          <w:p w14:paraId="4BBE371E">
            <w:pPr>
              <w:keepNext w:val="0"/>
              <w:keepLines w:val="0"/>
              <w:suppressLineNumbers w:val="0"/>
              <w:spacing w:before="0" w:beforeAutospacing="0" w:after="0" w:afterAutospacing="0" w:line="440" w:lineRule="exact"/>
              <w:ind w:left="0" w:right="0"/>
              <w:jc w:val="center"/>
              <w:rPr>
                <w:rFonts w:hint="eastAsia"/>
                <w:color w:val="000000"/>
                <w:sz w:val="21"/>
                <w:szCs w:val="21"/>
              </w:rPr>
            </w:pPr>
          </w:p>
        </w:tc>
      </w:tr>
    </w:tbl>
    <w:p w14:paraId="4E78CF4E">
      <w:pPr>
        <w:spacing w:line="440" w:lineRule="exact"/>
        <w:ind w:firstLine="525" w:firstLineChars="250"/>
        <w:rPr>
          <w:rFonts w:hint="eastAsia" w:eastAsia="宋体"/>
          <w:color w:val="000000"/>
          <w:sz w:val="21"/>
          <w:szCs w:val="21"/>
          <w:lang w:val="en-US" w:eastAsia="zh-CN"/>
        </w:rPr>
      </w:pPr>
      <w:r>
        <w:rPr>
          <w:rFonts w:hint="eastAsia"/>
          <w:color w:val="000000"/>
          <w:sz w:val="21"/>
          <w:szCs w:val="21"/>
          <w:lang w:val="en-US" w:eastAsia="zh-CN"/>
        </w:rPr>
        <w:t>c、</w:t>
      </w:r>
      <w:r>
        <w:rPr>
          <w:rFonts w:hint="eastAsia"/>
          <w:color w:val="000000"/>
          <w:sz w:val="21"/>
          <w:szCs w:val="21"/>
        </w:rPr>
        <w:t>推荐的</w:t>
      </w:r>
      <w:r>
        <w:rPr>
          <w:rFonts w:hint="eastAsia" w:hAnsi="宋体"/>
          <w:color w:val="000000"/>
          <w:sz w:val="21"/>
          <w:szCs w:val="21"/>
        </w:rPr>
        <w:t>备品</w:t>
      </w:r>
      <w:r>
        <w:rPr>
          <w:rFonts w:hint="eastAsia"/>
          <w:color w:val="000000"/>
          <w:sz w:val="21"/>
          <w:szCs w:val="21"/>
        </w:rPr>
        <w:t>备件清单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05"/>
        <w:gridCol w:w="851"/>
        <w:gridCol w:w="992"/>
        <w:gridCol w:w="850"/>
        <w:gridCol w:w="851"/>
        <w:gridCol w:w="850"/>
      </w:tblGrid>
      <w:tr w14:paraId="593B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21" w:type="dxa"/>
            <w:vMerge w:val="restart"/>
            <w:noWrap w:val="0"/>
            <w:vAlign w:val="center"/>
          </w:tcPr>
          <w:p w14:paraId="00469CDB">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序号</w:t>
            </w:r>
          </w:p>
        </w:tc>
        <w:tc>
          <w:tcPr>
            <w:tcW w:w="2605" w:type="dxa"/>
            <w:vMerge w:val="restart"/>
            <w:noWrap w:val="0"/>
            <w:vAlign w:val="center"/>
          </w:tcPr>
          <w:p w14:paraId="77B332D2">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名  称  及  规  范</w:t>
            </w:r>
          </w:p>
        </w:tc>
        <w:tc>
          <w:tcPr>
            <w:tcW w:w="851" w:type="dxa"/>
            <w:vMerge w:val="restart"/>
            <w:noWrap w:val="0"/>
            <w:vAlign w:val="center"/>
          </w:tcPr>
          <w:p w14:paraId="035D9A93">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单价</w:t>
            </w:r>
          </w:p>
        </w:tc>
        <w:tc>
          <w:tcPr>
            <w:tcW w:w="1842" w:type="dxa"/>
            <w:gridSpan w:val="2"/>
            <w:noWrap w:val="0"/>
            <w:vAlign w:val="center"/>
          </w:tcPr>
          <w:p w14:paraId="1476BF6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半年运行期</w:t>
            </w:r>
          </w:p>
        </w:tc>
        <w:tc>
          <w:tcPr>
            <w:tcW w:w="1701" w:type="dxa"/>
            <w:gridSpan w:val="2"/>
            <w:noWrap w:val="0"/>
            <w:vAlign w:val="center"/>
          </w:tcPr>
          <w:p w14:paraId="5D5BE63F">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第一大修期</w:t>
            </w:r>
          </w:p>
        </w:tc>
      </w:tr>
      <w:tr w14:paraId="32D0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21" w:type="dxa"/>
            <w:vMerge w:val="continue"/>
            <w:noWrap w:val="0"/>
            <w:vAlign w:val="center"/>
          </w:tcPr>
          <w:p w14:paraId="129D874D">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2605" w:type="dxa"/>
            <w:vMerge w:val="continue"/>
            <w:noWrap w:val="0"/>
            <w:vAlign w:val="center"/>
          </w:tcPr>
          <w:p w14:paraId="077E019C">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1" w:type="dxa"/>
            <w:vMerge w:val="continue"/>
            <w:noWrap w:val="0"/>
            <w:vAlign w:val="center"/>
          </w:tcPr>
          <w:p w14:paraId="4AFB2F6A">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992" w:type="dxa"/>
            <w:noWrap w:val="0"/>
            <w:vAlign w:val="center"/>
          </w:tcPr>
          <w:p w14:paraId="0F90DB48">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数量</w:t>
            </w:r>
          </w:p>
        </w:tc>
        <w:tc>
          <w:tcPr>
            <w:tcW w:w="850" w:type="dxa"/>
            <w:noWrap w:val="0"/>
            <w:vAlign w:val="center"/>
          </w:tcPr>
          <w:p w14:paraId="359E3E73">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价格</w:t>
            </w:r>
          </w:p>
        </w:tc>
        <w:tc>
          <w:tcPr>
            <w:tcW w:w="851" w:type="dxa"/>
            <w:noWrap w:val="0"/>
            <w:vAlign w:val="center"/>
          </w:tcPr>
          <w:p w14:paraId="021508FB">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数量</w:t>
            </w:r>
          </w:p>
        </w:tc>
        <w:tc>
          <w:tcPr>
            <w:tcW w:w="850" w:type="dxa"/>
            <w:noWrap w:val="0"/>
            <w:vAlign w:val="center"/>
          </w:tcPr>
          <w:p w14:paraId="6137BEA6">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价格</w:t>
            </w:r>
          </w:p>
        </w:tc>
      </w:tr>
      <w:tr w14:paraId="712B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top"/>
          </w:tcPr>
          <w:p w14:paraId="5AECFD03">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2605" w:type="dxa"/>
            <w:noWrap w:val="0"/>
            <w:vAlign w:val="top"/>
          </w:tcPr>
          <w:p w14:paraId="2CDAC849">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1" w:type="dxa"/>
            <w:noWrap w:val="0"/>
            <w:vAlign w:val="top"/>
          </w:tcPr>
          <w:p w14:paraId="54674FC4">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992" w:type="dxa"/>
            <w:noWrap w:val="0"/>
            <w:vAlign w:val="top"/>
          </w:tcPr>
          <w:p w14:paraId="6D709FF2">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0" w:type="dxa"/>
            <w:noWrap w:val="0"/>
            <w:vAlign w:val="top"/>
          </w:tcPr>
          <w:p w14:paraId="3D5D72B3">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1" w:type="dxa"/>
            <w:noWrap w:val="0"/>
            <w:vAlign w:val="top"/>
          </w:tcPr>
          <w:p w14:paraId="418B3061">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0" w:type="dxa"/>
            <w:noWrap w:val="0"/>
            <w:vAlign w:val="top"/>
          </w:tcPr>
          <w:p w14:paraId="4AC5AB3C">
            <w:pPr>
              <w:keepNext w:val="0"/>
              <w:keepLines w:val="0"/>
              <w:suppressLineNumbers w:val="0"/>
              <w:spacing w:before="0" w:beforeAutospacing="0" w:after="0" w:afterAutospacing="0" w:line="440" w:lineRule="exact"/>
              <w:ind w:left="0" w:right="0"/>
              <w:jc w:val="center"/>
              <w:rPr>
                <w:rFonts w:hint="eastAsia"/>
                <w:color w:val="000000"/>
                <w:sz w:val="21"/>
                <w:szCs w:val="21"/>
              </w:rPr>
            </w:pPr>
          </w:p>
        </w:tc>
      </w:tr>
      <w:tr w14:paraId="6FE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top"/>
          </w:tcPr>
          <w:p w14:paraId="7CCE792B">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总计</w:t>
            </w:r>
          </w:p>
        </w:tc>
        <w:tc>
          <w:tcPr>
            <w:tcW w:w="2605" w:type="dxa"/>
            <w:noWrap w:val="0"/>
            <w:vAlign w:val="top"/>
          </w:tcPr>
          <w:p w14:paraId="4F2E68A1">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1" w:type="dxa"/>
            <w:noWrap w:val="0"/>
            <w:vAlign w:val="top"/>
          </w:tcPr>
          <w:p w14:paraId="4DE33262">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992" w:type="dxa"/>
            <w:noWrap w:val="0"/>
            <w:vAlign w:val="top"/>
          </w:tcPr>
          <w:p w14:paraId="756224E0">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0" w:type="dxa"/>
            <w:noWrap w:val="0"/>
            <w:vAlign w:val="top"/>
          </w:tcPr>
          <w:p w14:paraId="612B6C68">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1" w:type="dxa"/>
            <w:noWrap w:val="0"/>
            <w:vAlign w:val="top"/>
          </w:tcPr>
          <w:p w14:paraId="28D5D88C">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850" w:type="dxa"/>
            <w:noWrap w:val="0"/>
            <w:vAlign w:val="top"/>
          </w:tcPr>
          <w:p w14:paraId="1A13FC52">
            <w:pPr>
              <w:keepNext w:val="0"/>
              <w:keepLines w:val="0"/>
              <w:suppressLineNumbers w:val="0"/>
              <w:spacing w:before="0" w:beforeAutospacing="0" w:after="0" w:afterAutospacing="0" w:line="440" w:lineRule="exact"/>
              <w:ind w:left="0" w:right="0"/>
              <w:jc w:val="center"/>
              <w:rPr>
                <w:rFonts w:hint="eastAsia"/>
                <w:color w:val="000000"/>
                <w:sz w:val="21"/>
                <w:szCs w:val="21"/>
              </w:rPr>
            </w:pPr>
          </w:p>
        </w:tc>
      </w:tr>
    </w:tbl>
    <w:p w14:paraId="72D19E6F">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2  专用工具</w:t>
      </w:r>
    </w:p>
    <w:p w14:paraId="3A26B071">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1  供方</w:t>
      </w:r>
      <w:r>
        <w:rPr>
          <w:rFonts w:hint="eastAsia" w:hAnsi="宋体"/>
          <w:color w:val="000000"/>
          <w:sz w:val="21"/>
          <w:szCs w:val="21"/>
        </w:rPr>
        <w:t>应该</w:t>
      </w:r>
      <w:r>
        <w:rPr>
          <w:rFonts w:hint="eastAsia"/>
          <w:color w:val="000000"/>
          <w:sz w:val="21"/>
          <w:szCs w:val="21"/>
        </w:rPr>
        <w:t>提供所有的用于供方提供设备及附件安装，起动、运行、维护和调试所需要的专用工具。</w:t>
      </w:r>
    </w:p>
    <w:p w14:paraId="5866699A">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2  供方应指明每个工具的功能及其使用方法并对其所提供的专用工具的使用场合（安装、调试及运行、维护）加以说明。</w:t>
      </w:r>
    </w:p>
    <w:p w14:paraId="31ACAA58">
      <w:pPr>
        <w:spacing w:line="440" w:lineRule="exact"/>
        <w:ind w:firstLine="525" w:firstLineChars="250"/>
        <w:rPr>
          <w:rFonts w:hint="eastAsia"/>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3  专用工具清单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69"/>
        <w:gridCol w:w="1209"/>
        <w:gridCol w:w="1134"/>
        <w:gridCol w:w="1134"/>
      </w:tblGrid>
      <w:tr w14:paraId="130C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0F7FE1FE">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序号</w:t>
            </w:r>
          </w:p>
        </w:tc>
        <w:tc>
          <w:tcPr>
            <w:tcW w:w="3469" w:type="dxa"/>
            <w:noWrap w:val="0"/>
            <w:vAlign w:val="top"/>
          </w:tcPr>
          <w:p w14:paraId="3FA29346">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名  称  及  规  范</w:t>
            </w:r>
          </w:p>
        </w:tc>
        <w:tc>
          <w:tcPr>
            <w:tcW w:w="1209" w:type="dxa"/>
            <w:noWrap w:val="0"/>
            <w:vAlign w:val="top"/>
          </w:tcPr>
          <w:p w14:paraId="4447FB74">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数 量</w:t>
            </w:r>
          </w:p>
        </w:tc>
        <w:tc>
          <w:tcPr>
            <w:tcW w:w="1134" w:type="dxa"/>
            <w:noWrap w:val="0"/>
            <w:vAlign w:val="top"/>
          </w:tcPr>
          <w:p w14:paraId="43051385">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单  价</w:t>
            </w:r>
          </w:p>
        </w:tc>
        <w:tc>
          <w:tcPr>
            <w:tcW w:w="1134" w:type="dxa"/>
            <w:noWrap w:val="0"/>
            <w:vAlign w:val="top"/>
          </w:tcPr>
          <w:p w14:paraId="40FF325B">
            <w:pPr>
              <w:keepNext w:val="0"/>
              <w:keepLines w:val="0"/>
              <w:suppressLineNumbers w:val="0"/>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总  价</w:t>
            </w:r>
          </w:p>
        </w:tc>
      </w:tr>
      <w:tr w14:paraId="191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noWrap w:val="0"/>
            <w:vAlign w:val="top"/>
          </w:tcPr>
          <w:p w14:paraId="559297AE">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3469" w:type="dxa"/>
            <w:noWrap w:val="0"/>
            <w:vAlign w:val="top"/>
          </w:tcPr>
          <w:p w14:paraId="339301D5">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209" w:type="dxa"/>
            <w:noWrap w:val="0"/>
            <w:vAlign w:val="top"/>
          </w:tcPr>
          <w:p w14:paraId="35509427">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134" w:type="dxa"/>
            <w:noWrap w:val="0"/>
            <w:vAlign w:val="top"/>
          </w:tcPr>
          <w:p w14:paraId="7FD75141">
            <w:pPr>
              <w:keepNext w:val="0"/>
              <w:keepLines w:val="0"/>
              <w:suppressLineNumbers w:val="0"/>
              <w:spacing w:before="0" w:beforeAutospacing="0" w:after="0" w:afterAutospacing="0" w:line="440" w:lineRule="exact"/>
              <w:ind w:left="0" w:right="0"/>
              <w:jc w:val="center"/>
              <w:rPr>
                <w:rFonts w:hint="eastAsia"/>
                <w:color w:val="000000"/>
                <w:sz w:val="21"/>
                <w:szCs w:val="21"/>
              </w:rPr>
            </w:pPr>
          </w:p>
        </w:tc>
        <w:tc>
          <w:tcPr>
            <w:tcW w:w="1134" w:type="dxa"/>
            <w:noWrap w:val="0"/>
            <w:vAlign w:val="top"/>
          </w:tcPr>
          <w:p w14:paraId="4B745962">
            <w:pPr>
              <w:keepNext w:val="0"/>
              <w:keepLines w:val="0"/>
              <w:suppressLineNumbers w:val="0"/>
              <w:spacing w:before="0" w:beforeAutospacing="0" w:after="0" w:afterAutospacing="0" w:line="440" w:lineRule="exact"/>
              <w:ind w:left="0" w:right="0"/>
              <w:jc w:val="center"/>
              <w:rPr>
                <w:rFonts w:hint="eastAsia"/>
                <w:color w:val="000000"/>
                <w:sz w:val="21"/>
                <w:szCs w:val="21"/>
              </w:rPr>
            </w:pPr>
          </w:p>
        </w:tc>
      </w:tr>
    </w:tbl>
    <w:p w14:paraId="038D692A">
      <w:pPr>
        <w:pStyle w:val="64"/>
        <w:spacing w:line="440" w:lineRule="exact"/>
        <w:outlineLvl w:val="1"/>
        <w:rPr>
          <w:rFonts w:hint="eastAsia"/>
          <w:b/>
          <w:color w:val="000000"/>
          <w:sz w:val="21"/>
          <w:szCs w:val="21"/>
        </w:rPr>
      </w:pPr>
      <w:bookmarkStart w:id="37" w:name="_Toc270453094"/>
      <w:bookmarkStart w:id="38" w:name="_Toc271049311"/>
      <w:r>
        <w:rPr>
          <w:rFonts w:hint="eastAsia"/>
          <w:b/>
          <w:color w:val="000000"/>
          <w:sz w:val="21"/>
          <w:szCs w:val="21"/>
        </w:rPr>
        <w:t>6  技术资料和交付进度</w:t>
      </w:r>
      <w:bookmarkEnd w:id="37"/>
      <w:bookmarkEnd w:id="38"/>
    </w:p>
    <w:p w14:paraId="1BA8CB1F">
      <w:pPr>
        <w:spacing w:line="440" w:lineRule="exact"/>
        <w:ind w:firstLine="525" w:firstLineChars="250"/>
        <w:rPr>
          <w:rFonts w:hint="eastAsia"/>
          <w:color w:val="000000"/>
          <w:sz w:val="21"/>
          <w:szCs w:val="21"/>
        </w:rPr>
      </w:pPr>
      <w:r>
        <w:rPr>
          <w:rFonts w:hint="eastAsia"/>
          <w:color w:val="000000"/>
          <w:sz w:val="21"/>
          <w:szCs w:val="21"/>
        </w:rPr>
        <w:t>6.1</w:t>
      </w:r>
      <w:r>
        <w:rPr>
          <w:color w:val="000000"/>
          <w:sz w:val="21"/>
          <w:szCs w:val="21"/>
        </w:rPr>
        <w:t xml:space="preserve"> </w:t>
      </w:r>
      <w:r>
        <w:rPr>
          <w:rFonts w:hint="eastAsia"/>
          <w:color w:val="000000"/>
          <w:sz w:val="21"/>
          <w:szCs w:val="21"/>
        </w:rPr>
        <w:t>交接技术资料的名称如下表：</w:t>
      </w:r>
    </w:p>
    <w:tbl>
      <w:tblPr>
        <w:tblStyle w:val="3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16"/>
        <w:gridCol w:w="5704"/>
        <w:gridCol w:w="1303"/>
        <w:gridCol w:w="1303"/>
      </w:tblGrid>
      <w:tr w14:paraId="1873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60F998CF">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序号</w:t>
            </w:r>
          </w:p>
        </w:tc>
        <w:tc>
          <w:tcPr>
            <w:tcW w:w="5704" w:type="dxa"/>
            <w:noWrap w:val="0"/>
            <w:vAlign w:val="center"/>
          </w:tcPr>
          <w:p w14:paraId="61318171">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提交资料名称</w:t>
            </w:r>
          </w:p>
        </w:tc>
        <w:tc>
          <w:tcPr>
            <w:tcW w:w="1303" w:type="dxa"/>
            <w:noWrap w:val="0"/>
            <w:vAlign w:val="center"/>
          </w:tcPr>
          <w:p w14:paraId="7CD10160">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提交方</w:t>
            </w:r>
          </w:p>
        </w:tc>
        <w:tc>
          <w:tcPr>
            <w:tcW w:w="1303" w:type="dxa"/>
            <w:noWrap w:val="0"/>
            <w:vAlign w:val="center"/>
          </w:tcPr>
          <w:p w14:paraId="7E992E76">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接收方</w:t>
            </w:r>
          </w:p>
        </w:tc>
      </w:tr>
      <w:tr w14:paraId="7543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5E645C5D">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color w:val="000000"/>
                <w:sz w:val="21"/>
                <w:szCs w:val="21"/>
              </w:rPr>
              <w:t>1</w:t>
            </w:r>
          </w:p>
        </w:tc>
        <w:tc>
          <w:tcPr>
            <w:tcW w:w="5704" w:type="dxa"/>
            <w:noWrap w:val="0"/>
            <w:vAlign w:val="center"/>
          </w:tcPr>
          <w:p w14:paraId="6CE99890">
            <w:pPr>
              <w:keepNext w:val="0"/>
              <w:keepLines w:val="0"/>
              <w:suppressLineNumbers w:val="0"/>
              <w:tabs>
                <w:tab w:val="left" w:pos="567"/>
              </w:tabs>
              <w:spacing w:before="0" w:beforeAutospacing="0" w:after="0" w:afterAutospacing="0" w:line="440" w:lineRule="exact"/>
              <w:ind w:left="0" w:right="0"/>
              <w:jc w:val="both"/>
              <w:rPr>
                <w:color w:val="000000"/>
                <w:sz w:val="21"/>
                <w:szCs w:val="21"/>
              </w:rPr>
            </w:pPr>
            <w:r>
              <w:rPr>
                <w:rFonts w:hint="eastAsia"/>
                <w:color w:val="000000"/>
                <w:sz w:val="21"/>
                <w:szCs w:val="21"/>
              </w:rPr>
              <w:t>设备安装接口图、外型图</w:t>
            </w:r>
          </w:p>
        </w:tc>
        <w:tc>
          <w:tcPr>
            <w:tcW w:w="1303" w:type="dxa"/>
            <w:noWrap w:val="0"/>
            <w:vAlign w:val="center"/>
          </w:tcPr>
          <w:p w14:paraId="4021A480">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供货方</w:t>
            </w:r>
          </w:p>
        </w:tc>
        <w:tc>
          <w:tcPr>
            <w:tcW w:w="1303" w:type="dxa"/>
            <w:noWrap w:val="0"/>
            <w:vAlign w:val="top"/>
          </w:tcPr>
          <w:p w14:paraId="20163D05">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r w14:paraId="4A08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6E6A66C5">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color w:val="000000"/>
                <w:sz w:val="21"/>
                <w:szCs w:val="21"/>
              </w:rPr>
              <w:t>2</w:t>
            </w:r>
          </w:p>
        </w:tc>
        <w:tc>
          <w:tcPr>
            <w:tcW w:w="5704" w:type="dxa"/>
            <w:noWrap w:val="0"/>
            <w:vAlign w:val="center"/>
          </w:tcPr>
          <w:p w14:paraId="507AFEDF">
            <w:pPr>
              <w:keepNext w:val="0"/>
              <w:keepLines w:val="0"/>
              <w:suppressLineNumbers w:val="0"/>
              <w:tabs>
                <w:tab w:val="left" w:pos="567"/>
              </w:tabs>
              <w:spacing w:before="0" w:beforeAutospacing="0" w:after="0" w:afterAutospacing="0" w:line="440" w:lineRule="exact"/>
              <w:ind w:left="0" w:right="0"/>
              <w:jc w:val="both"/>
              <w:rPr>
                <w:color w:val="000000"/>
                <w:sz w:val="21"/>
                <w:szCs w:val="21"/>
              </w:rPr>
            </w:pPr>
            <w:r>
              <w:rPr>
                <w:rFonts w:hint="eastAsia"/>
                <w:color w:val="000000"/>
                <w:sz w:val="21"/>
                <w:szCs w:val="21"/>
              </w:rPr>
              <w:t>设备结构总图</w:t>
            </w:r>
          </w:p>
        </w:tc>
        <w:tc>
          <w:tcPr>
            <w:tcW w:w="1303" w:type="dxa"/>
            <w:noWrap w:val="0"/>
            <w:vAlign w:val="center"/>
          </w:tcPr>
          <w:p w14:paraId="2F44B61F">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供货方</w:t>
            </w:r>
          </w:p>
        </w:tc>
        <w:tc>
          <w:tcPr>
            <w:tcW w:w="1303" w:type="dxa"/>
            <w:noWrap w:val="0"/>
            <w:vAlign w:val="top"/>
          </w:tcPr>
          <w:p w14:paraId="4C996F0E">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r w14:paraId="4C55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31CF17CE">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color w:val="000000"/>
                <w:sz w:val="21"/>
                <w:szCs w:val="21"/>
              </w:rPr>
              <w:t>3</w:t>
            </w:r>
          </w:p>
        </w:tc>
        <w:tc>
          <w:tcPr>
            <w:tcW w:w="5704" w:type="dxa"/>
            <w:noWrap w:val="0"/>
            <w:vAlign w:val="center"/>
          </w:tcPr>
          <w:p w14:paraId="4403466A">
            <w:pPr>
              <w:keepNext w:val="0"/>
              <w:keepLines w:val="0"/>
              <w:suppressLineNumbers w:val="0"/>
              <w:tabs>
                <w:tab w:val="left" w:pos="567"/>
              </w:tabs>
              <w:spacing w:before="0" w:beforeAutospacing="0" w:after="0" w:afterAutospacing="0" w:line="440" w:lineRule="exact"/>
              <w:ind w:left="0" w:right="0"/>
              <w:jc w:val="both"/>
              <w:rPr>
                <w:color w:val="000000"/>
                <w:sz w:val="21"/>
                <w:szCs w:val="21"/>
              </w:rPr>
            </w:pPr>
            <w:r>
              <w:rPr>
                <w:rFonts w:hint="eastAsia"/>
                <w:color w:val="000000"/>
                <w:sz w:val="21"/>
                <w:szCs w:val="21"/>
              </w:rPr>
              <w:t>电机电源要求及设备操作程序表</w:t>
            </w:r>
          </w:p>
        </w:tc>
        <w:tc>
          <w:tcPr>
            <w:tcW w:w="1303" w:type="dxa"/>
            <w:noWrap w:val="0"/>
            <w:vAlign w:val="center"/>
          </w:tcPr>
          <w:p w14:paraId="6D3C96CE">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供货方</w:t>
            </w:r>
          </w:p>
        </w:tc>
        <w:tc>
          <w:tcPr>
            <w:tcW w:w="1303" w:type="dxa"/>
            <w:noWrap w:val="0"/>
            <w:vAlign w:val="top"/>
          </w:tcPr>
          <w:p w14:paraId="48B0A44F">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r w14:paraId="02BB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72247577">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4</w:t>
            </w:r>
          </w:p>
        </w:tc>
        <w:tc>
          <w:tcPr>
            <w:tcW w:w="5704" w:type="dxa"/>
            <w:noWrap w:val="0"/>
            <w:vAlign w:val="center"/>
          </w:tcPr>
          <w:p w14:paraId="22D332AF">
            <w:pPr>
              <w:keepNext w:val="0"/>
              <w:keepLines w:val="0"/>
              <w:suppressLineNumbers w:val="0"/>
              <w:tabs>
                <w:tab w:val="left" w:pos="567"/>
              </w:tabs>
              <w:spacing w:before="0" w:beforeAutospacing="0" w:after="0" w:afterAutospacing="0" w:line="440" w:lineRule="exact"/>
              <w:ind w:left="0" w:right="0"/>
              <w:jc w:val="both"/>
              <w:rPr>
                <w:color w:val="000000"/>
                <w:sz w:val="21"/>
                <w:szCs w:val="21"/>
              </w:rPr>
            </w:pPr>
            <w:r>
              <w:rPr>
                <w:rFonts w:hint="eastAsia"/>
                <w:color w:val="000000"/>
                <w:sz w:val="21"/>
                <w:szCs w:val="21"/>
              </w:rPr>
              <w:t>安装、维护和运行手册，程控步序表等</w:t>
            </w:r>
          </w:p>
        </w:tc>
        <w:tc>
          <w:tcPr>
            <w:tcW w:w="1303" w:type="dxa"/>
            <w:noWrap w:val="0"/>
            <w:vAlign w:val="center"/>
          </w:tcPr>
          <w:p w14:paraId="0D8C01AE">
            <w:pPr>
              <w:keepNext w:val="0"/>
              <w:keepLines w:val="0"/>
              <w:suppressLineNumbers w:val="0"/>
              <w:tabs>
                <w:tab w:val="left" w:pos="567"/>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供货方</w:t>
            </w:r>
          </w:p>
        </w:tc>
        <w:tc>
          <w:tcPr>
            <w:tcW w:w="1303" w:type="dxa"/>
            <w:noWrap w:val="0"/>
            <w:vAlign w:val="top"/>
          </w:tcPr>
          <w:p w14:paraId="18F48011">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r w14:paraId="1E4D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3CE3EA61">
            <w:pPr>
              <w:keepNext w:val="0"/>
              <w:keepLines w:val="0"/>
              <w:suppressLineNumbers w:val="0"/>
              <w:tabs>
                <w:tab w:val="left" w:pos="567"/>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5</w:t>
            </w:r>
          </w:p>
        </w:tc>
        <w:tc>
          <w:tcPr>
            <w:tcW w:w="5704" w:type="dxa"/>
            <w:noWrap w:val="0"/>
            <w:vAlign w:val="center"/>
          </w:tcPr>
          <w:p w14:paraId="46848ABD">
            <w:pPr>
              <w:keepNext w:val="0"/>
              <w:keepLines w:val="0"/>
              <w:suppressLineNumbers w:val="0"/>
              <w:tabs>
                <w:tab w:val="left" w:pos="567"/>
              </w:tabs>
              <w:spacing w:before="0" w:beforeAutospacing="0" w:after="0" w:afterAutospacing="0" w:line="440" w:lineRule="exact"/>
              <w:ind w:left="0" w:right="0"/>
              <w:jc w:val="both"/>
              <w:rPr>
                <w:rFonts w:hint="eastAsia"/>
                <w:color w:val="000000"/>
                <w:sz w:val="21"/>
                <w:szCs w:val="21"/>
              </w:rPr>
            </w:pPr>
            <w:r>
              <w:rPr>
                <w:rFonts w:hint="eastAsia" w:hAnsi="宋体"/>
                <w:color w:val="000000"/>
                <w:sz w:val="21"/>
                <w:szCs w:val="21"/>
              </w:rPr>
              <w:t>控制盘、柜的内部布置图、电器原理图及详细端子排出线图</w:t>
            </w:r>
          </w:p>
        </w:tc>
        <w:tc>
          <w:tcPr>
            <w:tcW w:w="1303" w:type="dxa"/>
            <w:noWrap w:val="0"/>
            <w:vAlign w:val="center"/>
          </w:tcPr>
          <w:p w14:paraId="739F402F">
            <w:pPr>
              <w:keepNext w:val="0"/>
              <w:keepLines w:val="0"/>
              <w:suppressLineNumbers w:val="0"/>
              <w:tabs>
                <w:tab w:val="left" w:pos="567"/>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供货方</w:t>
            </w:r>
          </w:p>
        </w:tc>
        <w:tc>
          <w:tcPr>
            <w:tcW w:w="1303" w:type="dxa"/>
            <w:noWrap w:val="0"/>
            <w:vAlign w:val="top"/>
          </w:tcPr>
          <w:p w14:paraId="3A6237D5">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r w14:paraId="5747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213ED16A">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6</w:t>
            </w:r>
          </w:p>
        </w:tc>
        <w:tc>
          <w:tcPr>
            <w:tcW w:w="5704" w:type="dxa"/>
            <w:noWrap w:val="0"/>
            <w:vAlign w:val="center"/>
          </w:tcPr>
          <w:p w14:paraId="0901ED12">
            <w:pPr>
              <w:keepNext w:val="0"/>
              <w:keepLines w:val="0"/>
              <w:suppressLineNumbers w:val="0"/>
              <w:tabs>
                <w:tab w:val="left" w:pos="567"/>
              </w:tabs>
              <w:spacing w:before="0" w:beforeAutospacing="0" w:after="0" w:afterAutospacing="0" w:line="440" w:lineRule="exact"/>
              <w:ind w:left="0" w:right="0"/>
              <w:jc w:val="both"/>
              <w:rPr>
                <w:rFonts w:hint="eastAsia"/>
                <w:color w:val="000000"/>
                <w:sz w:val="21"/>
                <w:szCs w:val="21"/>
              </w:rPr>
            </w:pPr>
            <w:r>
              <w:rPr>
                <w:rFonts w:hint="eastAsia" w:hAnsi="宋体"/>
                <w:color w:val="000000"/>
                <w:sz w:val="21"/>
                <w:szCs w:val="21"/>
              </w:rPr>
              <w:t>系统运行说明书，控制和联锁保护要求</w:t>
            </w:r>
          </w:p>
        </w:tc>
        <w:tc>
          <w:tcPr>
            <w:tcW w:w="1303" w:type="dxa"/>
            <w:noWrap w:val="0"/>
            <w:vAlign w:val="center"/>
          </w:tcPr>
          <w:p w14:paraId="4869A36F">
            <w:pPr>
              <w:keepNext w:val="0"/>
              <w:keepLines w:val="0"/>
              <w:suppressLineNumbers w:val="0"/>
              <w:tabs>
                <w:tab w:val="left" w:pos="567"/>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供货方</w:t>
            </w:r>
          </w:p>
        </w:tc>
        <w:tc>
          <w:tcPr>
            <w:tcW w:w="1303" w:type="dxa"/>
            <w:noWrap w:val="0"/>
            <w:vAlign w:val="top"/>
          </w:tcPr>
          <w:p w14:paraId="02CA0C21">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r w14:paraId="1794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0" w:hRule="atLeast"/>
          <w:jc w:val="center"/>
        </w:trPr>
        <w:tc>
          <w:tcPr>
            <w:tcW w:w="816" w:type="dxa"/>
            <w:noWrap w:val="0"/>
            <w:vAlign w:val="center"/>
          </w:tcPr>
          <w:p w14:paraId="5E45395C">
            <w:pPr>
              <w:keepNext w:val="0"/>
              <w:keepLines w:val="0"/>
              <w:suppressLineNumbers w:val="0"/>
              <w:tabs>
                <w:tab w:val="left" w:pos="567"/>
              </w:tabs>
              <w:spacing w:before="0" w:beforeAutospacing="0" w:after="0" w:afterAutospacing="0" w:line="440" w:lineRule="exact"/>
              <w:ind w:left="0" w:right="0"/>
              <w:jc w:val="center"/>
              <w:rPr>
                <w:color w:val="000000"/>
                <w:sz w:val="21"/>
                <w:szCs w:val="21"/>
              </w:rPr>
            </w:pPr>
            <w:r>
              <w:rPr>
                <w:rFonts w:hint="eastAsia"/>
                <w:color w:val="000000"/>
                <w:sz w:val="21"/>
                <w:szCs w:val="21"/>
              </w:rPr>
              <w:t>7</w:t>
            </w:r>
          </w:p>
        </w:tc>
        <w:tc>
          <w:tcPr>
            <w:tcW w:w="5704" w:type="dxa"/>
            <w:noWrap w:val="0"/>
            <w:vAlign w:val="center"/>
          </w:tcPr>
          <w:p w14:paraId="0B0D31A7">
            <w:pPr>
              <w:keepNext w:val="0"/>
              <w:keepLines w:val="0"/>
              <w:suppressLineNumbers w:val="0"/>
              <w:tabs>
                <w:tab w:val="left" w:pos="567"/>
              </w:tabs>
              <w:spacing w:before="0" w:beforeAutospacing="0" w:after="0" w:afterAutospacing="0" w:line="440" w:lineRule="exact"/>
              <w:ind w:left="0" w:right="0"/>
              <w:jc w:val="both"/>
              <w:rPr>
                <w:rFonts w:hint="eastAsia"/>
                <w:color w:val="000000"/>
                <w:sz w:val="21"/>
                <w:szCs w:val="21"/>
              </w:rPr>
            </w:pPr>
            <w:r>
              <w:rPr>
                <w:rFonts w:hint="eastAsia" w:hAnsi="宋体"/>
                <w:color w:val="000000"/>
                <w:sz w:val="21"/>
                <w:szCs w:val="21"/>
              </w:rPr>
              <w:t>仪表、控制设备及材料清册（包括型号、用途、数量等）</w:t>
            </w:r>
          </w:p>
        </w:tc>
        <w:tc>
          <w:tcPr>
            <w:tcW w:w="1303" w:type="dxa"/>
            <w:noWrap w:val="0"/>
            <w:vAlign w:val="center"/>
          </w:tcPr>
          <w:p w14:paraId="16BFDE0C">
            <w:pPr>
              <w:keepNext w:val="0"/>
              <w:keepLines w:val="0"/>
              <w:suppressLineNumbers w:val="0"/>
              <w:tabs>
                <w:tab w:val="left" w:pos="567"/>
              </w:tabs>
              <w:spacing w:before="0" w:beforeAutospacing="0" w:after="0" w:afterAutospacing="0" w:line="440" w:lineRule="exact"/>
              <w:ind w:left="0" w:right="0"/>
              <w:jc w:val="center"/>
              <w:rPr>
                <w:rFonts w:hint="eastAsia"/>
                <w:color w:val="000000"/>
                <w:sz w:val="21"/>
                <w:szCs w:val="21"/>
              </w:rPr>
            </w:pPr>
            <w:r>
              <w:rPr>
                <w:rFonts w:hint="eastAsia"/>
                <w:color w:val="000000"/>
                <w:sz w:val="21"/>
                <w:szCs w:val="21"/>
              </w:rPr>
              <w:t>供货方</w:t>
            </w:r>
          </w:p>
        </w:tc>
        <w:tc>
          <w:tcPr>
            <w:tcW w:w="1303" w:type="dxa"/>
            <w:noWrap w:val="0"/>
            <w:vAlign w:val="top"/>
          </w:tcPr>
          <w:p w14:paraId="333964E0">
            <w:pPr>
              <w:keepNext w:val="0"/>
              <w:keepLines w:val="0"/>
              <w:suppressLineNumbers w:val="0"/>
              <w:spacing w:before="0" w:beforeAutospacing="0" w:after="0" w:afterAutospacing="0" w:line="440" w:lineRule="exact"/>
              <w:ind w:left="0" w:right="0"/>
              <w:jc w:val="center"/>
              <w:rPr>
                <w:color w:val="000000"/>
                <w:sz w:val="21"/>
                <w:szCs w:val="21"/>
              </w:rPr>
            </w:pPr>
            <w:r>
              <w:rPr>
                <w:rFonts w:hint="eastAsia"/>
                <w:color w:val="000000"/>
                <w:sz w:val="21"/>
                <w:szCs w:val="21"/>
              </w:rPr>
              <w:t>招标方</w:t>
            </w:r>
          </w:p>
        </w:tc>
      </w:tr>
    </w:tbl>
    <w:p w14:paraId="3F619C91">
      <w:pPr>
        <w:spacing w:line="440" w:lineRule="exact"/>
        <w:ind w:firstLine="525" w:firstLineChars="250"/>
        <w:rPr>
          <w:color w:val="000000"/>
          <w:sz w:val="21"/>
          <w:szCs w:val="21"/>
        </w:rPr>
      </w:pPr>
      <w:r>
        <w:rPr>
          <w:rFonts w:hint="eastAsia"/>
          <w:color w:val="000000"/>
          <w:sz w:val="21"/>
          <w:szCs w:val="21"/>
        </w:rPr>
        <w:t>6.2</w:t>
      </w:r>
      <w:r>
        <w:rPr>
          <w:color w:val="000000"/>
          <w:sz w:val="21"/>
          <w:szCs w:val="21"/>
        </w:rPr>
        <w:t xml:space="preserve">  </w:t>
      </w:r>
      <w:r>
        <w:rPr>
          <w:rFonts w:hint="eastAsia"/>
          <w:color w:val="000000"/>
          <w:sz w:val="21"/>
          <w:szCs w:val="21"/>
        </w:rPr>
        <w:t>供方在规定时间内提供</w:t>
      </w:r>
      <w:r>
        <w:rPr>
          <w:color w:val="000000"/>
          <w:sz w:val="21"/>
          <w:szCs w:val="21"/>
        </w:rPr>
        <w:t>7</w:t>
      </w:r>
      <w:r>
        <w:rPr>
          <w:rFonts w:hint="eastAsia"/>
          <w:color w:val="000000"/>
          <w:sz w:val="21"/>
          <w:szCs w:val="21"/>
        </w:rPr>
        <w:t>份文件，其中提供给设计单位</w:t>
      </w:r>
      <w:r>
        <w:rPr>
          <w:color w:val="000000"/>
          <w:sz w:val="21"/>
          <w:szCs w:val="21"/>
        </w:rPr>
        <w:t>4</w:t>
      </w:r>
      <w:r>
        <w:rPr>
          <w:rFonts w:hint="eastAsia"/>
          <w:color w:val="000000"/>
          <w:sz w:val="21"/>
          <w:szCs w:val="21"/>
        </w:rPr>
        <w:t>份，业主</w:t>
      </w:r>
      <w:r>
        <w:rPr>
          <w:color w:val="000000"/>
          <w:sz w:val="21"/>
          <w:szCs w:val="21"/>
        </w:rPr>
        <w:t>3</w:t>
      </w:r>
      <w:r>
        <w:rPr>
          <w:rFonts w:hint="eastAsia"/>
          <w:color w:val="000000"/>
          <w:sz w:val="21"/>
          <w:szCs w:val="21"/>
        </w:rPr>
        <w:t>份。同时提供给设计单位和业主电子版文件各一份。</w:t>
      </w:r>
    </w:p>
    <w:p w14:paraId="3956CCD2">
      <w:pPr>
        <w:spacing w:line="440" w:lineRule="exact"/>
        <w:ind w:firstLine="525" w:firstLineChars="250"/>
        <w:rPr>
          <w:color w:val="000000"/>
          <w:sz w:val="21"/>
          <w:szCs w:val="21"/>
        </w:rPr>
      </w:pPr>
      <w:r>
        <w:rPr>
          <w:rFonts w:hint="eastAsia"/>
          <w:color w:val="000000"/>
          <w:sz w:val="21"/>
          <w:szCs w:val="21"/>
        </w:rPr>
        <w:t>6.3</w:t>
      </w:r>
      <w:r>
        <w:rPr>
          <w:color w:val="000000"/>
          <w:sz w:val="21"/>
          <w:szCs w:val="21"/>
        </w:rPr>
        <w:t xml:space="preserve">  </w:t>
      </w:r>
      <w:r>
        <w:rPr>
          <w:rFonts w:hint="eastAsia"/>
          <w:color w:val="000000"/>
          <w:sz w:val="21"/>
          <w:szCs w:val="21"/>
        </w:rPr>
        <w:t>供方所提供的图纸如有修改，供方在新版中明确标示并相应提供文字说明，供方提供适用于本工程实际情况的，为本工程专用的技术资料。</w:t>
      </w:r>
    </w:p>
    <w:p w14:paraId="256C3AF5">
      <w:pPr>
        <w:spacing w:line="440" w:lineRule="exact"/>
        <w:ind w:firstLine="525" w:firstLineChars="250"/>
        <w:rPr>
          <w:rFonts w:hint="eastAsia"/>
          <w:color w:val="000000"/>
          <w:sz w:val="21"/>
          <w:szCs w:val="21"/>
        </w:rPr>
      </w:pPr>
      <w:r>
        <w:rPr>
          <w:rFonts w:hint="eastAsia"/>
          <w:color w:val="000000"/>
          <w:sz w:val="21"/>
          <w:szCs w:val="21"/>
        </w:rPr>
        <w:t>6.4</w:t>
      </w:r>
      <w:r>
        <w:rPr>
          <w:color w:val="000000"/>
          <w:sz w:val="21"/>
          <w:szCs w:val="21"/>
        </w:rPr>
        <w:t xml:space="preserve"> </w:t>
      </w:r>
      <w:r>
        <w:rPr>
          <w:rFonts w:hint="eastAsia"/>
          <w:color w:val="000000"/>
          <w:sz w:val="21"/>
          <w:szCs w:val="21"/>
        </w:rPr>
        <w:t>供方提供的技术资料深度应满足需方进行施工图阶段设计的要求，这些资料准确，不能任意修改，如果不能满足，需方有权提出补充要求，供方及时无偿提供所需的补充技术资料。</w:t>
      </w:r>
    </w:p>
    <w:p w14:paraId="4F4B0A0D">
      <w:pPr>
        <w:spacing w:line="440" w:lineRule="exact"/>
        <w:ind w:firstLine="525" w:firstLineChars="250"/>
        <w:rPr>
          <w:rFonts w:hint="eastAsia"/>
          <w:color w:val="000000"/>
          <w:sz w:val="21"/>
          <w:szCs w:val="21"/>
        </w:rPr>
      </w:pPr>
      <w:r>
        <w:rPr>
          <w:rFonts w:hint="eastAsia"/>
          <w:color w:val="000000"/>
          <w:sz w:val="21"/>
          <w:szCs w:val="21"/>
        </w:rPr>
        <w:t>6.5</w:t>
      </w:r>
      <w:r>
        <w:rPr>
          <w:color w:val="000000"/>
          <w:sz w:val="21"/>
          <w:szCs w:val="21"/>
        </w:rPr>
        <w:t xml:space="preserve"> </w:t>
      </w:r>
      <w:r>
        <w:rPr>
          <w:rFonts w:hint="eastAsia"/>
          <w:color w:val="000000"/>
          <w:sz w:val="21"/>
          <w:szCs w:val="21"/>
        </w:rPr>
        <w:t>供方提供的技术资料内容至少包括本附件中要求的。如需方在工程设计中需要本附件以外的资料，供方及时无偿提供所需的补充技术资料。</w:t>
      </w:r>
    </w:p>
    <w:p w14:paraId="76F13FD7">
      <w:pPr>
        <w:spacing w:line="440" w:lineRule="exact"/>
        <w:ind w:firstLine="525" w:firstLineChars="250"/>
        <w:rPr>
          <w:rFonts w:hint="eastAsia"/>
          <w:color w:val="000000"/>
          <w:sz w:val="21"/>
          <w:szCs w:val="21"/>
        </w:rPr>
      </w:pPr>
      <w:r>
        <w:rPr>
          <w:rFonts w:hint="eastAsia"/>
          <w:color w:val="000000"/>
          <w:sz w:val="21"/>
          <w:szCs w:val="21"/>
        </w:rPr>
        <w:t>6.6</w:t>
      </w:r>
      <w:r>
        <w:rPr>
          <w:color w:val="000000"/>
          <w:sz w:val="21"/>
          <w:szCs w:val="21"/>
        </w:rPr>
        <w:t xml:space="preserve"> </w:t>
      </w:r>
      <w:r>
        <w:rPr>
          <w:rFonts w:hint="eastAsia"/>
          <w:color w:val="000000"/>
          <w:sz w:val="21"/>
          <w:szCs w:val="21"/>
        </w:rPr>
        <w:t>供方提交给需方的每一批资料都应附有图纸清单，每张资料都注明版次，当提交新版资料时注明修改处，并说明修改原因。</w:t>
      </w:r>
    </w:p>
    <w:p w14:paraId="667A5003">
      <w:pPr>
        <w:spacing w:line="440" w:lineRule="exact"/>
        <w:ind w:firstLine="525" w:firstLineChars="250"/>
        <w:rPr>
          <w:rFonts w:hint="eastAsia"/>
          <w:color w:val="000000"/>
          <w:sz w:val="21"/>
          <w:szCs w:val="21"/>
        </w:rPr>
      </w:pPr>
      <w:r>
        <w:rPr>
          <w:rFonts w:hint="eastAsia"/>
          <w:color w:val="000000"/>
          <w:sz w:val="21"/>
          <w:szCs w:val="21"/>
        </w:rPr>
        <w:t>6.7</w:t>
      </w:r>
      <w:r>
        <w:rPr>
          <w:color w:val="000000"/>
          <w:sz w:val="21"/>
          <w:szCs w:val="21"/>
        </w:rPr>
        <w:t xml:space="preserve"> </w:t>
      </w:r>
      <w:r>
        <w:rPr>
          <w:rFonts w:hint="eastAsia"/>
          <w:color w:val="000000"/>
          <w:sz w:val="21"/>
          <w:szCs w:val="21"/>
        </w:rPr>
        <w:t>工作配合和资料交换所用的语言为中文。</w:t>
      </w:r>
    </w:p>
    <w:p w14:paraId="567E6AF3">
      <w:pPr>
        <w:spacing w:line="440" w:lineRule="exact"/>
        <w:ind w:firstLine="525" w:firstLineChars="250"/>
        <w:rPr>
          <w:rFonts w:hint="eastAsia"/>
          <w:color w:val="000000"/>
          <w:sz w:val="21"/>
          <w:szCs w:val="21"/>
        </w:rPr>
      </w:pPr>
      <w:r>
        <w:rPr>
          <w:rFonts w:hint="eastAsia"/>
          <w:color w:val="000000"/>
          <w:sz w:val="21"/>
          <w:szCs w:val="21"/>
        </w:rPr>
        <w:t>6.8</w:t>
      </w:r>
      <w:r>
        <w:rPr>
          <w:color w:val="000000"/>
          <w:sz w:val="21"/>
          <w:szCs w:val="21"/>
        </w:rPr>
        <w:t xml:space="preserve">  </w:t>
      </w:r>
      <w:r>
        <w:rPr>
          <w:rFonts w:hint="eastAsia"/>
          <w:color w:val="000000"/>
          <w:sz w:val="21"/>
          <w:szCs w:val="21"/>
        </w:rPr>
        <w:t>供货方在图纸的适当位置表示出供货分界线</w:t>
      </w:r>
    </w:p>
    <w:p w14:paraId="3F4B6133">
      <w:pPr>
        <w:spacing w:line="440" w:lineRule="exact"/>
        <w:ind w:firstLine="525" w:firstLineChars="250"/>
        <w:rPr>
          <w:rFonts w:hint="eastAsia"/>
          <w:color w:val="000000"/>
          <w:sz w:val="21"/>
          <w:szCs w:val="21"/>
        </w:rPr>
      </w:pPr>
      <w:r>
        <w:rPr>
          <w:rFonts w:hint="eastAsia"/>
          <w:color w:val="000000"/>
          <w:sz w:val="21"/>
          <w:szCs w:val="21"/>
        </w:rPr>
        <w:t>6.9  供方向设计院提供满足施工图设计要求的设备总图等图纸，使用维护说明书、运行说明书以及设备基础资料等的全部文件。提供的文件应满足设计院施工图设计综合进度的时限内提供给设计院，提供文件套数为2套。</w:t>
      </w:r>
    </w:p>
    <w:p w14:paraId="313739C3">
      <w:pPr>
        <w:spacing w:line="440" w:lineRule="exact"/>
        <w:ind w:firstLine="525" w:firstLineChars="250"/>
        <w:rPr>
          <w:rFonts w:hint="eastAsia"/>
          <w:color w:val="000000"/>
          <w:sz w:val="21"/>
          <w:szCs w:val="21"/>
        </w:rPr>
      </w:pPr>
      <w:r>
        <w:rPr>
          <w:rFonts w:hint="eastAsia"/>
          <w:color w:val="000000"/>
          <w:sz w:val="21"/>
          <w:szCs w:val="21"/>
        </w:rPr>
        <w:t>6.10  供方还应提供给需方能证明设备制造生产质量的全部测试、试验报告，提供份数由需方决定。</w:t>
      </w:r>
    </w:p>
    <w:p w14:paraId="5B0740A1">
      <w:pPr>
        <w:spacing w:line="440" w:lineRule="exact"/>
        <w:ind w:firstLine="525" w:firstLineChars="250"/>
        <w:rPr>
          <w:rFonts w:hint="eastAsia"/>
          <w:color w:val="000000"/>
          <w:sz w:val="21"/>
          <w:szCs w:val="21"/>
          <w:u w:val="single"/>
        </w:rPr>
      </w:pPr>
      <w:r>
        <w:rPr>
          <w:rFonts w:hint="eastAsia"/>
          <w:color w:val="000000"/>
          <w:sz w:val="21"/>
          <w:szCs w:val="21"/>
        </w:rPr>
        <w:t>6.11  除上述由供方提供的资料外，设备随机装箱资料应齐全，随机资料份数6份。</w:t>
      </w:r>
    </w:p>
    <w:p w14:paraId="066F53A1">
      <w:pPr>
        <w:spacing w:line="440" w:lineRule="exact"/>
        <w:ind w:firstLine="525" w:firstLineChars="250"/>
        <w:rPr>
          <w:color w:val="000000"/>
          <w:sz w:val="21"/>
          <w:szCs w:val="21"/>
        </w:rPr>
      </w:pPr>
      <w:r>
        <w:rPr>
          <w:rFonts w:hint="eastAsia"/>
          <w:color w:val="000000"/>
          <w:sz w:val="21"/>
          <w:szCs w:val="21"/>
        </w:rPr>
        <w:t>6.2</w:t>
      </w:r>
      <w:r>
        <w:rPr>
          <w:color w:val="000000"/>
          <w:sz w:val="21"/>
          <w:szCs w:val="21"/>
        </w:rPr>
        <w:tab/>
      </w:r>
      <w:r>
        <w:rPr>
          <w:rFonts w:hint="eastAsia"/>
          <w:color w:val="000000"/>
          <w:sz w:val="21"/>
          <w:szCs w:val="21"/>
        </w:rPr>
        <w:t>资料交接进度</w:t>
      </w:r>
    </w:p>
    <w:p w14:paraId="5C2B43AC">
      <w:pPr>
        <w:spacing w:line="440" w:lineRule="exact"/>
        <w:ind w:firstLine="525" w:firstLineChars="250"/>
        <w:rPr>
          <w:color w:val="000000"/>
          <w:sz w:val="21"/>
          <w:szCs w:val="21"/>
        </w:rPr>
      </w:pPr>
      <w:r>
        <w:rPr>
          <w:rFonts w:hint="eastAsia"/>
          <w:color w:val="000000"/>
          <w:sz w:val="21"/>
          <w:szCs w:val="21"/>
        </w:rPr>
        <w:t>6.2</w:t>
      </w:r>
      <w:r>
        <w:rPr>
          <w:color w:val="000000"/>
          <w:sz w:val="21"/>
          <w:szCs w:val="21"/>
        </w:rPr>
        <w:t xml:space="preserve">.1  </w:t>
      </w:r>
      <w:r>
        <w:rPr>
          <w:rFonts w:hint="eastAsia"/>
          <w:color w:val="000000"/>
          <w:sz w:val="21"/>
          <w:szCs w:val="21"/>
        </w:rPr>
        <w:t>投标时供货方必须提供的文件</w:t>
      </w:r>
    </w:p>
    <w:p w14:paraId="3A838B32">
      <w:pPr>
        <w:spacing w:line="440" w:lineRule="exact"/>
        <w:ind w:firstLine="525" w:firstLineChars="250"/>
        <w:rPr>
          <w:color w:val="000000"/>
          <w:sz w:val="21"/>
          <w:szCs w:val="21"/>
        </w:rPr>
      </w:pPr>
      <w:r>
        <w:rPr>
          <w:color w:val="000000"/>
          <w:sz w:val="21"/>
          <w:szCs w:val="21"/>
        </w:rPr>
        <w:tab/>
      </w:r>
      <w:r>
        <w:rPr>
          <w:rFonts w:hint="eastAsia"/>
          <w:color w:val="000000"/>
          <w:sz w:val="21"/>
          <w:szCs w:val="21"/>
        </w:rPr>
        <w:t>所有设备安装接口图、设备结构总图、设备基础、荷重资料、产品样本。</w:t>
      </w:r>
    </w:p>
    <w:p w14:paraId="032E02BB">
      <w:pPr>
        <w:spacing w:line="440" w:lineRule="exact"/>
        <w:ind w:firstLine="525" w:firstLineChars="250"/>
        <w:rPr>
          <w:color w:val="000000"/>
          <w:sz w:val="21"/>
          <w:szCs w:val="21"/>
        </w:rPr>
      </w:pPr>
      <w:r>
        <w:rPr>
          <w:rFonts w:hint="eastAsia"/>
          <w:color w:val="000000"/>
          <w:sz w:val="21"/>
          <w:szCs w:val="21"/>
        </w:rPr>
        <w:t>6.2</w:t>
      </w:r>
      <w:r>
        <w:rPr>
          <w:color w:val="000000"/>
          <w:sz w:val="21"/>
          <w:szCs w:val="21"/>
        </w:rPr>
        <w:t xml:space="preserve">.2  </w:t>
      </w:r>
      <w:r>
        <w:rPr>
          <w:rFonts w:hint="eastAsia"/>
          <w:color w:val="000000"/>
          <w:sz w:val="21"/>
          <w:szCs w:val="21"/>
        </w:rPr>
        <w:t>合同（含技术协议）签订后提供的文件</w:t>
      </w:r>
    </w:p>
    <w:p w14:paraId="3C8A4844">
      <w:pPr>
        <w:spacing w:line="440" w:lineRule="exact"/>
        <w:ind w:firstLine="525" w:firstLineChars="250"/>
        <w:rPr>
          <w:color w:val="000000"/>
          <w:sz w:val="21"/>
          <w:szCs w:val="21"/>
        </w:rPr>
      </w:pPr>
      <w:r>
        <w:rPr>
          <w:color w:val="000000"/>
          <w:sz w:val="21"/>
          <w:szCs w:val="21"/>
        </w:rPr>
        <w:t xml:space="preserve"> </w:t>
      </w:r>
      <w:r>
        <w:rPr>
          <w:color w:val="000000"/>
          <w:sz w:val="21"/>
          <w:szCs w:val="21"/>
        </w:rPr>
        <w:tab/>
      </w:r>
      <w:r>
        <w:rPr>
          <w:rFonts w:hint="eastAsia"/>
          <w:color w:val="000000"/>
          <w:sz w:val="21"/>
          <w:szCs w:val="21"/>
        </w:rPr>
        <w:t>供货方在本技术协议签订后十天内应提供满足设计院施工图设计要求的第一版文件</w:t>
      </w:r>
    </w:p>
    <w:p w14:paraId="5F682B78">
      <w:pPr>
        <w:spacing w:line="440" w:lineRule="exact"/>
        <w:ind w:firstLine="525" w:firstLineChars="250"/>
        <w:rPr>
          <w:color w:val="000000"/>
          <w:sz w:val="21"/>
          <w:szCs w:val="21"/>
        </w:rPr>
      </w:pPr>
      <w:r>
        <w:rPr>
          <w:rFonts w:hint="eastAsia"/>
          <w:color w:val="000000"/>
          <w:sz w:val="21"/>
          <w:szCs w:val="21"/>
        </w:rPr>
        <w:t>6.2</w:t>
      </w:r>
      <w:r>
        <w:rPr>
          <w:color w:val="000000"/>
          <w:sz w:val="21"/>
          <w:szCs w:val="21"/>
        </w:rPr>
        <w:t xml:space="preserve">.3  </w:t>
      </w:r>
      <w:r>
        <w:rPr>
          <w:rFonts w:hint="eastAsia"/>
          <w:color w:val="000000"/>
          <w:sz w:val="21"/>
          <w:szCs w:val="21"/>
        </w:rPr>
        <w:t>供货方在收到设计院反馈意见后两周内应提供以上文件的最终设计文件</w:t>
      </w:r>
    </w:p>
    <w:p w14:paraId="63EBB331">
      <w:pPr>
        <w:pStyle w:val="64"/>
        <w:spacing w:line="440" w:lineRule="exact"/>
        <w:outlineLvl w:val="1"/>
        <w:rPr>
          <w:rFonts w:hint="eastAsia"/>
          <w:b/>
          <w:color w:val="000000"/>
          <w:sz w:val="21"/>
          <w:szCs w:val="21"/>
        </w:rPr>
      </w:pPr>
      <w:bookmarkStart w:id="39" w:name="_Toc271049312"/>
      <w:bookmarkStart w:id="40" w:name="_Toc270453095"/>
      <w:r>
        <w:rPr>
          <w:rFonts w:hint="eastAsia"/>
          <w:b/>
          <w:color w:val="000000"/>
          <w:sz w:val="21"/>
          <w:szCs w:val="21"/>
        </w:rPr>
        <w:t>7 监造、检验和性能验收试验</w:t>
      </w:r>
      <w:bookmarkEnd w:id="39"/>
      <w:bookmarkEnd w:id="40"/>
    </w:p>
    <w:p w14:paraId="2A24225C">
      <w:pPr>
        <w:spacing w:line="440" w:lineRule="exact"/>
        <w:ind w:firstLine="525" w:firstLineChars="250"/>
        <w:rPr>
          <w:rFonts w:hint="eastAsia"/>
          <w:color w:val="000000"/>
          <w:sz w:val="21"/>
          <w:szCs w:val="21"/>
        </w:rPr>
      </w:pPr>
      <w:r>
        <w:rPr>
          <w:rFonts w:hint="eastAsia"/>
          <w:color w:val="000000"/>
          <w:sz w:val="21"/>
          <w:szCs w:val="21"/>
        </w:rPr>
        <w:t>7.1  质量保证</w:t>
      </w:r>
    </w:p>
    <w:p w14:paraId="35360639">
      <w:pPr>
        <w:spacing w:line="440" w:lineRule="exact"/>
        <w:ind w:firstLine="525" w:firstLineChars="250"/>
        <w:rPr>
          <w:rFonts w:hint="eastAsia"/>
          <w:color w:val="000000"/>
          <w:sz w:val="21"/>
          <w:szCs w:val="21"/>
        </w:rPr>
      </w:pPr>
      <w:r>
        <w:rPr>
          <w:rFonts w:hint="eastAsia"/>
          <w:color w:val="000000"/>
          <w:sz w:val="21"/>
          <w:szCs w:val="21"/>
        </w:rPr>
        <w:t>7.1</w:t>
      </w:r>
      <w:r>
        <w:rPr>
          <w:color w:val="000000"/>
          <w:sz w:val="21"/>
          <w:szCs w:val="21"/>
        </w:rPr>
        <w:t>.</w:t>
      </w:r>
      <w:r>
        <w:rPr>
          <w:rFonts w:hint="eastAsia"/>
          <w:color w:val="000000"/>
          <w:sz w:val="21"/>
          <w:szCs w:val="21"/>
        </w:rPr>
        <w:t>1  供方应有可操作的质量保证程序及相应的文件，并在生产本规范书中的产品时能严格执行质量程序文件。</w:t>
      </w:r>
    </w:p>
    <w:p w14:paraId="5933AB19">
      <w:pPr>
        <w:spacing w:line="440" w:lineRule="exact"/>
        <w:ind w:firstLine="525" w:firstLineChars="250"/>
        <w:rPr>
          <w:rFonts w:hint="eastAsia"/>
          <w:color w:val="000000"/>
          <w:sz w:val="21"/>
          <w:szCs w:val="21"/>
        </w:rPr>
      </w:pPr>
      <w:r>
        <w:rPr>
          <w:rFonts w:hint="eastAsia"/>
          <w:color w:val="000000"/>
          <w:sz w:val="21"/>
          <w:szCs w:val="21"/>
        </w:rPr>
        <w:t>7.</w:t>
      </w:r>
      <w:r>
        <w:rPr>
          <w:color w:val="000000"/>
          <w:sz w:val="21"/>
          <w:szCs w:val="21"/>
        </w:rPr>
        <w:t xml:space="preserve">1.2  </w:t>
      </w:r>
      <w:r>
        <w:rPr>
          <w:rFonts w:hint="eastAsia"/>
          <w:color w:val="000000"/>
          <w:sz w:val="21"/>
          <w:szCs w:val="21"/>
        </w:rPr>
        <w:t>供方应在制造过程中，对设备的材料、联接、组装、工艺、整体及功能进行试验和检验，以保证完全符合本规范书和确认的设计图纸的要求。</w:t>
      </w:r>
    </w:p>
    <w:p w14:paraId="4C93069F">
      <w:pPr>
        <w:spacing w:line="440" w:lineRule="exact"/>
        <w:ind w:firstLine="525" w:firstLineChars="250"/>
        <w:rPr>
          <w:rFonts w:hint="eastAsia"/>
          <w:color w:val="000000"/>
          <w:sz w:val="21"/>
          <w:szCs w:val="21"/>
        </w:rPr>
      </w:pPr>
      <w:r>
        <w:rPr>
          <w:rFonts w:hint="eastAsia"/>
          <w:color w:val="000000"/>
          <w:sz w:val="21"/>
          <w:szCs w:val="21"/>
        </w:rPr>
        <w:t>7.1</w:t>
      </w:r>
      <w:r>
        <w:rPr>
          <w:color w:val="000000"/>
          <w:sz w:val="21"/>
          <w:szCs w:val="21"/>
        </w:rPr>
        <w:t>.</w:t>
      </w:r>
      <w:r>
        <w:rPr>
          <w:rFonts w:hint="eastAsia"/>
          <w:color w:val="000000"/>
          <w:sz w:val="21"/>
          <w:szCs w:val="21"/>
        </w:rPr>
        <w:t>3  需方有权在合同执行期间内的任何时候，对设备的质量管理情况，包括设备试验的记录进行检查。如果需方认为有必要，可以在产品生产过程中住厂监造，供方应在工作和生活上提供方便。</w:t>
      </w:r>
    </w:p>
    <w:p w14:paraId="784BA35F">
      <w:pPr>
        <w:spacing w:line="440" w:lineRule="exact"/>
        <w:ind w:firstLine="525" w:firstLineChars="250"/>
        <w:rPr>
          <w:rFonts w:hint="eastAsia"/>
          <w:color w:val="000000"/>
          <w:sz w:val="21"/>
          <w:szCs w:val="21"/>
        </w:rPr>
      </w:pPr>
      <w:r>
        <w:rPr>
          <w:rFonts w:hint="eastAsia"/>
          <w:color w:val="000000"/>
          <w:sz w:val="21"/>
          <w:szCs w:val="21"/>
        </w:rPr>
        <w:t>7.</w:t>
      </w:r>
      <w:r>
        <w:rPr>
          <w:color w:val="000000"/>
          <w:sz w:val="21"/>
          <w:szCs w:val="21"/>
        </w:rPr>
        <w:t>1.4</w:t>
      </w:r>
      <w:r>
        <w:rPr>
          <w:rFonts w:hint="eastAsia"/>
          <w:color w:val="000000"/>
          <w:sz w:val="21"/>
          <w:szCs w:val="21"/>
        </w:rPr>
        <w:t xml:space="preserve">  为了确保产品质量，供货范围内的所有配套产品的生产厂家和分承包商的资格原则上应经需方和设计院确认后才能采用。</w:t>
      </w:r>
    </w:p>
    <w:p w14:paraId="3BD03322">
      <w:pPr>
        <w:spacing w:line="440" w:lineRule="exact"/>
        <w:ind w:firstLine="525" w:firstLineChars="250"/>
        <w:rPr>
          <w:rFonts w:hint="eastAsia"/>
          <w:color w:val="000000"/>
          <w:sz w:val="21"/>
          <w:szCs w:val="21"/>
        </w:rPr>
      </w:pPr>
      <w:r>
        <w:rPr>
          <w:rFonts w:hint="eastAsia"/>
          <w:color w:val="000000"/>
          <w:sz w:val="21"/>
          <w:szCs w:val="21"/>
        </w:rPr>
        <w:t>7.1</w:t>
      </w:r>
      <w:r>
        <w:rPr>
          <w:color w:val="000000"/>
          <w:sz w:val="21"/>
          <w:szCs w:val="21"/>
        </w:rPr>
        <w:t>.</w:t>
      </w:r>
      <w:r>
        <w:rPr>
          <w:rFonts w:hint="eastAsia"/>
          <w:color w:val="000000"/>
          <w:sz w:val="21"/>
          <w:szCs w:val="21"/>
        </w:rPr>
        <w:t>5  在产品监造、检验和验收过程中，如发现任何不符合本规范书要求的产品或配件，供方都必须及时返修或更换，直至符合规定要求。</w:t>
      </w:r>
    </w:p>
    <w:p w14:paraId="760C8618">
      <w:pPr>
        <w:spacing w:line="440" w:lineRule="exact"/>
        <w:ind w:firstLine="525" w:firstLineChars="250"/>
        <w:rPr>
          <w:rFonts w:hint="eastAsia"/>
          <w:color w:val="000000"/>
          <w:sz w:val="21"/>
          <w:szCs w:val="21"/>
        </w:rPr>
      </w:pPr>
      <w:r>
        <w:rPr>
          <w:rFonts w:hint="eastAsia"/>
          <w:color w:val="000000"/>
          <w:sz w:val="21"/>
          <w:szCs w:val="21"/>
        </w:rPr>
        <w:t>如发现任何与供方的质量保证文件不符的操作而有可能影响产品质量时，供方必须及时修正按质量保证程序进行生产。</w:t>
      </w:r>
    </w:p>
    <w:p w14:paraId="15F4169B">
      <w:pPr>
        <w:spacing w:line="440" w:lineRule="exact"/>
        <w:ind w:firstLine="525" w:firstLineChars="250"/>
        <w:rPr>
          <w:rFonts w:hint="eastAsia"/>
          <w:color w:val="000000"/>
          <w:sz w:val="21"/>
          <w:szCs w:val="21"/>
        </w:rPr>
      </w:pPr>
      <w:r>
        <w:rPr>
          <w:rFonts w:hint="eastAsia"/>
          <w:color w:val="000000"/>
          <w:sz w:val="21"/>
          <w:szCs w:val="21"/>
        </w:rPr>
        <w:t>7.1.6 设备本体应保证使用寿命30年。</w:t>
      </w:r>
    </w:p>
    <w:p w14:paraId="16B13E5F">
      <w:pPr>
        <w:spacing w:line="440" w:lineRule="exact"/>
        <w:ind w:firstLine="525" w:firstLineChars="250"/>
        <w:rPr>
          <w:rFonts w:hint="eastAsia"/>
          <w:color w:val="000000"/>
          <w:sz w:val="21"/>
          <w:szCs w:val="21"/>
        </w:rPr>
      </w:pPr>
      <w:r>
        <w:rPr>
          <w:rFonts w:hint="eastAsia"/>
          <w:color w:val="000000"/>
          <w:sz w:val="21"/>
          <w:szCs w:val="21"/>
        </w:rPr>
        <w:t>7.2  检验和验收</w:t>
      </w:r>
    </w:p>
    <w:p w14:paraId="526A1B58">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1  容器的检验和验收将按照GB150《钢制压力容器》最新版本中第10部分“制造、检验与验收”的规定进行。</w:t>
      </w:r>
    </w:p>
    <w:p w14:paraId="51A7E014">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2  橡胶衬里的检验和验收按照HGJ32《橡胶衬里化工设备》最新版本中第7部分“检验和验收”的规定进行。</w:t>
      </w:r>
    </w:p>
    <w:p w14:paraId="771CB68B">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3  设备的无损探检测应符合JB4730《压力容器无损检测》最新版本的规定要求。</w:t>
      </w:r>
    </w:p>
    <w:p w14:paraId="22271DF0">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4  在产品生产过程中，从原材料进厂经中间产品到最终产品的各个阶段均应按照国家有关标准和企业标准进行检验和验收。</w:t>
      </w:r>
    </w:p>
    <w:p w14:paraId="0F093507">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5  产品生产过程中的主要阶段的检验和验收供方应邀请需方派员参加，需方可视具体情况决定派员参加或不参加。</w:t>
      </w:r>
    </w:p>
    <w:p w14:paraId="6B7D03B8">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6  最终产品供方应通知需方派员验收，验收人员可以依据本技术规范书的规定对任何与本产品生产和检验有关的档案进行检查，如发现质量问题，供方应进返修直至产品达到规定的质量要求。</w:t>
      </w:r>
    </w:p>
    <w:p w14:paraId="6087E31C">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7  制造厂内需方的验收不做为最终产品合格的保证，产品最终应通过现场调试和运行考验而通过验收。</w:t>
      </w:r>
    </w:p>
    <w:p w14:paraId="4957262A">
      <w:pPr>
        <w:spacing w:line="440" w:lineRule="exact"/>
        <w:ind w:firstLine="525" w:firstLineChars="250"/>
        <w:rPr>
          <w:rFonts w:hint="eastAsia"/>
          <w:color w:val="000000"/>
          <w:sz w:val="21"/>
          <w:szCs w:val="21"/>
        </w:rPr>
      </w:pPr>
      <w:r>
        <w:rPr>
          <w:rFonts w:hint="eastAsia"/>
          <w:color w:val="000000"/>
          <w:sz w:val="21"/>
          <w:szCs w:val="21"/>
        </w:rPr>
        <w:t>7.2</w:t>
      </w:r>
      <w:r>
        <w:rPr>
          <w:color w:val="000000"/>
          <w:sz w:val="21"/>
          <w:szCs w:val="21"/>
        </w:rPr>
        <w:t>.</w:t>
      </w:r>
      <w:r>
        <w:rPr>
          <w:rFonts w:hint="eastAsia"/>
          <w:color w:val="000000"/>
          <w:sz w:val="21"/>
          <w:szCs w:val="21"/>
        </w:rPr>
        <w:t>8  设备在验收出厂前质量证明文件应齐全，至少包括以下部分：产品合格证、容器说明书、质量证明书。容器说明书至少应包括：容器特性、容器竣工总图、容器主要零部件表、容器的热处理状态与禁焊等特殊说明。质量证明书至少应包括：主要零部件材料的化学成分和力学性能、无损探伤结果、焊接质量的检查结果（包括超过两次的返修记录）、压力试验与致密性试验结果、衬胶层的质量检验结果、与标准和图样不符的项目。</w:t>
      </w:r>
    </w:p>
    <w:p w14:paraId="2434E63B">
      <w:pPr>
        <w:spacing w:line="440" w:lineRule="exact"/>
        <w:ind w:firstLine="525" w:firstLineChars="250"/>
        <w:rPr>
          <w:rFonts w:hint="eastAsia"/>
          <w:color w:val="000000"/>
          <w:sz w:val="21"/>
          <w:szCs w:val="21"/>
        </w:rPr>
      </w:pPr>
      <w:r>
        <w:rPr>
          <w:rFonts w:hint="eastAsia"/>
          <w:color w:val="000000"/>
          <w:sz w:val="21"/>
          <w:szCs w:val="21"/>
        </w:rPr>
        <w:t>7.3  开箱检验</w:t>
      </w:r>
    </w:p>
    <w:p w14:paraId="7E092C35">
      <w:pPr>
        <w:spacing w:line="440" w:lineRule="exact"/>
        <w:ind w:firstLine="525" w:firstLineChars="250"/>
        <w:rPr>
          <w:rFonts w:hint="eastAsia"/>
          <w:color w:val="000000"/>
          <w:sz w:val="21"/>
          <w:szCs w:val="21"/>
        </w:rPr>
      </w:pPr>
      <w:r>
        <w:rPr>
          <w:rFonts w:hint="eastAsia"/>
          <w:color w:val="000000"/>
          <w:sz w:val="21"/>
          <w:szCs w:val="21"/>
        </w:rPr>
        <w:t>7.3</w:t>
      </w:r>
      <w:r>
        <w:rPr>
          <w:color w:val="000000"/>
          <w:sz w:val="21"/>
          <w:szCs w:val="21"/>
        </w:rPr>
        <w:t>.</w:t>
      </w:r>
      <w:r>
        <w:rPr>
          <w:rFonts w:hint="eastAsia"/>
          <w:color w:val="000000"/>
          <w:sz w:val="21"/>
          <w:szCs w:val="21"/>
        </w:rPr>
        <w:t>1  设备运抵现场后，需方应通知供方在一定时间内到达现场进行开箱检验。</w:t>
      </w:r>
    </w:p>
    <w:p w14:paraId="6C0C7F3B">
      <w:pPr>
        <w:spacing w:line="440" w:lineRule="exact"/>
        <w:ind w:firstLine="525" w:firstLineChars="250"/>
        <w:rPr>
          <w:rFonts w:hint="eastAsia"/>
          <w:color w:val="000000"/>
          <w:sz w:val="21"/>
          <w:szCs w:val="21"/>
        </w:rPr>
      </w:pPr>
      <w:r>
        <w:rPr>
          <w:rFonts w:hint="eastAsia"/>
          <w:color w:val="000000"/>
          <w:sz w:val="21"/>
          <w:szCs w:val="21"/>
        </w:rPr>
        <w:t>7.3</w:t>
      </w:r>
      <w:r>
        <w:rPr>
          <w:color w:val="000000"/>
          <w:sz w:val="21"/>
          <w:szCs w:val="21"/>
        </w:rPr>
        <w:t>.</w:t>
      </w:r>
      <w:r>
        <w:rPr>
          <w:rFonts w:hint="eastAsia"/>
          <w:color w:val="000000"/>
          <w:sz w:val="21"/>
          <w:szCs w:val="21"/>
        </w:rPr>
        <w:t>2   如果供方在规定的时间内未能到达现场，又未同需方协商到达工地时间，则需方可根据工程需要自行开箱检验，如发现设备、部件与装箱单不符等情况，供方应承担责任。</w:t>
      </w:r>
    </w:p>
    <w:p w14:paraId="601784EC">
      <w:pPr>
        <w:spacing w:line="440" w:lineRule="exact"/>
        <w:ind w:firstLine="525" w:firstLineChars="250"/>
        <w:rPr>
          <w:rFonts w:hint="eastAsia"/>
          <w:color w:val="000000"/>
          <w:sz w:val="21"/>
          <w:szCs w:val="21"/>
        </w:rPr>
      </w:pPr>
      <w:r>
        <w:rPr>
          <w:rFonts w:hint="eastAsia"/>
          <w:color w:val="000000"/>
          <w:sz w:val="21"/>
          <w:szCs w:val="21"/>
        </w:rPr>
        <w:t>7.3</w:t>
      </w:r>
      <w:r>
        <w:rPr>
          <w:color w:val="000000"/>
          <w:sz w:val="21"/>
          <w:szCs w:val="21"/>
        </w:rPr>
        <w:t>.</w:t>
      </w:r>
      <w:r>
        <w:rPr>
          <w:rFonts w:hint="eastAsia"/>
          <w:color w:val="000000"/>
          <w:sz w:val="21"/>
          <w:szCs w:val="21"/>
        </w:rPr>
        <w:t>3  如果需方不通知供方，擅自开箱检验，则发生的一切后果由需方自已承担。</w:t>
      </w:r>
    </w:p>
    <w:p w14:paraId="7A4351E2">
      <w:pPr>
        <w:spacing w:line="440" w:lineRule="exact"/>
        <w:ind w:firstLine="525" w:firstLineChars="250"/>
        <w:rPr>
          <w:rFonts w:hint="eastAsia"/>
          <w:color w:val="000000"/>
          <w:sz w:val="21"/>
          <w:szCs w:val="21"/>
        </w:rPr>
      </w:pPr>
      <w:r>
        <w:rPr>
          <w:rFonts w:hint="eastAsia"/>
          <w:color w:val="000000"/>
          <w:sz w:val="21"/>
          <w:szCs w:val="21"/>
        </w:rPr>
        <w:t>7.3</w:t>
      </w:r>
      <w:r>
        <w:rPr>
          <w:color w:val="000000"/>
          <w:sz w:val="21"/>
          <w:szCs w:val="21"/>
        </w:rPr>
        <w:t>.</w:t>
      </w:r>
      <w:r>
        <w:rPr>
          <w:rFonts w:hint="eastAsia"/>
          <w:color w:val="000000"/>
          <w:sz w:val="21"/>
          <w:szCs w:val="21"/>
        </w:rPr>
        <w:t>4  开箱检验应有安装单位人员在场，开箱检验后设备应妥善保管，避免零部件遗失和设备的损坏。</w:t>
      </w:r>
    </w:p>
    <w:p w14:paraId="4BB29AC0">
      <w:pPr>
        <w:spacing w:line="440" w:lineRule="exact"/>
        <w:ind w:firstLine="525" w:firstLineChars="250"/>
        <w:rPr>
          <w:rFonts w:hint="eastAsia"/>
          <w:color w:val="000000"/>
          <w:sz w:val="21"/>
          <w:szCs w:val="21"/>
        </w:rPr>
      </w:pPr>
      <w:r>
        <w:rPr>
          <w:rFonts w:hint="eastAsia"/>
          <w:color w:val="000000"/>
          <w:sz w:val="21"/>
          <w:szCs w:val="21"/>
        </w:rPr>
        <w:t>7.4  油漆、包装、运输和储存</w:t>
      </w:r>
    </w:p>
    <w:p w14:paraId="6D8DF3FD">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  油漆、包装、运输</w:t>
      </w:r>
    </w:p>
    <w:p w14:paraId="52E17EAD">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  设备油漆、包装和运输必须符合，JB2536《压力容器油漆、包装、运输》最新版本中的规定要求。酸碱贮存槽、计量箱外应涂刷2道FVC防腐漆。</w:t>
      </w:r>
    </w:p>
    <w:p w14:paraId="7B0774BD">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.1.2</w:t>
      </w:r>
      <w:r>
        <w:rPr>
          <w:rFonts w:hint="eastAsia"/>
          <w:color w:val="000000"/>
          <w:sz w:val="21"/>
          <w:szCs w:val="21"/>
        </w:rPr>
        <w:t xml:space="preserve">  设备的包装和运输还应符合HGJ32《橡胶衬里化工设备》最新版本中第8部分“包装、运输、储存和安装”的规定要求。</w:t>
      </w:r>
    </w:p>
    <w:p w14:paraId="3C5D2ECB">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3  应符合部标《水处理设备油漆、包装技术条件》的规定。</w:t>
      </w:r>
    </w:p>
    <w:p w14:paraId="3812B42F">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4  每个设备箱至少应包括二份详细的装箱单和一份质量检验证明书容器说明书和产品合格证。</w:t>
      </w:r>
    </w:p>
    <w:p w14:paraId="17CA410E">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5  设备的外包装上应清楚地标明：出厂编号、总共箱数及箱号、收货站或港、到货站或港、发货单位、收货单位、出厂或装箱日期以及设备运输、贮存保管要求的国标通用标记。</w:t>
      </w:r>
    </w:p>
    <w:p w14:paraId="4B4F16D7">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6  较大型及较重的设备都要装有便于移动的滑动部件及吊钩，吊钩应装与起吊点上，并且在外包装上应标明设备重量及重心、起吊点（未拆去外包装）</w:t>
      </w:r>
    </w:p>
    <w:p w14:paraId="2BCE619D">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7  设备的接管、法兰表面应加以保护，以免损伤衬胶部位。</w:t>
      </w:r>
    </w:p>
    <w:p w14:paraId="1ACC0A16">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8  设备及外包装有禁焊标志。</w:t>
      </w:r>
    </w:p>
    <w:p w14:paraId="3CD28BB9">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9  在低于+5℃温度下运输时，要采取必要措施，以防胶板产生裂纹。</w:t>
      </w:r>
    </w:p>
    <w:p w14:paraId="078F13ED">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2  储存</w:t>
      </w:r>
    </w:p>
    <w:p w14:paraId="26BF76E8">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1  设备储存应符合HGJ32《橡胶衬里化工设备》最新版本中8</w:t>
      </w:r>
      <w:r>
        <w:rPr>
          <w:color w:val="000000"/>
          <w:sz w:val="21"/>
          <w:szCs w:val="21"/>
        </w:rPr>
        <w:t>.</w:t>
      </w:r>
      <w:r>
        <w:rPr>
          <w:rFonts w:hint="eastAsia"/>
          <w:color w:val="000000"/>
          <w:sz w:val="21"/>
          <w:szCs w:val="21"/>
        </w:rPr>
        <w:t>2“储存”的规定要求。</w:t>
      </w:r>
    </w:p>
    <w:p w14:paraId="2D594DCC">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2  衬胶制品在+5～30℃室内放置，以防冻裂，储存时应避免阳光直射，并距发热源1</w:t>
      </w:r>
      <w:r>
        <w:rPr>
          <w:color w:val="000000"/>
          <w:sz w:val="21"/>
          <w:szCs w:val="21"/>
        </w:rPr>
        <w:t>m</w:t>
      </w:r>
      <w:r>
        <w:rPr>
          <w:rFonts w:hint="eastAsia"/>
          <w:color w:val="000000"/>
          <w:sz w:val="21"/>
          <w:szCs w:val="21"/>
        </w:rPr>
        <w:t>以外，以免加速橡胶老化。</w:t>
      </w:r>
    </w:p>
    <w:p w14:paraId="221461F7">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3  设备的法兰未衬面应除锈，并涂刷与外壳相同的防锈油漆。在储存期间用盲板、螺栓把法兰衬胶面压紧，以防橡胶板脱层。</w:t>
      </w:r>
    </w:p>
    <w:p w14:paraId="5227EF84">
      <w:pPr>
        <w:spacing w:line="440" w:lineRule="exact"/>
        <w:ind w:firstLine="525" w:firstLineChars="250"/>
        <w:rPr>
          <w:rFonts w:hint="eastAsia"/>
          <w:color w:val="000000"/>
          <w:sz w:val="21"/>
          <w:szCs w:val="21"/>
        </w:rPr>
      </w:pPr>
      <w:r>
        <w:rPr>
          <w:rFonts w:hint="eastAsia"/>
          <w:color w:val="000000"/>
          <w:sz w:val="21"/>
          <w:szCs w:val="21"/>
        </w:rPr>
        <w:t>7.4</w:t>
      </w:r>
      <w:r>
        <w:rPr>
          <w:color w:val="000000"/>
          <w:sz w:val="21"/>
          <w:szCs w:val="21"/>
        </w:rPr>
        <w:t>.</w:t>
      </w:r>
      <w:r>
        <w:rPr>
          <w:rFonts w:hint="eastAsia"/>
          <w:color w:val="000000"/>
          <w:sz w:val="21"/>
          <w:szCs w:val="21"/>
        </w:rPr>
        <w:t>2</w:t>
      </w:r>
      <w:r>
        <w:rPr>
          <w:color w:val="000000"/>
          <w:sz w:val="21"/>
          <w:szCs w:val="21"/>
        </w:rPr>
        <w:t>.</w:t>
      </w:r>
      <w:r>
        <w:rPr>
          <w:rFonts w:hint="eastAsia"/>
          <w:color w:val="000000"/>
          <w:sz w:val="21"/>
          <w:szCs w:val="21"/>
        </w:rPr>
        <w:t>4  衬胶设备尽量缩短保管期，以避免在保管期间带来的麻烦，并能延长衬胶制品的使用寿命。</w:t>
      </w:r>
    </w:p>
    <w:p w14:paraId="4AEBEFBD">
      <w:pPr>
        <w:pStyle w:val="64"/>
        <w:spacing w:line="440" w:lineRule="exact"/>
        <w:outlineLvl w:val="1"/>
        <w:rPr>
          <w:rFonts w:hint="eastAsia"/>
          <w:b/>
          <w:color w:val="000000"/>
          <w:sz w:val="21"/>
          <w:szCs w:val="21"/>
        </w:rPr>
      </w:pPr>
      <w:bookmarkStart w:id="41" w:name="_Toc270453096"/>
      <w:bookmarkStart w:id="42" w:name="_Toc271049313"/>
      <w:r>
        <w:rPr>
          <w:rFonts w:hint="eastAsia"/>
          <w:b/>
          <w:color w:val="000000"/>
          <w:sz w:val="21"/>
          <w:szCs w:val="21"/>
        </w:rPr>
        <w:t>8 技术服务和设计联络</w:t>
      </w:r>
      <w:bookmarkEnd w:id="41"/>
      <w:bookmarkEnd w:id="42"/>
    </w:p>
    <w:p w14:paraId="2D02968B">
      <w:pPr>
        <w:spacing w:line="440" w:lineRule="exact"/>
        <w:ind w:firstLine="525" w:firstLineChars="250"/>
        <w:rPr>
          <w:rFonts w:hint="eastAsia"/>
          <w:color w:val="000000"/>
          <w:sz w:val="21"/>
          <w:szCs w:val="21"/>
        </w:rPr>
      </w:pPr>
      <w:r>
        <w:rPr>
          <w:rFonts w:hint="eastAsia"/>
          <w:color w:val="000000"/>
          <w:sz w:val="21"/>
          <w:szCs w:val="21"/>
        </w:rPr>
        <w:t>8.1 工程技术服务</w:t>
      </w:r>
    </w:p>
    <w:p w14:paraId="4448C2BE">
      <w:pPr>
        <w:spacing w:line="440" w:lineRule="exact"/>
        <w:ind w:firstLine="525" w:firstLineChars="250"/>
        <w:rPr>
          <w:rFonts w:hint="eastAsia"/>
          <w:color w:val="000000"/>
          <w:sz w:val="21"/>
          <w:szCs w:val="21"/>
        </w:rPr>
      </w:pPr>
      <w:r>
        <w:rPr>
          <w:rFonts w:hint="eastAsia"/>
          <w:color w:val="000000"/>
          <w:sz w:val="21"/>
          <w:szCs w:val="21"/>
        </w:rPr>
        <w:t>8.1</w:t>
      </w:r>
      <w:r>
        <w:rPr>
          <w:color w:val="000000"/>
          <w:sz w:val="21"/>
          <w:szCs w:val="21"/>
        </w:rPr>
        <w:t>.</w:t>
      </w:r>
      <w:r>
        <w:rPr>
          <w:rFonts w:hint="eastAsia"/>
          <w:color w:val="000000"/>
          <w:sz w:val="21"/>
          <w:szCs w:val="21"/>
        </w:rPr>
        <w:t>1  供方负责设备到货后的现场安装</w:t>
      </w:r>
      <w:r>
        <w:rPr>
          <w:rFonts w:hint="eastAsia"/>
          <w:color w:val="000000"/>
          <w:sz w:val="21"/>
          <w:szCs w:val="21"/>
          <w:lang w:eastAsia="zh-CN"/>
        </w:rPr>
        <w:t>，设备调试运行正常</w:t>
      </w:r>
      <w:r>
        <w:rPr>
          <w:rFonts w:hint="eastAsia"/>
          <w:color w:val="000000"/>
          <w:sz w:val="21"/>
          <w:szCs w:val="21"/>
        </w:rPr>
        <w:t>，</w:t>
      </w:r>
      <w:r>
        <w:rPr>
          <w:rFonts w:hint="eastAsia"/>
          <w:color w:val="000000"/>
          <w:sz w:val="21"/>
          <w:szCs w:val="21"/>
          <w:lang w:eastAsia="zh-CN"/>
        </w:rPr>
        <w:t>软化水出水合格，</w:t>
      </w:r>
      <w:r>
        <w:rPr>
          <w:rFonts w:hint="eastAsia"/>
          <w:color w:val="000000"/>
          <w:sz w:val="21"/>
          <w:szCs w:val="21"/>
        </w:rPr>
        <w:t>需方应积极协助配合。</w:t>
      </w:r>
    </w:p>
    <w:p w14:paraId="5BEBA5FA">
      <w:pPr>
        <w:spacing w:line="440" w:lineRule="exact"/>
        <w:ind w:firstLine="525" w:firstLineChars="250"/>
        <w:rPr>
          <w:rFonts w:hint="eastAsia"/>
          <w:color w:val="000000"/>
          <w:sz w:val="21"/>
          <w:szCs w:val="21"/>
        </w:rPr>
      </w:pPr>
      <w:r>
        <w:rPr>
          <w:rFonts w:hint="eastAsia"/>
          <w:color w:val="000000"/>
          <w:sz w:val="21"/>
          <w:szCs w:val="21"/>
        </w:rPr>
        <w:t>8.1</w:t>
      </w:r>
      <w:r>
        <w:rPr>
          <w:color w:val="000000"/>
          <w:sz w:val="21"/>
          <w:szCs w:val="21"/>
        </w:rPr>
        <w:t>.</w:t>
      </w:r>
      <w:r>
        <w:rPr>
          <w:rFonts w:hint="eastAsia"/>
          <w:color w:val="000000"/>
          <w:sz w:val="21"/>
          <w:szCs w:val="21"/>
        </w:rPr>
        <w:t>2  在调试和验收期间及三包期内由于供方的责任造成的设备和备件的损坏应由制造厂免费维修或调换。由于运输、到货管理不当等原因造成的损坏供方应积极配合需方做好服务工作。</w:t>
      </w:r>
    </w:p>
    <w:p w14:paraId="345D269A">
      <w:pPr>
        <w:spacing w:line="440" w:lineRule="exact"/>
        <w:ind w:firstLine="525" w:firstLineChars="250"/>
        <w:rPr>
          <w:rFonts w:hint="eastAsia"/>
          <w:color w:val="000000"/>
          <w:sz w:val="21"/>
          <w:szCs w:val="21"/>
        </w:rPr>
      </w:pPr>
      <w:r>
        <w:rPr>
          <w:rFonts w:hint="eastAsia"/>
          <w:color w:val="000000"/>
          <w:sz w:val="21"/>
          <w:szCs w:val="21"/>
        </w:rPr>
        <w:t>8.1</w:t>
      </w:r>
      <w:r>
        <w:rPr>
          <w:color w:val="000000"/>
          <w:sz w:val="21"/>
          <w:szCs w:val="21"/>
        </w:rPr>
        <w:t>.</w:t>
      </w:r>
      <w:r>
        <w:rPr>
          <w:rFonts w:hint="eastAsia"/>
          <w:color w:val="000000"/>
          <w:sz w:val="21"/>
          <w:szCs w:val="21"/>
        </w:rPr>
        <w:t>3  供方应在合同签订后向需方提供技术培训，培训维修人员和运行操作人员。</w:t>
      </w:r>
    </w:p>
    <w:p w14:paraId="1BE95A85">
      <w:pPr>
        <w:spacing w:line="440" w:lineRule="exact"/>
        <w:ind w:firstLine="525" w:firstLineChars="250"/>
        <w:rPr>
          <w:rFonts w:hint="eastAsia"/>
          <w:color w:val="000000"/>
          <w:sz w:val="21"/>
          <w:szCs w:val="21"/>
        </w:rPr>
      </w:pPr>
      <w:r>
        <w:rPr>
          <w:rFonts w:hint="eastAsia"/>
          <w:color w:val="000000"/>
          <w:sz w:val="21"/>
          <w:szCs w:val="21"/>
        </w:rPr>
        <w:t>8.1</w:t>
      </w:r>
      <w:r>
        <w:rPr>
          <w:color w:val="000000"/>
          <w:sz w:val="21"/>
          <w:szCs w:val="21"/>
        </w:rPr>
        <w:t>.</w:t>
      </w:r>
      <w:r>
        <w:rPr>
          <w:rFonts w:hint="eastAsia"/>
          <w:color w:val="000000"/>
          <w:sz w:val="21"/>
          <w:szCs w:val="21"/>
        </w:rPr>
        <w:t>4  供方应提供满足安装和运行操作、维修的全部图纸、使用维护说明书、运行说明书等全部技术文件。提供资料套数应满足需方要求。</w:t>
      </w:r>
    </w:p>
    <w:p w14:paraId="5B5D0A08">
      <w:pPr>
        <w:spacing w:line="440" w:lineRule="exact"/>
        <w:ind w:firstLine="525" w:firstLineChars="250"/>
        <w:rPr>
          <w:color w:val="000000"/>
          <w:sz w:val="21"/>
          <w:szCs w:val="21"/>
        </w:rPr>
      </w:pPr>
      <w:r>
        <w:rPr>
          <w:rFonts w:hint="eastAsia"/>
          <w:color w:val="000000"/>
          <w:sz w:val="21"/>
          <w:szCs w:val="21"/>
        </w:rPr>
        <w:t>8.2</w:t>
      </w:r>
      <w:r>
        <w:rPr>
          <w:color w:val="000000"/>
          <w:sz w:val="21"/>
          <w:szCs w:val="21"/>
        </w:rPr>
        <w:t xml:space="preserve">  </w:t>
      </w:r>
      <w:r>
        <w:rPr>
          <w:rFonts w:hint="eastAsia"/>
          <w:color w:val="000000"/>
          <w:sz w:val="21"/>
          <w:szCs w:val="21"/>
        </w:rPr>
        <w:t>设计联络</w:t>
      </w:r>
    </w:p>
    <w:p w14:paraId="39578F1A">
      <w:pPr>
        <w:spacing w:line="440" w:lineRule="exact"/>
        <w:ind w:firstLine="525" w:firstLineChars="250"/>
        <w:rPr>
          <w:rFonts w:hint="eastAsia"/>
          <w:color w:val="000000"/>
          <w:sz w:val="21"/>
          <w:szCs w:val="21"/>
        </w:rPr>
      </w:pPr>
      <w:r>
        <w:rPr>
          <w:color w:val="000000"/>
          <w:sz w:val="21"/>
          <w:szCs w:val="21"/>
        </w:rPr>
        <w:tab/>
      </w:r>
      <w:r>
        <w:rPr>
          <w:rFonts w:hint="eastAsia"/>
          <w:color w:val="000000"/>
          <w:sz w:val="21"/>
          <w:szCs w:val="21"/>
        </w:rPr>
        <w:t>工程设计中安排</w:t>
      </w:r>
      <w:r>
        <w:rPr>
          <w:color w:val="000000"/>
          <w:sz w:val="21"/>
          <w:szCs w:val="21"/>
        </w:rPr>
        <w:t>1</w:t>
      </w:r>
      <w:r>
        <w:rPr>
          <w:rFonts w:hint="eastAsia"/>
          <w:color w:val="000000"/>
          <w:sz w:val="21"/>
          <w:szCs w:val="21"/>
        </w:rPr>
        <w:t>～</w:t>
      </w:r>
      <w:r>
        <w:rPr>
          <w:color w:val="000000"/>
          <w:sz w:val="21"/>
          <w:szCs w:val="21"/>
        </w:rPr>
        <w:t>2</w:t>
      </w:r>
      <w:r>
        <w:rPr>
          <w:rFonts w:hint="eastAsia"/>
          <w:color w:val="000000"/>
          <w:sz w:val="21"/>
          <w:szCs w:val="21"/>
        </w:rPr>
        <w:t>次设计联络会，讨论技术和资料交接等有关问题，具体内容、时间、地点和参加人员可另行商定。</w:t>
      </w:r>
    </w:p>
    <w:p w14:paraId="060E0F1E">
      <w:pPr>
        <w:pStyle w:val="64"/>
        <w:spacing w:line="440" w:lineRule="exact"/>
        <w:outlineLvl w:val="1"/>
        <w:rPr>
          <w:b/>
          <w:color w:val="000000"/>
          <w:sz w:val="21"/>
          <w:szCs w:val="21"/>
        </w:rPr>
      </w:pPr>
      <w:bookmarkStart w:id="43" w:name="_Toc270453097"/>
      <w:bookmarkStart w:id="44" w:name="_Toc271049314"/>
      <w:bookmarkStart w:id="45" w:name="_Toc47846324"/>
      <w:r>
        <w:rPr>
          <w:rFonts w:hint="eastAsia"/>
          <w:b/>
          <w:color w:val="000000"/>
          <w:sz w:val="21"/>
          <w:szCs w:val="21"/>
        </w:rPr>
        <w:t>9 大部件情况</w:t>
      </w:r>
      <w:bookmarkEnd w:id="43"/>
      <w:bookmarkEnd w:id="44"/>
      <w:bookmarkEnd w:id="45"/>
    </w:p>
    <w:p w14:paraId="3AAB9AFE">
      <w:pPr>
        <w:spacing w:line="440" w:lineRule="exact"/>
        <w:ind w:firstLine="525" w:firstLineChars="250"/>
        <w:rPr>
          <w:rFonts w:hint="eastAsia" w:hAnsi="宋体"/>
          <w:color w:val="000000"/>
          <w:sz w:val="21"/>
          <w:szCs w:val="21"/>
        </w:rPr>
      </w:pPr>
      <w:r>
        <w:rPr>
          <w:rFonts w:hint="eastAsia" w:hAnsi="宋体"/>
          <w:color w:val="000000"/>
          <w:sz w:val="21"/>
          <w:szCs w:val="21"/>
        </w:rPr>
        <w:t>9.1  投标人应按下表要求提供招标设备各大件的运输尺寸（长×宽×高）和重量，并附运输外形尺寸图及其重心位置（设备运输尺寸是指设备包装后的各部分尺寸）。</w:t>
      </w:r>
    </w:p>
    <w:tbl>
      <w:tblPr>
        <w:tblStyle w:val="36"/>
        <w:tblW w:w="0" w:type="auto"/>
        <w:tblInd w:w="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15"/>
        <w:gridCol w:w="1785"/>
        <w:gridCol w:w="840"/>
        <w:gridCol w:w="735"/>
        <w:gridCol w:w="945"/>
        <w:gridCol w:w="735"/>
        <w:gridCol w:w="945"/>
        <w:gridCol w:w="1260"/>
        <w:gridCol w:w="630"/>
        <w:gridCol w:w="462"/>
      </w:tblGrid>
      <w:tr w14:paraId="1B7D6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0" w:hRule="atLeast"/>
        </w:trPr>
        <w:tc>
          <w:tcPr>
            <w:tcW w:w="715" w:type="dxa"/>
            <w:vMerge w:val="restart"/>
            <w:noWrap w:val="0"/>
            <w:vAlign w:val="center"/>
          </w:tcPr>
          <w:p w14:paraId="65B1789E">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序号</w:t>
            </w:r>
          </w:p>
        </w:tc>
        <w:tc>
          <w:tcPr>
            <w:tcW w:w="1785" w:type="dxa"/>
            <w:vMerge w:val="restart"/>
            <w:noWrap w:val="0"/>
            <w:vAlign w:val="center"/>
          </w:tcPr>
          <w:p w14:paraId="0EB47A3B">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部件名称</w:t>
            </w:r>
          </w:p>
        </w:tc>
        <w:tc>
          <w:tcPr>
            <w:tcW w:w="840" w:type="dxa"/>
            <w:vMerge w:val="restart"/>
            <w:noWrap w:val="0"/>
            <w:vAlign w:val="center"/>
          </w:tcPr>
          <w:p w14:paraId="635E4741">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数量</w:t>
            </w:r>
          </w:p>
        </w:tc>
        <w:tc>
          <w:tcPr>
            <w:tcW w:w="1680" w:type="dxa"/>
            <w:gridSpan w:val="2"/>
            <w:noWrap w:val="0"/>
            <w:vAlign w:val="center"/>
          </w:tcPr>
          <w:p w14:paraId="73107EC6">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尺寸（米</w:t>
            </w:r>
            <w:r>
              <w:rPr>
                <w:rFonts w:hAnsi="宋体"/>
                <w:color w:val="000000"/>
                <w:sz w:val="21"/>
                <w:szCs w:val="21"/>
              </w:rPr>
              <w:t>)</w:t>
            </w:r>
          </w:p>
          <w:p w14:paraId="1D5CB8F3">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长×宽×高</w:t>
            </w:r>
          </w:p>
        </w:tc>
        <w:tc>
          <w:tcPr>
            <w:tcW w:w="1680" w:type="dxa"/>
            <w:gridSpan w:val="2"/>
            <w:noWrap w:val="0"/>
            <w:vAlign w:val="center"/>
          </w:tcPr>
          <w:p w14:paraId="2D874A6D">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重量</w:t>
            </w:r>
          </w:p>
          <w:p w14:paraId="05317C77">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（吨）</w:t>
            </w:r>
          </w:p>
        </w:tc>
        <w:tc>
          <w:tcPr>
            <w:tcW w:w="1260" w:type="dxa"/>
            <w:vMerge w:val="restart"/>
            <w:noWrap w:val="0"/>
            <w:vAlign w:val="center"/>
          </w:tcPr>
          <w:p w14:paraId="395E4597">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厂家名称</w:t>
            </w:r>
          </w:p>
        </w:tc>
        <w:tc>
          <w:tcPr>
            <w:tcW w:w="630" w:type="dxa"/>
            <w:vMerge w:val="restart"/>
            <w:noWrap w:val="0"/>
            <w:vAlign w:val="center"/>
          </w:tcPr>
          <w:p w14:paraId="2934C474">
            <w:pPr>
              <w:keepNext w:val="0"/>
              <w:keepLines w:val="0"/>
              <w:suppressLineNumbers w:val="0"/>
              <w:tabs>
                <w:tab w:val="left" w:pos="600"/>
              </w:tabs>
              <w:spacing w:before="0" w:beforeAutospacing="0" w:after="0" w:afterAutospacing="0" w:line="440" w:lineRule="exact"/>
              <w:ind w:left="0" w:right="0"/>
              <w:rPr>
                <w:rFonts w:hAnsi="宋体"/>
                <w:color w:val="000000"/>
                <w:sz w:val="21"/>
                <w:szCs w:val="21"/>
              </w:rPr>
            </w:pPr>
            <w:r>
              <w:rPr>
                <w:rFonts w:hint="eastAsia" w:hAnsi="宋体"/>
                <w:color w:val="000000"/>
                <w:sz w:val="21"/>
                <w:szCs w:val="21"/>
              </w:rPr>
              <w:t>产地</w:t>
            </w:r>
          </w:p>
        </w:tc>
        <w:tc>
          <w:tcPr>
            <w:tcW w:w="462" w:type="dxa"/>
            <w:vMerge w:val="restart"/>
            <w:noWrap w:val="0"/>
            <w:vAlign w:val="center"/>
          </w:tcPr>
          <w:p w14:paraId="0E765E39">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备注</w:t>
            </w:r>
          </w:p>
        </w:tc>
      </w:tr>
      <w:tr w14:paraId="49B0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0" w:hRule="atLeast"/>
        </w:trPr>
        <w:tc>
          <w:tcPr>
            <w:tcW w:w="715" w:type="dxa"/>
            <w:vMerge w:val="continue"/>
            <w:noWrap w:val="0"/>
            <w:vAlign w:val="top"/>
          </w:tcPr>
          <w:p w14:paraId="32D74347">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1785" w:type="dxa"/>
            <w:vMerge w:val="continue"/>
            <w:noWrap w:val="0"/>
            <w:vAlign w:val="top"/>
          </w:tcPr>
          <w:p w14:paraId="01B17949">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840" w:type="dxa"/>
            <w:vMerge w:val="continue"/>
            <w:noWrap w:val="0"/>
            <w:vAlign w:val="top"/>
          </w:tcPr>
          <w:p w14:paraId="58827B14">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735" w:type="dxa"/>
            <w:noWrap w:val="0"/>
            <w:vAlign w:val="top"/>
          </w:tcPr>
          <w:p w14:paraId="72B090FE">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包装</w:t>
            </w:r>
          </w:p>
        </w:tc>
        <w:tc>
          <w:tcPr>
            <w:tcW w:w="945" w:type="dxa"/>
            <w:noWrap w:val="0"/>
            <w:vAlign w:val="top"/>
          </w:tcPr>
          <w:p w14:paraId="033B1533">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未包装</w:t>
            </w:r>
          </w:p>
        </w:tc>
        <w:tc>
          <w:tcPr>
            <w:tcW w:w="735" w:type="dxa"/>
            <w:noWrap w:val="0"/>
            <w:vAlign w:val="top"/>
          </w:tcPr>
          <w:p w14:paraId="65D13C99">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包装</w:t>
            </w:r>
          </w:p>
        </w:tc>
        <w:tc>
          <w:tcPr>
            <w:tcW w:w="945" w:type="dxa"/>
            <w:noWrap w:val="0"/>
            <w:vAlign w:val="top"/>
          </w:tcPr>
          <w:p w14:paraId="58B1C77B">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r>
              <w:rPr>
                <w:rFonts w:hint="eastAsia" w:hAnsi="宋体"/>
                <w:color w:val="000000"/>
                <w:sz w:val="21"/>
                <w:szCs w:val="21"/>
              </w:rPr>
              <w:t>未包装</w:t>
            </w:r>
          </w:p>
        </w:tc>
        <w:tc>
          <w:tcPr>
            <w:tcW w:w="1260" w:type="dxa"/>
            <w:vMerge w:val="continue"/>
            <w:noWrap w:val="0"/>
            <w:vAlign w:val="top"/>
          </w:tcPr>
          <w:p w14:paraId="1EA42D9F">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630" w:type="dxa"/>
            <w:vMerge w:val="continue"/>
            <w:noWrap w:val="0"/>
            <w:vAlign w:val="top"/>
          </w:tcPr>
          <w:p w14:paraId="0BC01199">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462" w:type="dxa"/>
            <w:vMerge w:val="continue"/>
            <w:noWrap w:val="0"/>
            <w:vAlign w:val="top"/>
          </w:tcPr>
          <w:p w14:paraId="0BE8995A">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r>
      <w:tr w14:paraId="3EA9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0" w:hRule="atLeast"/>
        </w:trPr>
        <w:tc>
          <w:tcPr>
            <w:tcW w:w="715" w:type="dxa"/>
            <w:noWrap w:val="0"/>
            <w:vAlign w:val="top"/>
          </w:tcPr>
          <w:p w14:paraId="702BB9AD">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1785" w:type="dxa"/>
            <w:noWrap w:val="0"/>
            <w:vAlign w:val="top"/>
          </w:tcPr>
          <w:p w14:paraId="1A6AF433">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840" w:type="dxa"/>
            <w:noWrap w:val="0"/>
            <w:vAlign w:val="top"/>
          </w:tcPr>
          <w:p w14:paraId="54236746">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735" w:type="dxa"/>
            <w:noWrap w:val="0"/>
            <w:vAlign w:val="top"/>
          </w:tcPr>
          <w:p w14:paraId="6FAB30D5">
            <w:pPr>
              <w:keepNext w:val="0"/>
              <w:keepLines w:val="0"/>
              <w:suppressLineNumbers w:val="0"/>
              <w:tabs>
                <w:tab w:val="left" w:pos="600"/>
              </w:tabs>
              <w:spacing w:before="0" w:beforeAutospacing="0" w:after="0" w:afterAutospacing="0" w:line="440" w:lineRule="exact"/>
              <w:ind w:left="0" w:right="0"/>
              <w:jc w:val="center"/>
              <w:rPr>
                <w:rFonts w:hint="eastAsia" w:hAnsi="宋体"/>
                <w:color w:val="000000"/>
                <w:sz w:val="21"/>
                <w:szCs w:val="21"/>
              </w:rPr>
            </w:pPr>
          </w:p>
        </w:tc>
        <w:tc>
          <w:tcPr>
            <w:tcW w:w="945" w:type="dxa"/>
            <w:noWrap w:val="0"/>
            <w:vAlign w:val="top"/>
          </w:tcPr>
          <w:p w14:paraId="44F8D438">
            <w:pPr>
              <w:keepNext w:val="0"/>
              <w:keepLines w:val="0"/>
              <w:suppressLineNumbers w:val="0"/>
              <w:tabs>
                <w:tab w:val="left" w:pos="600"/>
              </w:tabs>
              <w:spacing w:before="0" w:beforeAutospacing="0" w:after="0" w:afterAutospacing="0" w:line="440" w:lineRule="exact"/>
              <w:ind w:left="0" w:right="0"/>
              <w:jc w:val="center"/>
              <w:rPr>
                <w:rFonts w:hint="eastAsia" w:hAnsi="宋体"/>
                <w:color w:val="000000"/>
                <w:sz w:val="21"/>
                <w:szCs w:val="21"/>
              </w:rPr>
            </w:pPr>
          </w:p>
        </w:tc>
        <w:tc>
          <w:tcPr>
            <w:tcW w:w="735" w:type="dxa"/>
            <w:noWrap w:val="0"/>
            <w:vAlign w:val="top"/>
          </w:tcPr>
          <w:p w14:paraId="12AB4F9D">
            <w:pPr>
              <w:keepNext w:val="0"/>
              <w:keepLines w:val="0"/>
              <w:suppressLineNumbers w:val="0"/>
              <w:tabs>
                <w:tab w:val="left" w:pos="600"/>
              </w:tabs>
              <w:spacing w:before="0" w:beforeAutospacing="0" w:after="0" w:afterAutospacing="0" w:line="440" w:lineRule="exact"/>
              <w:ind w:left="0" w:right="0"/>
              <w:jc w:val="center"/>
              <w:rPr>
                <w:rFonts w:hint="eastAsia" w:hAnsi="宋体"/>
                <w:color w:val="000000"/>
                <w:sz w:val="21"/>
                <w:szCs w:val="21"/>
              </w:rPr>
            </w:pPr>
          </w:p>
        </w:tc>
        <w:tc>
          <w:tcPr>
            <w:tcW w:w="945" w:type="dxa"/>
            <w:noWrap w:val="0"/>
            <w:vAlign w:val="top"/>
          </w:tcPr>
          <w:p w14:paraId="4C2B7D75">
            <w:pPr>
              <w:keepNext w:val="0"/>
              <w:keepLines w:val="0"/>
              <w:suppressLineNumbers w:val="0"/>
              <w:tabs>
                <w:tab w:val="left" w:pos="600"/>
              </w:tabs>
              <w:spacing w:before="0" w:beforeAutospacing="0" w:after="0" w:afterAutospacing="0" w:line="440" w:lineRule="exact"/>
              <w:ind w:left="0" w:right="0"/>
              <w:jc w:val="center"/>
              <w:rPr>
                <w:rFonts w:hint="eastAsia" w:hAnsi="宋体"/>
                <w:color w:val="000000"/>
                <w:sz w:val="21"/>
                <w:szCs w:val="21"/>
              </w:rPr>
            </w:pPr>
          </w:p>
        </w:tc>
        <w:tc>
          <w:tcPr>
            <w:tcW w:w="1260" w:type="dxa"/>
            <w:noWrap w:val="0"/>
            <w:vAlign w:val="top"/>
          </w:tcPr>
          <w:p w14:paraId="39495601">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630" w:type="dxa"/>
            <w:noWrap w:val="0"/>
            <w:vAlign w:val="top"/>
          </w:tcPr>
          <w:p w14:paraId="5C026062">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c>
          <w:tcPr>
            <w:tcW w:w="462" w:type="dxa"/>
            <w:noWrap w:val="0"/>
            <w:vAlign w:val="top"/>
          </w:tcPr>
          <w:p w14:paraId="446A74C1">
            <w:pPr>
              <w:keepNext w:val="0"/>
              <w:keepLines w:val="0"/>
              <w:suppressLineNumbers w:val="0"/>
              <w:tabs>
                <w:tab w:val="left" w:pos="600"/>
              </w:tabs>
              <w:spacing w:before="0" w:beforeAutospacing="0" w:after="0" w:afterAutospacing="0" w:line="440" w:lineRule="exact"/>
              <w:ind w:left="0" w:right="0"/>
              <w:jc w:val="center"/>
              <w:rPr>
                <w:rFonts w:hAnsi="宋体"/>
                <w:color w:val="000000"/>
                <w:sz w:val="21"/>
                <w:szCs w:val="21"/>
              </w:rPr>
            </w:pPr>
          </w:p>
        </w:tc>
      </w:tr>
    </w:tbl>
    <w:p w14:paraId="12025E46">
      <w:pPr>
        <w:spacing w:line="440" w:lineRule="exact"/>
        <w:ind w:firstLine="525" w:firstLineChars="250"/>
        <w:rPr>
          <w:rFonts w:hint="eastAsia" w:hAnsi="宋体"/>
          <w:color w:val="000000"/>
          <w:sz w:val="21"/>
          <w:szCs w:val="21"/>
        </w:rPr>
      </w:pPr>
      <w:r>
        <w:rPr>
          <w:rFonts w:hint="eastAsia" w:hAnsi="宋体"/>
          <w:color w:val="000000"/>
          <w:sz w:val="21"/>
          <w:szCs w:val="21"/>
        </w:rPr>
        <w:t>9.2  当采用铁路运输时，设备的运输外形尺寸，应考虑该设备拟采用的运输车辆装载面至轨面的高度要求。</w:t>
      </w:r>
    </w:p>
    <w:p w14:paraId="095D5773">
      <w:pPr>
        <w:spacing w:line="440" w:lineRule="exact"/>
        <w:ind w:firstLine="525" w:firstLineChars="250"/>
      </w:pPr>
      <w:r>
        <w:rPr>
          <w:rFonts w:hint="eastAsia" w:hAnsi="宋体"/>
          <w:color w:val="000000"/>
          <w:sz w:val="21"/>
          <w:szCs w:val="21"/>
        </w:rPr>
        <w:t>9.3  投标人应根据大件运输的线路及运输方式，对沿途中所经过的涵洞、桥梁等构、建筑物进行充分的调查和论证，在投标文件中提出大件运输的方案，确保大件设备运至交货地点。</w:t>
      </w:r>
      <w:r>
        <w:rPr>
          <w:rFonts w:hint="eastAsia"/>
          <w:b/>
          <w:color w:val="000000"/>
        </w:rPr>
        <w:t xml:space="preserve">  </w:t>
      </w:r>
    </w:p>
    <w:p w14:paraId="636F9F88">
      <w:pPr>
        <w:numPr>
          <w:ilvl w:val="0"/>
          <w:numId w:val="0"/>
        </w:numPr>
        <w:autoSpaceDE w:val="0"/>
        <w:autoSpaceDN w:val="0"/>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3、其他要求</w:t>
      </w:r>
    </w:p>
    <w:p w14:paraId="6D95DCF4">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的技术响应必须不低于</w:t>
      </w:r>
      <w:r>
        <w:rPr>
          <w:rFonts w:hint="eastAsia" w:ascii="宋体" w:hAnsi="宋体" w:cs="宋体"/>
          <w:b/>
          <w:bCs/>
          <w:color w:val="auto"/>
          <w:sz w:val="24"/>
          <w:lang w:eastAsia="zh-CN"/>
        </w:rPr>
        <w:t>采购文件</w:t>
      </w:r>
      <w:r>
        <w:rPr>
          <w:rFonts w:hint="eastAsia" w:ascii="宋体" w:hAnsi="宋体" w:cs="宋体"/>
          <w:b/>
          <w:bCs/>
          <w:color w:val="auto"/>
          <w:sz w:val="24"/>
        </w:rPr>
        <w:t>要求的材料质量及技术要求。</w:t>
      </w:r>
    </w:p>
    <w:p w14:paraId="7CC9F4B0">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2、上述表内的数量仅作</w:t>
      </w:r>
      <w:r>
        <w:rPr>
          <w:rFonts w:hint="eastAsia" w:ascii="宋体" w:hAnsi="宋体" w:cs="宋体"/>
          <w:b/>
          <w:bCs/>
          <w:color w:val="auto"/>
          <w:sz w:val="24"/>
          <w:lang w:eastAsia="zh-CN"/>
        </w:rPr>
        <w:t>供应商</w:t>
      </w:r>
      <w:r>
        <w:rPr>
          <w:rFonts w:hint="eastAsia" w:ascii="宋体" w:hAnsi="宋体" w:cs="宋体"/>
          <w:b/>
          <w:bCs/>
          <w:color w:val="auto"/>
          <w:sz w:val="24"/>
        </w:rPr>
        <w:t>报价时使用，具体数量应以工程需要确定。</w:t>
      </w:r>
      <w:r>
        <w:rPr>
          <w:rFonts w:hint="eastAsia" w:ascii="宋体" w:hAnsi="宋体" w:cs="宋体"/>
          <w:b/>
          <w:bCs/>
          <w:color w:val="auto"/>
          <w:sz w:val="24"/>
          <w:lang w:eastAsia="zh-CN"/>
        </w:rPr>
        <w:t>供应商报价时只需投报每种货物的单价。</w:t>
      </w:r>
      <w:r>
        <w:rPr>
          <w:rFonts w:hint="eastAsia" w:ascii="宋体" w:hAnsi="宋体" w:cs="宋体"/>
          <w:b/>
          <w:bCs/>
          <w:color w:val="auto"/>
          <w:sz w:val="24"/>
        </w:rPr>
        <w:t>不论实际使用数量如何变化，成交单价不得变动。</w:t>
      </w:r>
    </w:p>
    <w:p w14:paraId="6A9F51DB">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备注：</w:t>
      </w:r>
      <w:r>
        <w:rPr>
          <w:rFonts w:hint="eastAsia" w:ascii="宋体" w:hAnsi="宋体" w:cs="宋体"/>
          <w:b/>
          <w:bCs/>
          <w:color w:val="auto"/>
          <w:sz w:val="24"/>
          <w:lang w:eastAsia="zh-CN"/>
        </w:rPr>
        <w:t>（</w:t>
      </w: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cs="宋体"/>
          <w:b/>
          <w:bCs/>
          <w:color w:val="auto"/>
          <w:sz w:val="24"/>
        </w:rPr>
        <w:t>、以上技术要求中若涉及品牌、型号等，并不是</w:t>
      </w:r>
      <w:r>
        <w:rPr>
          <w:rFonts w:hint="eastAsia" w:ascii="宋体" w:hAnsi="宋体" w:cs="宋体"/>
          <w:b/>
          <w:bCs/>
          <w:color w:val="auto"/>
          <w:sz w:val="24"/>
          <w:lang w:eastAsia="zh-CN"/>
        </w:rPr>
        <w:t>采购人</w:t>
      </w:r>
      <w:r>
        <w:rPr>
          <w:rFonts w:hint="eastAsia" w:ascii="宋体" w:hAnsi="宋体" w:cs="宋体"/>
          <w:b/>
          <w:bCs/>
          <w:color w:val="auto"/>
          <w:sz w:val="24"/>
        </w:rPr>
        <w:t>拟指定该品牌、型号的意思表示，而是为了更好的表述技术要求，</w:t>
      </w:r>
      <w:r>
        <w:rPr>
          <w:rFonts w:hint="eastAsia" w:ascii="宋体" w:hAnsi="宋体" w:cs="宋体"/>
          <w:b/>
          <w:bCs/>
          <w:color w:val="auto"/>
          <w:sz w:val="24"/>
          <w:lang w:eastAsia="zh-CN"/>
        </w:rPr>
        <w:t>供应商</w:t>
      </w:r>
      <w:r>
        <w:rPr>
          <w:rFonts w:hint="eastAsia" w:ascii="宋体" w:hAnsi="宋体" w:cs="宋体"/>
          <w:b/>
          <w:bCs/>
          <w:color w:val="auto"/>
          <w:sz w:val="24"/>
        </w:rPr>
        <w:t>可投报产品技术性能相当于或高于所列品牌、型号的产品。</w:t>
      </w:r>
    </w:p>
    <w:p w14:paraId="2EF848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rPr>
        <w:t>2</w:t>
      </w:r>
      <w:r>
        <w:rPr>
          <w:rFonts w:hint="eastAsia" w:ascii="宋体" w:hAnsi="宋体" w:cs="宋体"/>
          <w:b/>
          <w:bCs/>
          <w:color w:val="auto"/>
          <w:sz w:val="24"/>
          <w:lang w:eastAsia="zh-CN"/>
        </w:rPr>
        <w:t>）</w:t>
      </w:r>
      <w:r>
        <w:rPr>
          <w:rFonts w:hint="eastAsia" w:ascii="宋体" w:hAnsi="宋体" w:cs="宋体"/>
          <w:b/>
          <w:bCs/>
          <w:color w:val="auto"/>
          <w:sz w:val="24"/>
        </w:rPr>
        <w:t>、除非另有说明，本项目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项目的上述规范、标准和规程的具体编号和名称则在本文件中有意空缺，由采购人依据上述原则自行收集。</w:t>
      </w:r>
    </w:p>
    <w:p w14:paraId="24C6B265">
      <w:pPr>
        <w:spacing w:line="560" w:lineRule="exact"/>
        <w:ind w:firstLine="482" w:firstLineChars="200"/>
        <w:jc w:val="center"/>
        <w:outlineLvl w:val="0"/>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第五部分  合同授予</w:t>
      </w:r>
      <w:bookmarkEnd w:id="17"/>
      <w:bookmarkEnd w:id="18"/>
      <w:bookmarkEnd w:id="19"/>
    </w:p>
    <w:p w14:paraId="5C0D7717">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一、签订合同</w:t>
      </w:r>
    </w:p>
    <w:p w14:paraId="70492F9D">
      <w:pPr>
        <w:spacing w:line="48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2C531CAE">
      <w:pPr>
        <w:spacing w:line="480" w:lineRule="auto"/>
        <w:jc w:val="center"/>
        <w:textAlignment w:val="baseline"/>
        <w:rPr>
          <w:rFonts w:hint="eastAsia" w:ascii="宋体" w:hAnsi="宋体" w:eastAsia="宋体" w:cs="宋体"/>
          <w:b/>
          <w:color w:val="auto"/>
          <w:sz w:val="52"/>
          <w:szCs w:val="52"/>
          <w:lang w:eastAsia="zh-CN"/>
        </w:rPr>
      </w:pPr>
      <w:r>
        <w:rPr>
          <w:rFonts w:hAnsi="宋体" w:cs="宋体"/>
          <w:color w:val="auto"/>
          <w:sz w:val="24"/>
          <w:szCs w:val="24"/>
          <w:highlight w:val="none"/>
        </w:rPr>
        <w:br w:type="page"/>
      </w:r>
      <w:r>
        <w:rPr>
          <w:rFonts w:hint="eastAsia" w:ascii="宋体" w:hAnsi="宋体" w:cs="宋体"/>
          <w:b/>
          <w:color w:val="auto"/>
          <w:sz w:val="52"/>
          <w:szCs w:val="52"/>
          <w:lang w:eastAsia="zh-CN"/>
        </w:rPr>
        <w:t>邹城市钢山街道办事处崇义家园热力水处理设备采购项目采购合同</w:t>
      </w:r>
    </w:p>
    <w:p w14:paraId="231741C2">
      <w:pPr>
        <w:pStyle w:val="10"/>
        <w:textAlignment w:val="baseline"/>
        <w:rPr>
          <w:rFonts w:hint="eastAsia" w:ascii="宋体" w:hAnsi="宋体" w:eastAsia="宋体" w:cs="宋体"/>
          <w:color w:val="auto"/>
          <w:sz w:val="44"/>
          <w:szCs w:val="44"/>
        </w:rPr>
      </w:pPr>
    </w:p>
    <w:p w14:paraId="79B31073">
      <w:pPr>
        <w:pStyle w:val="10"/>
        <w:jc w:val="both"/>
        <w:textAlignment w:val="baseline"/>
        <w:rPr>
          <w:rFonts w:hint="eastAsia" w:ascii="宋体" w:hAnsi="宋体" w:eastAsia="宋体" w:cs="宋体"/>
          <w:color w:val="auto"/>
          <w:sz w:val="32"/>
          <w:szCs w:val="32"/>
        </w:rPr>
      </w:pPr>
    </w:p>
    <w:p w14:paraId="00B0D4EC">
      <w:pPr>
        <w:pStyle w:val="10"/>
        <w:jc w:val="both"/>
        <w:textAlignment w:val="baseline"/>
        <w:rPr>
          <w:rFonts w:hint="eastAsia" w:ascii="宋体" w:hAnsi="宋体" w:eastAsia="宋体" w:cs="宋体"/>
          <w:color w:val="auto"/>
          <w:sz w:val="32"/>
          <w:szCs w:val="32"/>
        </w:rPr>
      </w:pPr>
    </w:p>
    <w:p w14:paraId="4F89A775">
      <w:pPr>
        <w:pStyle w:val="10"/>
        <w:jc w:val="both"/>
        <w:textAlignment w:val="baseline"/>
        <w:rPr>
          <w:rFonts w:hint="eastAsia" w:ascii="宋体" w:hAnsi="宋体" w:eastAsia="宋体" w:cs="宋体"/>
          <w:color w:val="auto"/>
          <w:sz w:val="32"/>
          <w:szCs w:val="32"/>
        </w:rPr>
      </w:pPr>
    </w:p>
    <w:p w14:paraId="3C2B6352">
      <w:pPr>
        <w:pStyle w:val="10"/>
        <w:jc w:val="both"/>
        <w:textAlignment w:val="baseline"/>
        <w:rPr>
          <w:rFonts w:hint="eastAsia" w:ascii="宋体" w:hAnsi="宋体" w:eastAsia="宋体" w:cs="宋体"/>
          <w:color w:val="auto"/>
          <w:sz w:val="32"/>
          <w:szCs w:val="32"/>
        </w:rPr>
      </w:pPr>
    </w:p>
    <w:p w14:paraId="745714FB">
      <w:pPr>
        <w:pStyle w:val="10"/>
        <w:jc w:val="both"/>
        <w:textAlignment w:val="baseline"/>
        <w:rPr>
          <w:rFonts w:hint="eastAsia" w:ascii="宋体" w:hAnsi="宋体" w:eastAsia="宋体" w:cs="宋体"/>
          <w:color w:val="auto"/>
          <w:sz w:val="32"/>
          <w:szCs w:val="32"/>
        </w:rPr>
      </w:pPr>
    </w:p>
    <w:p w14:paraId="3E131DD8">
      <w:pPr>
        <w:pStyle w:val="10"/>
        <w:jc w:val="both"/>
        <w:textAlignment w:val="baseline"/>
        <w:rPr>
          <w:rFonts w:hint="eastAsia" w:ascii="宋体" w:hAnsi="宋体" w:eastAsia="宋体" w:cs="宋体"/>
          <w:color w:val="auto"/>
          <w:sz w:val="32"/>
          <w:szCs w:val="32"/>
        </w:rPr>
      </w:pPr>
    </w:p>
    <w:p w14:paraId="2B363DF4">
      <w:pPr>
        <w:pStyle w:val="10"/>
        <w:jc w:val="both"/>
        <w:textAlignment w:val="baseline"/>
        <w:rPr>
          <w:rFonts w:hint="eastAsia" w:ascii="宋体" w:hAnsi="宋体" w:eastAsia="宋体" w:cs="宋体"/>
          <w:color w:val="auto"/>
          <w:sz w:val="32"/>
          <w:szCs w:val="32"/>
        </w:rPr>
      </w:pPr>
    </w:p>
    <w:p w14:paraId="2DF1994F">
      <w:pPr>
        <w:pStyle w:val="10"/>
        <w:jc w:val="both"/>
        <w:textAlignment w:val="baseline"/>
        <w:rPr>
          <w:rFonts w:hint="eastAsia" w:ascii="宋体" w:hAnsi="宋体" w:eastAsia="宋体" w:cs="宋体"/>
          <w:color w:val="auto"/>
          <w:sz w:val="32"/>
          <w:szCs w:val="32"/>
        </w:rPr>
      </w:pPr>
    </w:p>
    <w:p w14:paraId="5A8143B4">
      <w:pPr>
        <w:pStyle w:val="10"/>
        <w:jc w:val="both"/>
        <w:textAlignment w:val="baseline"/>
        <w:rPr>
          <w:rFonts w:hint="eastAsia" w:ascii="宋体" w:hAnsi="宋体" w:eastAsia="宋体" w:cs="宋体"/>
          <w:color w:val="auto"/>
          <w:sz w:val="32"/>
          <w:szCs w:val="32"/>
        </w:rPr>
      </w:pPr>
    </w:p>
    <w:p w14:paraId="3FAA0DFF">
      <w:pPr>
        <w:pStyle w:val="10"/>
        <w:jc w:val="both"/>
        <w:textAlignment w:val="baseline"/>
        <w:rPr>
          <w:rFonts w:hint="eastAsia" w:ascii="宋体" w:hAnsi="宋体" w:eastAsia="宋体" w:cs="宋体"/>
          <w:color w:val="auto"/>
          <w:sz w:val="32"/>
          <w:szCs w:val="32"/>
        </w:rPr>
      </w:pPr>
    </w:p>
    <w:p w14:paraId="695355FE">
      <w:pPr>
        <w:pStyle w:val="10"/>
        <w:ind w:firstLine="640" w:firstLineChars="200"/>
        <w:jc w:val="both"/>
        <w:textAlignment w:val="baseline"/>
        <w:rPr>
          <w:rFonts w:hint="default" w:ascii="宋体" w:hAnsi="宋体" w:eastAsia="宋体" w:cs="宋体"/>
          <w:color w:val="auto"/>
          <w:sz w:val="32"/>
          <w:szCs w:val="32"/>
          <w:lang w:val="en-US" w:eastAsia="zh-CN"/>
        </w:rPr>
      </w:pPr>
      <w:r>
        <w:rPr>
          <w:rFonts w:hint="eastAsia" w:ascii="宋体" w:hAnsi="宋体" w:cs="宋体"/>
          <w:color w:val="auto"/>
          <w:sz w:val="32"/>
          <w:szCs w:val="32"/>
          <w:lang w:eastAsia="zh-CN"/>
        </w:rPr>
        <w:t>采购人</w:t>
      </w:r>
      <w:r>
        <w:rPr>
          <w:rFonts w:hint="eastAsia" w:ascii="宋体" w:hAnsi="宋体" w:eastAsia="宋体" w:cs="宋体"/>
          <w:color w:val="auto"/>
          <w:sz w:val="32"/>
          <w:szCs w:val="32"/>
        </w:rPr>
        <w:t>：</w:t>
      </w:r>
      <w:r>
        <w:rPr>
          <w:rFonts w:hint="eastAsia" w:ascii="宋体" w:hAnsi="宋体" w:eastAsia="宋体" w:cs="宋体"/>
          <w:color w:val="auto"/>
          <w:sz w:val="32"/>
          <w:szCs w:val="32"/>
          <w:u w:val="single"/>
          <w:lang w:val="en-US" w:eastAsia="zh-CN"/>
        </w:rPr>
        <w:t xml:space="preserve">                               </w:t>
      </w:r>
    </w:p>
    <w:p w14:paraId="133A494C">
      <w:pPr>
        <w:pStyle w:val="10"/>
        <w:jc w:val="both"/>
        <w:textAlignment w:val="baseline"/>
        <w:rPr>
          <w:rFonts w:hint="eastAsia" w:ascii="宋体" w:hAnsi="宋体" w:eastAsia="宋体" w:cs="宋体"/>
          <w:color w:val="auto"/>
          <w:sz w:val="32"/>
          <w:szCs w:val="32"/>
        </w:rPr>
      </w:pPr>
    </w:p>
    <w:p w14:paraId="413BE78D">
      <w:pPr>
        <w:pStyle w:val="10"/>
        <w:ind w:firstLine="640" w:firstLineChars="200"/>
        <w:jc w:val="both"/>
        <w:textAlignment w:val="baseline"/>
        <w:rPr>
          <w:rFonts w:hint="eastAsia" w:ascii="宋体" w:hAnsi="宋体" w:eastAsia="宋体" w:cs="宋体"/>
          <w:color w:val="auto"/>
          <w:sz w:val="32"/>
          <w:szCs w:val="32"/>
          <w:u w:val="single"/>
        </w:rPr>
      </w:pPr>
      <w:r>
        <w:rPr>
          <w:rFonts w:hint="eastAsia" w:ascii="宋体" w:hAnsi="宋体" w:cs="宋体"/>
          <w:color w:val="auto"/>
          <w:sz w:val="32"/>
          <w:szCs w:val="32"/>
          <w:lang w:eastAsia="zh-CN"/>
        </w:rPr>
        <w:t>供货</w:t>
      </w:r>
      <w:r>
        <w:rPr>
          <w:rFonts w:hint="eastAsia" w:ascii="宋体" w:hAnsi="宋体" w:eastAsia="宋体" w:cs="宋体"/>
          <w:color w:val="auto"/>
          <w:sz w:val="32"/>
          <w:szCs w:val="32"/>
        </w:rPr>
        <w:t>单位：</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p w14:paraId="1D226B93">
      <w:pPr>
        <w:pStyle w:val="10"/>
        <w:jc w:val="both"/>
        <w:textAlignment w:val="baseline"/>
        <w:rPr>
          <w:rFonts w:hint="eastAsia" w:ascii="宋体" w:hAnsi="宋体" w:eastAsia="宋体" w:cs="宋体"/>
          <w:color w:val="auto"/>
          <w:sz w:val="32"/>
          <w:szCs w:val="32"/>
        </w:rPr>
      </w:pPr>
    </w:p>
    <w:p w14:paraId="3D501900">
      <w:pPr>
        <w:pStyle w:val="10"/>
        <w:jc w:val="center"/>
        <w:textAlignment w:val="baseline"/>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二〇二四年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月</w:t>
      </w:r>
    </w:p>
    <w:p w14:paraId="1215055F">
      <w:pPr>
        <w:spacing w:line="500" w:lineRule="exact"/>
        <w:jc w:val="center"/>
        <w:textAlignment w:val="baseline"/>
        <w:rPr>
          <w:rFonts w:hint="eastAsia" w:ascii="宋体" w:hAnsi="宋体" w:eastAsia="宋体" w:cs="宋体"/>
          <w:b/>
          <w:color w:val="auto"/>
          <w:sz w:val="36"/>
          <w:szCs w:val="36"/>
        </w:rPr>
      </w:pPr>
    </w:p>
    <w:p w14:paraId="1C094ED7">
      <w:pPr>
        <w:pStyle w:val="12"/>
        <w:rPr>
          <w:rFonts w:hint="eastAsia"/>
        </w:rPr>
      </w:pPr>
    </w:p>
    <w:p w14:paraId="56459193">
      <w:pPr>
        <w:spacing w:line="500" w:lineRule="exact"/>
        <w:jc w:val="center"/>
        <w:textAlignment w:val="baseline"/>
        <w:rPr>
          <w:rFonts w:hint="eastAsia" w:ascii="宋体" w:hAnsi="宋体" w:cs="宋体"/>
          <w:b/>
          <w:color w:val="auto"/>
          <w:sz w:val="36"/>
          <w:szCs w:val="36"/>
          <w:lang w:eastAsia="zh-CN"/>
        </w:rPr>
      </w:pPr>
      <w:r>
        <w:rPr>
          <w:rFonts w:hint="eastAsia" w:ascii="宋体" w:hAnsi="宋体" w:cs="宋体"/>
          <w:b/>
          <w:color w:val="auto"/>
          <w:sz w:val="36"/>
          <w:szCs w:val="36"/>
          <w:lang w:eastAsia="zh-CN"/>
        </w:rPr>
        <w:t>邹城市钢山街道办事处崇义家园热力机组</w:t>
      </w:r>
    </w:p>
    <w:p w14:paraId="030F03AC">
      <w:pPr>
        <w:spacing w:line="500" w:lineRule="exact"/>
        <w:jc w:val="center"/>
        <w:textAlignment w:val="baseline"/>
        <w:rPr>
          <w:rFonts w:hint="eastAsia" w:ascii="宋体" w:hAnsi="宋体" w:eastAsia="宋体" w:cs="宋体"/>
          <w:b/>
          <w:color w:val="auto"/>
          <w:sz w:val="36"/>
          <w:szCs w:val="36"/>
          <w:lang w:eastAsia="zh-CN"/>
        </w:rPr>
      </w:pPr>
      <w:r>
        <w:rPr>
          <w:rFonts w:hint="eastAsia" w:ascii="宋体" w:hAnsi="宋体" w:cs="宋体"/>
          <w:b/>
          <w:color w:val="auto"/>
          <w:sz w:val="36"/>
          <w:szCs w:val="36"/>
          <w:lang w:eastAsia="zh-CN"/>
        </w:rPr>
        <w:t>采购项目采购合同</w:t>
      </w:r>
    </w:p>
    <w:p w14:paraId="44B65A85">
      <w:pPr>
        <w:spacing w:line="50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采购人</w:t>
      </w:r>
      <w:r>
        <w:rPr>
          <w:rFonts w:hint="eastAsia" w:ascii="宋体" w:hAnsi="宋体" w:eastAsia="宋体" w:cs="宋体"/>
          <w:b/>
          <w:bCs/>
          <w:color w:val="auto"/>
          <w:sz w:val="24"/>
        </w:rPr>
        <w:t>：</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（以下简称甲方）</w:t>
      </w:r>
    </w:p>
    <w:p w14:paraId="1C618FA8">
      <w:pPr>
        <w:spacing w:line="50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供货单位</w:t>
      </w:r>
      <w:r>
        <w:rPr>
          <w:rFonts w:hint="eastAsia" w:ascii="宋体" w:hAnsi="宋体" w:eastAsia="宋体" w:cs="宋体"/>
          <w:b/>
          <w:bCs/>
          <w:color w:val="auto"/>
          <w:sz w:val="24"/>
        </w:rPr>
        <w:t>：</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0FC3BAF2">
      <w:pPr>
        <w:spacing w:line="480" w:lineRule="exact"/>
        <w:textAlignment w:val="baseline"/>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eastAsia="zh-CN"/>
        </w:rPr>
        <w:t>邹城市钢山街道办事处崇义家园热力水处理设备采购项目</w:t>
      </w:r>
      <w:r>
        <w:rPr>
          <w:rFonts w:hint="eastAsia" w:ascii="宋体" w:hAnsi="宋体" w:eastAsia="宋体" w:cs="宋体"/>
          <w:color w:val="auto"/>
          <w:sz w:val="24"/>
        </w:rPr>
        <w:t>，经双方充分协商，为进一步明确各自责任，加强互相配合协作，按照国家及地方有关法律、行政法规的规定，依照自愿公平，平等互利的原则，并结合本工程实际情况，经协商一致，签订如下合同，双方共同遵守。</w:t>
      </w:r>
    </w:p>
    <w:p w14:paraId="0F752EF0">
      <w:pPr>
        <w:spacing w:line="360" w:lineRule="auto"/>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一、工程概况：</w:t>
      </w:r>
    </w:p>
    <w:p w14:paraId="65995A2F">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1.1工程名称：</w:t>
      </w:r>
      <w:r>
        <w:rPr>
          <w:rFonts w:hint="eastAsia" w:ascii="宋体" w:hAnsi="宋体" w:cs="宋体"/>
          <w:color w:val="auto"/>
          <w:sz w:val="24"/>
          <w:u w:val="single"/>
          <w:lang w:eastAsia="zh-CN"/>
        </w:rPr>
        <w:t>邹城市钢山街道办事处崇义家园热力水处理设备采购项目</w:t>
      </w:r>
    </w:p>
    <w:p w14:paraId="4073C76D">
      <w:pPr>
        <w:spacing w:line="480" w:lineRule="exact"/>
        <w:ind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cs="宋体"/>
          <w:color w:val="auto"/>
          <w:sz w:val="24"/>
          <w:lang w:eastAsia="zh-CN"/>
        </w:rPr>
        <w:t>采购内容</w:t>
      </w:r>
      <w:r>
        <w:rPr>
          <w:rFonts w:hint="eastAsia" w:ascii="宋体" w:hAnsi="宋体" w:eastAsia="宋体" w:cs="宋体"/>
          <w:color w:val="auto"/>
          <w:sz w:val="24"/>
        </w:rPr>
        <w:t>：</w:t>
      </w:r>
      <w:r>
        <w:rPr>
          <w:rFonts w:hint="eastAsia" w:ascii="宋体" w:hAnsi="宋体" w:eastAsia="宋体" w:cs="宋体"/>
          <w:color w:val="auto"/>
          <w:sz w:val="24"/>
          <w:u w:val="single"/>
          <w:lang w:eastAsia="zh-CN"/>
        </w:rPr>
        <w:t>本项目为</w:t>
      </w:r>
      <w:r>
        <w:rPr>
          <w:rFonts w:hint="eastAsia" w:ascii="宋体" w:hAnsi="宋体" w:cs="宋体"/>
          <w:color w:val="auto"/>
          <w:sz w:val="24"/>
          <w:u w:val="single"/>
          <w:lang w:eastAsia="zh-CN"/>
        </w:rPr>
        <w:t>邹城市钢山街道办事处崇义家园热力水处理设备采购项目</w:t>
      </w:r>
      <w:r>
        <w:rPr>
          <w:rFonts w:hint="eastAsia" w:ascii="宋体" w:hAnsi="宋体" w:eastAsia="宋体" w:cs="宋体"/>
          <w:color w:val="auto"/>
          <w:sz w:val="24"/>
        </w:rPr>
        <w:t>。</w:t>
      </w:r>
    </w:p>
    <w:p w14:paraId="62B8206A">
      <w:pPr>
        <w:spacing w:line="480" w:lineRule="exact"/>
        <w:ind w:firstLine="480" w:firstLineChars="200"/>
        <w:textAlignment w:val="baseline"/>
        <w:rPr>
          <w:rFonts w:hint="default" w:ascii="宋体" w:hAnsi="宋体" w:eastAsia="宋体" w:cs="宋体"/>
          <w:color w:val="auto"/>
          <w:sz w:val="24"/>
          <w:szCs w:val="24"/>
          <w:highlight w:val="yellow"/>
          <w:u w:val="single"/>
          <w:lang w:val="en-US" w:eastAsia="zh-CN"/>
        </w:rPr>
      </w:pPr>
      <w:r>
        <w:rPr>
          <w:rFonts w:hint="eastAsia" w:ascii="宋体" w:hAnsi="宋体" w:eastAsia="宋体" w:cs="宋体"/>
          <w:color w:val="auto"/>
          <w:sz w:val="24"/>
        </w:rPr>
        <w:t>1.3</w:t>
      </w:r>
      <w:r>
        <w:rPr>
          <w:rFonts w:hint="eastAsia" w:ascii="宋体" w:hAnsi="宋体" w:cs="宋体"/>
          <w:color w:val="auto"/>
          <w:sz w:val="24"/>
          <w:lang w:eastAsia="zh-CN"/>
        </w:rPr>
        <w:t>供货期</w:t>
      </w:r>
      <w:r>
        <w:rPr>
          <w:rFonts w:hint="eastAsia" w:ascii="宋体" w:hAnsi="宋体" w:eastAsia="宋体" w:cs="宋体"/>
          <w:color w:val="auto"/>
          <w:sz w:val="24"/>
        </w:rPr>
        <w:t>：</w:t>
      </w:r>
      <w:r>
        <w:rPr>
          <w:rFonts w:hint="eastAsia" w:ascii="宋体" w:hAnsi="宋体" w:cs="宋体"/>
          <w:color w:val="auto"/>
          <w:sz w:val="24"/>
          <w:highlight w:val="none"/>
          <w:u w:val="single"/>
          <w:lang w:val="en-US" w:eastAsia="zh-CN"/>
        </w:rPr>
        <w:t xml:space="preserve">      </w:t>
      </w:r>
    </w:p>
    <w:p w14:paraId="29D071CC">
      <w:pPr>
        <w:spacing w:line="360" w:lineRule="auto"/>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1.4本</w:t>
      </w:r>
      <w:r>
        <w:rPr>
          <w:rFonts w:hint="eastAsia" w:ascii="宋体" w:hAnsi="宋体" w:cs="宋体"/>
          <w:color w:val="auto"/>
          <w:sz w:val="24"/>
          <w:lang w:eastAsia="zh-CN"/>
        </w:rPr>
        <w:t>项目</w:t>
      </w:r>
      <w:r>
        <w:rPr>
          <w:rFonts w:hint="eastAsia" w:ascii="宋体" w:hAnsi="宋体" w:eastAsia="宋体" w:cs="宋体"/>
          <w:b/>
          <w:bCs/>
          <w:color w:val="auto"/>
          <w:sz w:val="24"/>
        </w:rPr>
        <w:t>暂定合同含税价为：</w:t>
      </w:r>
      <w:r>
        <w:rPr>
          <w:rFonts w:hint="eastAsia" w:ascii="宋体" w:hAnsi="宋体" w:eastAsia="宋体" w:cs="宋体"/>
          <w:b/>
          <w:bCs/>
          <w:color w:val="auto"/>
          <w:sz w:val="24"/>
          <w:u w:val="single"/>
        </w:rPr>
        <w:t>￥</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元(大写:</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)。固定含税全费用综合单价详见附件1：综合单价明细表</w:t>
      </w:r>
      <w:r>
        <w:rPr>
          <w:rFonts w:hint="eastAsia" w:ascii="宋体" w:hAnsi="宋体" w:eastAsia="宋体" w:cs="宋体"/>
          <w:color w:val="auto"/>
          <w:sz w:val="24"/>
          <w:u w:val="single"/>
        </w:rPr>
        <w:t>。</w:t>
      </w:r>
    </w:p>
    <w:p w14:paraId="14CCE0F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 固定含税全费用综合单价</w:t>
      </w:r>
      <w:r>
        <w:rPr>
          <w:rFonts w:hint="eastAsia" w:ascii="宋体" w:hAnsi="宋体" w:cs="黑体"/>
          <w:b/>
          <w:bCs/>
          <w:color w:val="auto"/>
          <w:kern w:val="0"/>
          <w:sz w:val="24"/>
        </w:rPr>
        <w:t>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color w:val="auto"/>
          <w:sz w:val="24"/>
        </w:rPr>
        <w:t>。</w:t>
      </w:r>
    </w:p>
    <w:p w14:paraId="7A03905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金额为(大写)</w:t>
      </w:r>
      <w:r>
        <w:rPr>
          <w:rFonts w:hint="eastAsia" w:ascii="宋体" w:hAnsi="宋体" w:cs="宋体"/>
          <w:b/>
          <w:bCs/>
          <w:color w:val="auto"/>
          <w:szCs w:val="21"/>
          <w:u w:val="single"/>
        </w:rPr>
        <w:t xml:space="preserve">          </w:t>
      </w:r>
      <w:r>
        <w:rPr>
          <w:rFonts w:hint="eastAsia" w:ascii="宋体" w:hAnsi="宋体" w:cs="宋体"/>
          <w:b/>
          <w:bCs/>
          <w:color w:val="auto"/>
          <w:szCs w:val="21"/>
        </w:rPr>
        <w:t>（小写）</w:t>
      </w:r>
      <w:r>
        <w:rPr>
          <w:rFonts w:hint="eastAsia" w:ascii="宋体" w:hAnsi="宋体" w:cs="宋体"/>
          <w:b/>
          <w:bCs/>
          <w:color w:val="auto"/>
          <w:szCs w:val="21"/>
          <w:u w:val="single"/>
        </w:rPr>
        <w:t xml:space="preserve">         </w:t>
      </w:r>
      <w:r>
        <w:rPr>
          <w:rFonts w:hint="eastAsia" w:ascii="宋体" w:hAnsi="宋体" w:cs="宋体"/>
          <w:b/>
          <w:bCs/>
          <w:color w:val="auto"/>
          <w:szCs w:val="21"/>
        </w:rPr>
        <w:t>。 (以上价款以人民币进行结算)</w:t>
      </w:r>
    </w:p>
    <w:tbl>
      <w:tblPr>
        <w:tblStyle w:val="36"/>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gridCol w:w="1706"/>
      </w:tblGrid>
      <w:tr w14:paraId="0F15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1FA7AE8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b/>
                <w:bCs/>
                <w:i w:val="0"/>
                <w:iCs w:val="0"/>
                <w:color w:val="auto"/>
                <w:kern w:val="0"/>
                <w:sz w:val="21"/>
                <w:szCs w:val="21"/>
                <w:u w:val="none"/>
                <w:lang w:val="en-US" w:eastAsia="zh-CN" w:bidi="ar"/>
              </w:rPr>
              <w:t>序号</w:t>
            </w:r>
          </w:p>
        </w:tc>
        <w:tc>
          <w:tcPr>
            <w:tcW w:w="1705" w:type="dxa"/>
            <w:noWrap w:val="0"/>
            <w:vAlign w:val="center"/>
          </w:tcPr>
          <w:p w14:paraId="0C4B192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b/>
                <w:bCs/>
                <w:i w:val="0"/>
                <w:iCs w:val="0"/>
                <w:color w:val="auto"/>
                <w:kern w:val="0"/>
                <w:sz w:val="21"/>
                <w:szCs w:val="21"/>
                <w:u w:val="none"/>
                <w:lang w:val="en-US" w:eastAsia="zh-CN" w:bidi="ar"/>
              </w:rPr>
              <w:t>名称</w:t>
            </w:r>
          </w:p>
        </w:tc>
        <w:tc>
          <w:tcPr>
            <w:tcW w:w="1706" w:type="dxa"/>
            <w:noWrap w:val="0"/>
            <w:vAlign w:val="center"/>
          </w:tcPr>
          <w:p w14:paraId="7FD14DF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b/>
                <w:bCs/>
                <w:i w:val="0"/>
                <w:iCs w:val="0"/>
                <w:color w:val="auto"/>
                <w:kern w:val="0"/>
                <w:sz w:val="21"/>
                <w:szCs w:val="21"/>
                <w:u w:val="none"/>
                <w:lang w:val="en-US" w:eastAsia="zh-CN" w:bidi="ar"/>
              </w:rPr>
              <w:t>单位</w:t>
            </w:r>
          </w:p>
        </w:tc>
        <w:tc>
          <w:tcPr>
            <w:tcW w:w="1706" w:type="dxa"/>
            <w:noWrap w:val="0"/>
            <w:vAlign w:val="center"/>
          </w:tcPr>
          <w:p w14:paraId="21D8283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b/>
                <w:bCs/>
                <w:i w:val="0"/>
                <w:iCs w:val="0"/>
                <w:color w:val="auto"/>
                <w:kern w:val="0"/>
                <w:sz w:val="21"/>
                <w:szCs w:val="21"/>
                <w:u w:val="none"/>
                <w:lang w:val="en-US" w:eastAsia="zh-CN" w:bidi="ar"/>
              </w:rPr>
              <w:t>数量</w:t>
            </w:r>
          </w:p>
        </w:tc>
        <w:tc>
          <w:tcPr>
            <w:tcW w:w="1706" w:type="dxa"/>
            <w:noWrap w:val="0"/>
            <w:vAlign w:val="center"/>
          </w:tcPr>
          <w:p w14:paraId="41D026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val="en-US" w:eastAsia="zh-CN"/>
              </w:rPr>
            </w:pPr>
            <w:r>
              <w:rPr>
                <w:rFonts w:hint="eastAsia" w:ascii="宋体" w:hAnsi="宋体" w:cs="宋体"/>
                <w:b/>
                <w:bCs/>
                <w:color w:val="auto"/>
                <w:szCs w:val="21"/>
                <w:lang w:val="en-US" w:eastAsia="zh-CN"/>
              </w:rPr>
              <w:t>单价</w:t>
            </w:r>
          </w:p>
        </w:tc>
        <w:tc>
          <w:tcPr>
            <w:tcW w:w="1706" w:type="dxa"/>
            <w:noWrap w:val="0"/>
            <w:vAlign w:val="center"/>
          </w:tcPr>
          <w:p w14:paraId="419A90EF">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r>
              <w:rPr>
                <w:rFonts w:hint="eastAsia" w:ascii="宋体" w:hAnsi="宋体" w:cs="宋体"/>
                <w:b/>
                <w:bCs/>
                <w:color w:val="auto"/>
                <w:szCs w:val="21"/>
              </w:rPr>
              <w:t>总价</w:t>
            </w:r>
          </w:p>
        </w:tc>
      </w:tr>
      <w:tr w14:paraId="7F5C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top"/>
          </w:tcPr>
          <w:p w14:paraId="4E20845F">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705" w:type="dxa"/>
            <w:noWrap w:val="0"/>
            <w:vAlign w:val="top"/>
          </w:tcPr>
          <w:p w14:paraId="3D93534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p>
        </w:tc>
        <w:tc>
          <w:tcPr>
            <w:tcW w:w="1706" w:type="dxa"/>
            <w:noWrap w:val="0"/>
            <w:vAlign w:val="top"/>
          </w:tcPr>
          <w:p w14:paraId="611D020A">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706" w:type="dxa"/>
            <w:noWrap w:val="0"/>
            <w:vAlign w:val="top"/>
          </w:tcPr>
          <w:p w14:paraId="45DA5D6F">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706" w:type="dxa"/>
            <w:noWrap w:val="0"/>
            <w:vAlign w:val="top"/>
          </w:tcPr>
          <w:p w14:paraId="2227623D">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706" w:type="dxa"/>
            <w:noWrap w:val="0"/>
            <w:vAlign w:val="top"/>
          </w:tcPr>
          <w:p w14:paraId="3D922A73">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r>
    </w:tbl>
    <w:p w14:paraId="537BDC1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三、质量要求及供货方对质量负责条件和期限：（招标需求中的内容）</w:t>
      </w:r>
    </w:p>
    <w:p w14:paraId="13C048E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本项目</w:t>
      </w:r>
      <w:r>
        <w:rPr>
          <w:rFonts w:hint="eastAsia" w:ascii="宋体" w:hAnsi="宋体" w:eastAsia="宋体" w:cs="宋体"/>
          <w:color w:val="auto"/>
          <w:sz w:val="24"/>
          <w:highlight w:val="none"/>
          <w:lang w:val="en-US" w:eastAsia="zh-CN"/>
        </w:rPr>
        <w:t>免费质保期</w:t>
      </w:r>
      <w:r>
        <w:rPr>
          <w:rFonts w:hint="eastAsia" w:ascii="宋体" w:hAnsi="宋体" w:cs="宋体"/>
          <w:color w:val="auto"/>
          <w:sz w:val="24"/>
          <w:highlight w:val="none"/>
          <w:lang w:val="en-US" w:eastAsia="zh-CN"/>
        </w:rPr>
        <w:t>1年</w:t>
      </w:r>
      <w:r>
        <w:rPr>
          <w:rFonts w:hint="eastAsia" w:ascii="宋体" w:hAnsi="宋体" w:eastAsia="宋体" w:cs="宋体"/>
          <w:color w:val="auto"/>
          <w:sz w:val="24"/>
          <w:lang w:val="en-US" w:eastAsia="zh-CN"/>
        </w:rPr>
        <w:t>。</w:t>
      </w:r>
      <w:r>
        <w:rPr>
          <w:rFonts w:hint="eastAsia" w:ascii="宋体" w:hAnsi="宋体" w:eastAsia="宋体" w:cs="宋体"/>
          <w:color w:val="auto"/>
          <w:sz w:val="24"/>
        </w:rPr>
        <w:t>供货方提供的货物必须是现货、全新，符合采购要求的规格型号和技术指标。在免费质保期内非因采购人的人为原因而出现质量问题的，由供货方负责包换或者包退，并承担调换或退货的实际费用。</w:t>
      </w:r>
    </w:p>
    <w:p w14:paraId="51E4CF3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sz w:val="24"/>
          <w:lang w:eastAsia="zh-CN"/>
        </w:rPr>
        <w:t>所报</w:t>
      </w:r>
      <w:r>
        <w:rPr>
          <w:rFonts w:hint="eastAsia" w:ascii="宋体" w:hAnsi="宋体" w:eastAsia="宋体" w:cs="宋体"/>
          <w:color w:val="auto"/>
          <w:sz w:val="24"/>
        </w:rPr>
        <w:t>免费质保期为</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年</w:t>
      </w:r>
      <w:r>
        <w:rPr>
          <w:rFonts w:hint="eastAsia" w:ascii="宋体" w:hAnsi="宋体" w:eastAsia="宋体" w:cs="宋体"/>
          <w:color w:val="auto"/>
          <w:sz w:val="24"/>
        </w:rPr>
        <w:t>。</w:t>
      </w:r>
    </w:p>
    <w:p w14:paraId="5A062B8F">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、供货期间的地方关系、安全问题及相关部门的协调由成交单位自行处理。承包人必须全面承担与有关管理部门和地方及社会关系的协调，不得因协调不力影响</w:t>
      </w:r>
      <w:r>
        <w:rPr>
          <w:rFonts w:hint="eastAsia" w:ascii="宋体" w:hAnsi="宋体" w:eastAsia="宋体" w:cs="宋体"/>
          <w:color w:val="auto"/>
          <w:sz w:val="24"/>
          <w:lang w:eastAsia="zh-CN"/>
        </w:rPr>
        <w:t>项目</w:t>
      </w:r>
      <w:r>
        <w:rPr>
          <w:rFonts w:hint="eastAsia" w:ascii="宋体" w:hAnsi="宋体" w:eastAsia="宋体" w:cs="宋体"/>
          <w:color w:val="auto"/>
          <w:sz w:val="24"/>
        </w:rPr>
        <w:t>并承担其发生的一切费用，承包人</w:t>
      </w:r>
      <w:r>
        <w:rPr>
          <w:rFonts w:hint="eastAsia" w:ascii="宋体" w:hAnsi="宋体" w:eastAsia="宋体" w:cs="宋体"/>
          <w:color w:val="auto"/>
          <w:sz w:val="24"/>
          <w:lang w:eastAsia="zh-CN"/>
        </w:rPr>
        <w:t>在供货安装</w:t>
      </w:r>
      <w:r>
        <w:rPr>
          <w:rFonts w:hint="eastAsia" w:ascii="宋体" w:hAnsi="宋体" w:eastAsia="宋体" w:cs="宋体"/>
          <w:color w:val="auto"/>
          <w:sz w:val="24"/>
        </w:rPr>
        <w:t>期间出现质量事故安全事故责任费用均由承包人自行承担，如给甲方造成损失需照价赔偿</w:t>
      </w:r>
      <w:r>
        <w:rPr>
          <w:rFonts w:hint="eastAsia" w:ascii="宋体" w:hAnsi="宋体" w:eastAsia="宋体" w:cs="宋体"/>
          <w:color w:val="auto"/>
          <w:sz w:val="24"/>
          <w:lang w:eastAsia="zh-CN"/>
        </w:rPr>
        <w:t>。</w:t>
      </w:r>
    </w:p>
    <w:p w14:paraId="3F1D392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四、</w:t>
      </w:r>
      <w:r>
        <w:rPr>
          <w:rFonts w:hint="eastAsia" w:ascii="宋体" w:hAnsi="宋体" w:eastAsia="宋体" w:cs="宋体"/>
          <w:color w:val="auto"/>
          <w:sz w:val="24"/>
          <w:lang w:eastAsia="zh-CN"/>
        </w:rPr>
        <w:t>供货期</w:t>
      </w:r>
      <w:r>
        <w:rPr>
          <w:rFonts w:hint="eastAsia" w:ascii="宋体" w:hAnsi="宋体" w:eastAsia="宋体" w:cs="宋体"/>
          <w:color w:val="auto"/>
          <w:sz w:val="24"/>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6BDA40A">
      <w:pPr>
        <w:spacing w:line="52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、货款支付:</w:t>
      </w:r>
      <w:r>
        <w:rPr>
          <w:rFonts w:hint="eastAsia" w:ascii="宋体" w:hAnsi="宋体" w:eastAsia="宋体" w:cs="宋体"/>
          <w:color w:val="auto"/>
          <w:sz w:val="24"/>
          <w:highlight w:val="none"/>
          <w:lang w:val="en-US" w:eastAsia="zh-CN"/>
        </w:rPr>
        <w:t xml:space="preserve"> </w:t>
      </w:r>
      <w:r>
        <w:rPr>
          <w:rFonts w:hint="eastAsia" w:ascii="宋体" w:hAnsi="宋体" w:cs="宋体"/>
          <w:bCs/>
          <w:color w:val="auto"/>
          <w:sz w:val="24"/>
          <w:highlight w:val="none"/>
          <w:lang w:val="en-US" w:eastAsia="zh-CN"/>
        </w:rPr>
        <w:t>双方签订采购合同后，甲方支付合同价款的30%为预付款，设备运至甲方指定地点后付至合同价款的80%，设备安装完成并经</w:t>
      </w:r>
      <w:r>
        <w:rPr>
          <w:rFonts w:hint="eastAsia" w:ascii="宋体" w:hAnsi="宋体"/>
          <w:color w:val="auto"/>
          <w:sz w:val="24"/>
          <w:highlight w:val="none"/>
          <w:lang w:val="en-US" w:eastAsia="zh-CN"/>
        </w:rPr>
        <w:t>华电邹城热力有限公司验收合格后付至合同价款的95%，剩余5%为质保金，质保期满后一次性付清。</w:t>
      </w:r>
      <w:r>
        <w:rPr>
          <w:rFonts w:hint="eastAsia" w:ascii="宋体" w:hAnsi="宋体" w:eastAsia="宋体" w:cs="宋体"/>
          <w:color w:val="auto"/>
          <w:sz w:val="24"/>
          <w:lang w:val="en-US" w:eastAsia="zh-CN"/>
        </w:rPr>
        <w:t xml:space="preserve">     </w:t>
      </w:r>
    </w:p>
    <w:p w14:paraId="599111E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违约责任:</w:t>
      </w:r>
    </w:p>
    <w:p w14:paraId="3257CA6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1、供货方逾期履行合同的，自逾期之日起，向采购人每日偿付合同总价款5‰的违约金；供货方逾期5日不能交货的，向采购人支付合同总价的5%的违约金，且采购人可以单方面提出终止合同。</w:t>
      </w:r>
    </w:p>
    <w:p w14:paraId="65627FF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、供货方在服务项目验收合格之日起保修期内违反本合同有关承诺保证的，供货商应补足采购人损失差额。</w:t>
      </w:r>
    </w:p>
    <w:p w14:paraId="332DB34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、如发现供货方违反</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文件和合同的有关规定，采购人有权追究供货方违约责任，并有权终止合同。</w:t>
      </w:r>
    </w:p>
    <w:p w14:paraId="44093A0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、调试和验收:</w:t>
      </w:r>
    </w:p>
    <w:p w14:paraId="061186B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成交供应商免费负责安装及调试。采购人或其委托的质检部门负责验收（费用由成交供应商承担）。</w:t>
      </w:r>
    </w:p>
    <w:p w14:paraId="7164125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、争议的解决:</w:t>
      </w:r>
    </w:p>
    <w:p w14:paraId="7CFF48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因服务质量和售后服务等发生的争议，应首先通过协商解决，如协商不成，依法提请仲裁或诉讼。</w:t>
      </w:r>
    </w:p>
    <w:p w14:paraId="6276852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九</w:t>
      </w:r>
      <w:r>
        <w:rPr>
          <w:rFonts w:hint="eastAsia" w:ascii="宋体" w:hAnsi="宋体" w:eastAsia="宋体" w:cs="宋体"/>
          <w:color w:val="auto"/>
          <w:sz w:val="24"/>
        </w:rPr>
        <w:t>、其他:</w:t>
      </w:r>
    </w:p>
    <w:p w14:paraId="54A964E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1、本合同经招标人、供货方法定代表人或其委托人签字并加盖公章后生效。</w:t>
      </w:r>
    </w:p>
    <w:p w14:paraId="612CDD7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2、本合同一式     份，采购人、供货方各执    份，</w:t>
      </w:r>
      <w:r>
        <w:rPr>
          <w:rFonts w:hint="eastAsia" w:ascii="宋体" w:hAnsi="宋体" w:eastAsia="宋体" w:cs="宋体"/>
          <w:color w:val="auto"/>
          <w:sz w:val="24"/>
          <w:lang w:eastAsia="zh-CN"/>
        </w:rPr>
        <w:t>邹城市凫山街道</w:t>
      </w:r>
      <w:r>
        <w:rPr>
          <w:rFonts w:hint="eastAsia" w:ascii="宋体" w:hAnsi="宋体" w:eastAsia="宋体" w:cs="宋体"/>
          <w:color w:val="auto"/>
          <w:sz w:val="24"/>
        </w:rPr>
        <w:t>公共资源交易中心一份。</w:t>
      </w:r>
    </w:p>
    <w:p w14:paraId="25758BBA">
      <w:pPr>
        <w:spacing w:line="520" w:lineRule="exact"/>
        <w:ind w:firstLine="480" w:firstLineChars="200"/>
        <w:rPr>
          <w:rFonts w:hint="eastAsia" w:ascii="宋体" w:hAnsi="宋体" w:eastAsia="宋体" w:cs="宋体"/>
          <w:color w:val="auto"/>
          <w:sz w:val="24"/>
        </w:rPr>
      </w:pPr>
    </w:p>
    <w:p w14:paraId="22A8FB8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采购人（章）：               供货方（章）：         </w:t>
      </w:r>
    </w:p>
    <w:p w14:paraId="2CEF169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地址：                       地址：　　　　　　　　       </w:t>
      </w:r>
    </w:p>
    <w:p w14:paraId="04B7EC6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          　　 法定代表人：  </w:t>
      </w:r>
    </w:p>
    <w:p w14:paraId="2845A89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                 委托代理人：      　　　　　　　　　</w:t>
      </w:r>
    </w:p>
    <w:p w14:paraId="7C6401C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6200E52F">
      <w:pPr>
        <w:spacing w:line="520" w:lineRule="exact"/>
        <w:ind w:firstLine="480" w:firstLineChars="200"/>
        <w:rPr>
          <w:rFonts w:hint="eastAsia" w:ascii="宋体" w:hAnsi="宋体" w:eastAsia="宋体" w:cs="宋体"/>
          <w:color w:val="auto"/>
          <w:sz w:val="24"/>
        </w:rPr>
      </w:pPr>
    </w:p>
    <w:p w14:paraId="2998DFD4">
      <w:pPr>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46" w:name="_Toc11659842"/>
      <w:bookmarkStart w:id="47" w:name="_Toc25753_WPSOffice_Level1"/>
      <w:bookmarkStart w:id="48" w:name="_Toc5876"/>
      <w:r>
        <w:rPr>
          <w:rFonts w:ascii="宋体" w:hAnsi="宋体" w:cs="宋体"/>
          <w:b/>
          <w:color w:val="auto"/>
          <w:sz w:val="24"/>
          <w:highlight w:val="none"/>
        </w:rPr>
        <w:t>第六部分  响应文件部分格式</w:t>
      </w:r>
      <w:bookmarkEnd w:id="46"/>
      <w:bookmarkEnd w:id="47"/>
      <w:bookmarkEnd w:id="48"/>
    </w:p>
    <w:p w14:paraId="0D144A0B">
      <w:pPr>
        <w:spacing w:line="560" w:lineRule="exact"/>
        <w:jc w:val="center"/>
        <w:rPr>
          <w:rFonts w:ascii="宋体" w:hAnsi="宋体" w:cs="宋体"/>
          <w:b/>
          <w:color w:val="auto"/>
          <w:sz w:val="36"/>
          <w:szCs w:val="36"/>
          <w:highlight w:val="none"/>
        </w:rPr>
      </w:pPr>
      <w:bookmarkStart w:id="49" w:name="_Toc19010_WPSOffice_Level1"/>
      <w:r>
        <w:rPr>
          <w:rFonts w:hint="eastAsia" w:ascii="宋体" w:hAnsi="宋体" w:cs="宋体"/>
          <w:b/>
          <w:color w:val="auto"/>
          <w:sz w:val="36"/>
          <w:szCs w:val="36"/>
          <w:highlight w:val="none"/>
          <w:lang w:eastAsia="zh-CN"/>
        </w:rPr>
        <w:t>邹城市钢山街道办事处崇义家园热力水处理设备采购项目</w:t>
      </w:r>
      <w:r>
        <w:rPr>
          <w:rFonts w:ascii="宋体" w:hAnsi="宋体" w:cs="宋体"/>
          <w:b/>
          <w:color w:val="auto"/>
          <w:sz w:val="36"/>
          <w:szCs w:val="36"/>
          <w:highlight w:val="none"/>
        </w:rPr>
        <w:t>竞争性磋商</w:t>
      </w:r>
      <w:bookmarkEnd w:id="49"/>
    </w:p>
    <w:p w14:paraId="4F3EB03A">
      <w:pPr>
        <w:pStyle w:val="71"/>
        <w:spacing w:before="73" w:line="560" w:lineRule="exact"/>
        <w:ind w:left="306" w:hanging="306"/>
        <w:rPr>
          <w:rFonts w:cs="宋体"/>
          <w:color w:val="auto"/>
          <w:sz w:val="36"/>
          <w:szCs w:val="36"/>
          <w:highlight w:val="none"/>
        </w:rPr>
      </w:pPr>
    </w:p>
    <w:p w14:paraId="7E15C329">
      <w:pPr>
        <w:pStyle w:val="71"/>
        <w:spacing w:before="73" w:line="560" w:lineRule="exact"/>
        <w:ind w:left="306" w:hanging="306"/>
        <w:rPr>
          <w:rFonts w:cs="宋体"/>
          <w:color w:val="auto"/>
          <w:sz w:val="36"/>
          <w:szCs w:val="36"/>
          <w:highlight w:val="none"/>
        </w:rPr>
      </w:pPr>
    </w:p>
    <w:p w14:paraId="0E6BEDE0">
      <w:pPr>
        <w:spacing w:before="438" w:beforeLines="150" w:line="560" w:lineRule="exact"/>
        <w:jc w:val="center"/>
        <w:rPr>
          <w:rFonts w:ascii="宋体" w:hAnsi="宋体" w:cs="宋体"/>
          <w:color w:val="auto"/>
          <w:sz w:val="36"/>
          <w:szCs w:val="36"/>
          <w:highlight w:val="none"/>
        </w:rPr>
      </w:pPr>
      <w:bookmarkStart w:id="50" w:name="_Toc30077_WPSOffice_Level1"/>
      <w:r>
        <w:rPr>
          <w:rFonts w:ascii="宋体" w:hAnsi="宋体" w:cs="宋体"/>
          <w:b/>
          <w:bCs/>
          <w:color w:val="auto"/>
          <w:sz w:val="72"/>
          <w:szCs w:val="72"/>
          <w:highlight w:val="none"/>
        </w:rPr>
        <w:t>响应文件</w:t>
      </w:r>
      <w:bookmarkEnd w:id="50"/>
    </w:p>
    <w:p w14:paraId="3AABF6B8">
      <w:pPr>
        <w:spacing w:line="560" w:lineRule="exact"/>
        <w:jc w:val="center"/>
        <w:rPr>
          <w:rFonts w:ascii="宋体" w:hAnsi="宋体" w:cs="宋体"/>
          <w:color w:val="auto"/>
          <w:sz w:val="36"/>
          <w:szCs w:val="36"/>
          <w:highlight w:val="none"/>
        </w:rPr>
      </w:pPr>
    </w:p>
    <w:p w14:paraId="6A62331E">
      <w:pPr>
        <w:spacing w:line="560" w:lineRule="exact"/>
        <w:jc w:val="center"/>
        <w:rPr>
          <w:rFonts w:ascii="宋体" w:hAnsi="宋体" w:cs="宋体"/>
          <w:color w:val="auto"/>
          <w:sz w:val="36"/>
          <w:szCs w:val="36"/>
          <w:highlight w:val="none"/>
        </w:rPr>
      </w:pPr>
      <w:bookmarkStart w:id="51" w:name="_Toc21468_WPSOffice_Level1"/>
      <w:r>
        <w:rPr>
          <w:rFonts w:ascii="宋体" w:hAnsi="宋体" w:cs="宋体"/>
          <w:color w:val="auto"/>
          <w:sz w:val="36"/>
          <w:szCs w:val="36"/>
          <w:highlight w:val="none"/>
        </w:rPr>
        <w:t>项目编号：</w:t>
      </w:r>
      <w:bookmarkEnd w:id="51"/>
    </w:p>
    <w:p w14:paraId="2F758FAA">
      <w:pPr>
        <w:spacing w:line="560" w:lineRule="exact"/>
        <w:jc w:val="center"/>
        <w:rPr>
          <w:rFonts w:ascii="宋体" w:hAnsi="宋体" w:cs="宋体"/>
          <w:color w:val="auto"/>
          <w:sz w:val="24"/>
          <w:highlight w:val="none"/>
        </w:rPr>
      </w:pPr>
    </w:p>
    <w:p w14:paraId="7C7BF2AE">
      <w:pPr>
        <w:spacing w:line="560" w:lineRule="exact"/>
        <w:rPr>
          <w:rFonts w:ascii="宋体" w:hAnsi="宋体" w:cs="宋体"/>
          <w:color w:val="auto"/>
          <w:sz w:val="24"/>
          <w:highlight w:val="none"/>
        </w:rPr>
      </w:pPr>
    </w:p>
    <w:p w14:paraId="53B76AD3">
      <w:pPr>
        <w:spacing w:line="560" w:lineRule="exact"/>
        <w:rPr>
          <w:rFonts w:ascii="宋体" w:hAnsi="宋体" w:cs="宋体"/>
          <w:color w:val="auto"/>
          <w:sz w:val="24"/>
          <w:highlight w:val="none"/>
        </w:rPr>
      </w:pPr>
    </w:p>
    <w:p w14:paraId="18DFAD3A">
      <w:pPr>
        <w:spacing w:line="560" w:lineRule="exact"/>
        <w:rPr>
          <w:rFonts w:ascii="宋体" w:hAnsi="宋体" w:cs="宋体"/>
          <w:color w:val="auto"/>
          <w:sz w:val="24"/>
          <w:highlight w:val="none"/>
        </w:rPr>
      </w:pPr>
    </w:p>
    <w:p w14:paraId="0971EBAA">
      <w:pPr>
        <w:spacing w:line="560" w:lineRule="exact"/>
        <w:rPr>
          <w:rFonts w:ascii="宋体" w:hAnsi="宋体" w:cs="宋体"/>
          <w:color w:val="auto"/>
          <w:sz w:val="24"/>
          <w:highlight w:val="none"/>
        </w:rPr>
      </w:pPr>
    </w:p>
    <w:p w14:paraId="6C10422A">
      <w:pPr>
        <w:spacing w:line="560" w:lineRule="exact"/>
        <w:rPr>
          <w:rFonts w:ascii="宋体" w:hAnsi="宋体" w:cs="宋体"/>
          <w:color w:val="auto"/>
          <w:sz w:val="24"/>
          <w:highlight w:val="none"/>
        </w:rPr>
      </w:pPr>
    </w:p>
    <w:p w14:paraId="692A1C44">
      <w:pPr>
        <w:spacing w:line="560" w:lineRule="exact"/>
        <w:rPr>
          <w:rFonts w:ascii="宋体" w:hAnsi="宋体" w:cs="宋体"/>
          <w:color w:val="auto"/>
          <w:sz w:val="24"/>
          <w:highlight w:val="none"/>
        </w:rPr>
      </w:pPr>
    </w:p>
    <w:p w14:paraId="4C4C7E74">
      <w:pPr>
        <w:pStyle w:val="8"/>
        <w:rPr>
          <w:color w:val="auto"/>
          <w:highlight w:val="none"/>
        </w:rPr>
      </w:pPr>
    </w:p>
    <w:p w14:paraId="76D3AE38">
      <w:pPr>
        <w:spacing w:line="560" w:lineRule="exact"/>
        <w:rPr>
          <w:rFonts w:ascii="宋体" w:hAnsi="宋体" w:cs="宋体"/>
          <w:color w:val="auto"/>
          <w:sz w:val="24"/>
          <w:highlight w:val="none"/>
        </w:rPr>
      </w:pPr>
    </w:p>
    <w:p w14:paraId="27513488">
      <w:pPr>
        <w:spacing w:line="560" w:lineRule="exact"/>
        <w:rPr>
          <w:rFonts w:ascii="宋体" w:hAnsi="宋体" w:cs="宋体"/>
          <w:color w:val="auto"/>
          <w:sz w:val="24"/>
          <w:highlight w:val="none"/>
        </w:rPr>
      </w:pPr>
    </w:p>
    <w:p w14:paraId="6D36DC2D">
      <w:pPr>
        <w:spacing w:line="560" w:lineRule="exact"/>
        <w:ind w:firstLine="1560" w:firstLineChars="650"/>
        <w:rPr>
          <w:rFonts w:ascii="宋体" w:hAnsi="宋体" w:cs="宋体"/>
          <w:color w:val="auto"/>
          <w:sz w:val="24"/>
          <w:highlight w:val="none"/>
          <w:u w:val="single"/>
        </w:rPr>
      </w:pPr>
      <w:r>
        <w:rPr>
          <w:rFonts w:ascii="宋体" w:hAnsi="宋体" w:cs="宋体"/>
          <w:color w:val="auto"/>
          <w:sz w:val="24"/>
          <w:highlight w:val="none"/>
        </w:rPr>
        <w:t>磋商</w:t>
      </w:r>
      <w:r>
        <w:rPr>
          <w:rFonts w:hint="eastAsia" w:ascii="宋体" w:hAnsi="宋体" w:cs="宋体"/>
          <w:color w:val="auto"/>
          <w:sz w:val="24"/>
          <w:highlight w:val="none"/>
          <w:lang w:eastAsia="zh-CN"/>
        </w:rPr>
        <w:t>供应商</w:t>
      </w:r>
      <w:r>
        <w:rPr>
          <w:rFonts w:ascii="宋体" w:hAnsi="宋体" w:cs="宋体"/>
          <w:color w:val="auto"/>
          <w:sz w:val="24"/>
          <w:highlight w:val="none"/>
        </w:rPr>
        <w:t>：</w:t>
      </w:r>
      <w:r>
        <w:rPr>
          <w:rFonts w:ascii="宋体" w:hAnsi="宋体" w:cs="宋体"/>
          <w:color w:val="auto"/>
          <w:sz w:val="24"/>
          <w:highlight w:val="none"/>
          <w:u w:val="single"/>
        </w:rPr>
        <w:t xml:space="preserve">                            （盖章）</w:t>
      </w:r>
    </w:p>
    <w:p w14:paraId="2DD467D6">
      <w:pPr>
        <w:spacing w:line="560" w:lineRule="exact"/>
        <w:ind w:firstLine="1600" w:firstLineChars="667"/>
        <w:rPr>
          <w:rFonts w:ascii="宋体" w:hAnsi="宋体" w:cs="宋体"/>
          <w:color w:val="auto"/>
          <w:sz w:val="24"/>
          <w:highlight w:val="none"/>
          <w:u w:val="single"/>
        </w:rPr>
      </w:pPr>
      <w:r>
        <w:rPr>
          <w:rFonts w:ascii="宋体" w:hAnsi="宋体" w:cs="宋体"/>
          <w:color w:val="auto"/>
          <w:sz w:val="24"/>
          <w:highlight w:val="none"/>
        </w:rPr>
        <w:t>法定代表人或其委托代理人：</w:t>
      </w:r>
      <w:r>
        <w:rPr>
          <w:rFonts w:ascii="宋体" w:hAnsi="宋体" w:cs="宋体"/>
          <w:color w:val="auto"/>
          <w:sz w:val="24"/>
          <w:highlight w:val="none"/>
          <w:u w:val="single"/>
        </w:rPr>
        <w:t xml:space="preserve">            （签字或盖章）</w:t>
      </w:r>
    </w:p>
    <w:p w14:paraId="130DD6C2">
      <w:pPr>
        <w:spacing w:line="560" w:lineRule="exact"/>
        <w:ind w:firstLine="1600" w:firstLineChars="667"/>
        <w:rPr>
          <w:rFonts w:ascii="宋体" w:hAnsi="宋体" w:cs="宋体"/>
          <w:b/>
          <w:color w:val="auto"/>
          <w:sz w:val="24"/>
          <w:highlight w:val="none"/>
        </w:rPr>
      </w:pPr>
      <w:r>
        <w:rPr>
          <w:rFonts w:ascii="宋体" w:hAnsi="宋体" w:cs="宋体"/>
          <w:color w:val="auto"/>
          <w:sz w:val="24"/>
          <w:highlight w:val="none"/>
        </w:rPr>
        <w:t>日    期：</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rPr>
        <w:t>日</w:t>
      </w:r>
    </w:p>
    <w:p w14:paraId="315CF52B">
      <w:pPr>
        <w:spacing w:line="480" w:lineRule="exact"/>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目    录</w:t>
      </w:r>
    </w:p>
    <w:p w14:paraId="0DDBBF0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bookmarkStart w:id="52" w:name="_Toc381880851"/>
      <w:r>
        <w:rPr>
          <w:rFonts w:ascii="宋体" w:hAnsi="宋体" w:cs="宋体"/>
          <w:color w:val="auto"/>
          <w:sz w:val="24"/>
          <w:highlight w:val="none"/>
        </w:rPr>
        <w:t>1、价格部分</w:t>
      </w:r>
    </w:p>
    <w:p w14:paraId="2A36CA5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142BCB7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3EEB6A0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2、技术部分</w:t>
      </w:r>
    </w:p>
    <w:p w14:paraId="11D6F24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2.1</w:t>
      </w:r>
      <w:r>
        <w:rPr>
          <w:rFonts w:hint="eastAsia" w:hAnsi="宋体" w:cs="宋体"/>
          <w:bCs/>
          <w:sz w:val="24"/>
          <w:lang w:val="en-US" w:eastAsia="zh-CN"/>
        </w:rPr>
        <w:t>总体方案</w:t>
      </w:r>
      <w:r>
        <w:rPr>
          <w:rFonts w:hint="eastAsia" w:ascii="宋体" w:hAnsi="宋体" w:cs="宋体"/>
          <w:color w:val="auto"/>
          <w:sz w:val="24"/>
          <w:highlight w:val="none"/>
        </w:rPr>
        <w:t>；</w:t>
      </w:r>
      <w:r>
        <w:rPr>
          <w:rFonts w:hint="eastAsia" w:hAnsi="宋体" w:cs="宋体"/>
          <w:bCs/>
          <w:sz w:val="24"/>
        </w:rPr>
        <w:t>货物综合性能</w:t>
      </w:r>
      <w:r>
        <w:rPr>
          <w:rFonts w:hint="eastAsia" w:ascii="宋体" w:hAnsi="宋体" w:cs="宋体"/>
          <w:color w:val="auto"/>
          <w:sz w:val="24"/>
          <w:highlight w:val="none"/>
        </w:rPr>
        <w:t>；</w:t>
      </w:r>
      <w:r>
        <w:rPr>
          <w:rFonts w:hint="eastAsia" w:hAnsi="宋体"/>
          <w:sz w:val="24"/>
        </w:rPr>
        <w:t>售后服务承诺</w:t>
      </w:r>
      <w:r>
        <w:rPr>
          <w:rFonts w:hint="eastAsia" w:hAnsi="宋体"/>
          <w:sz w:val="24"/>
          <w:lang w:eastAsia="zh-CN"/>
        </w:rPr>
        <w:t>；</w:t>
      </w:r>
      <w:r>
        <w:rPr>
          <w:rFonts w:hint="eastAsia" w:ascii="宋体" w:hAnsi="宋体" w:cs="宋体"/>
          <w:bCs/>
          <w:color w:val="000000"/>
          <w:sz w:val="24"/>
        </w:rPr>
        <w:t>供货方案</w:t>
      </w:r>
    </w:p>
    <w:p w14:paraId="0E6C33B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4E45687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3、商务部分</w:t>
      </w:r>
    </w:p>
    <w:p w14:paraId="2D330BF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lang w:eastAsia="zh-CN"/>
        </w:rPr>
        <w:t>供应商</w:t>
      </w:r>
      <w:r>
        <w:rPr>
          <w:rFonts w:ascii="宋体" w:hAnsi="宋体" w:cs="宋体"/>
          <w:color w:val="auto"/>
          <w:sz w:val="24"/>
          <w:highlight w:val="none"/>
        </w:rPr>
        <w:t>声明函</w:t>
      </w:r>
    </w:p>
    <w:p w14:paraId="7DC2495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3.2营业执照副本</w:t>
      </w:r>
    </w:p>
    <w:p w14:paraId="7E89EE0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法定代表人身份证明及授权委托书</w:t>
      </w:r>
    </w:p>
    <w:p w14:paraId="1BC5A96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3.4 缴纳税收和社会保障资金等证明告知承诺书</w:t>
      </w:r>
    </w:p>
    <w:p w14:paraId="5D73C1C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供应商具有履行合同所必需的设备和专业技术能力承诺书</w:t>
      </w:r>
    </w:p>
    <w:p w14:paraId="657EE70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商务得分一览表</w:t>
      </w:r>
    </w:p>
    <w:p w14:paraId="1426126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3.7</w:t>
      </w:r>
      <w:r>
        <w:rPr>
          <w:rFonts w:ascii="宋体" w:hAnsi="宋体" w:cs="宋体"/>
          <w:color w:val="auto"/>
          <w:sz w:val="24"/>
          <w:highlight w:val="none"/>
        </w:rPr>
        <w:t>采购人要求</w:t>
      </w:r>
      <w:r>
        <w:rPr>
          <w:rFonts w:hint="eastAsia" w:ascii="宋体" w:hAnsi="宋体" w:cs="宋体"/>
          <w:color w:val="auto"/>
          <w:sz w:val="24"/>
          <w:highlight w:val="none"/>
          <w:lang w:eastAsia="zh-CN"/>
        </w:rPr>
        <w:t>供应商</w:t>
      </w:r>
      <w:r>
        <w:rPr>
          <w:rFonts w:ascii="宋体" w:hAnsi="宋体" w:cs="宋体"/>
          <w:color w:val="auto"/>
          <w:sz w:val="24"/>
          <w:highlight w:val="none"/>
        </w:rPr>
        <w:t>递交的其他资格审查材料</w:t>
      </w:r>
    </w:p>
    <w:p w14:paraId="50167CF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4、其他部分</w:t>
      </w:r>
    </w:p>
    <w:p w14:paraId="7FC02E0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认为需要提供的其他材料</w:t>
      </w:r>
    </w:p>
    <w:p w14:paraId="09645455">
      <w:pPr>
        <w:tabs>
          <w:tab w:val="left" w:pos="315"/>
        </w:tabs>
        <w:spacing w:line="480" w:lineRule="exact"/>
        <w:ind w:firstLine="480" w:firstLineChars="200"/>
        <w:rPr>
          <w:rFonts w:ascii="宋体" w:hAnsi="宋体" w:cs="宋体"/>
          <w:color w:val="auto"/>
          <w:sz w:val="24"/>
          <w:highlight w:val="none"/>
        </w:rPr>
      </w:pPr>
    </w:p>
    <w:bookmarkEnd w:id="52"/>
    <w:p w14:paraId="61C102AE">
      <w:pPr>
        <w:spacing w:line="560" w:lineRule="exact"/>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一、价格部分</w:t>
      </w:r>
    </w:p>
    <w:p w14:paraId="5C722E66">
      <w:pPr>
        <w:spacing w:line="560" w:lineRule="exact"/>
        <w:ind w:firstLine="480" w:firstLineChars="200"/>
        <w:rPr>
          <w:rFonts w:hint="eastAsia" w:ascii="宋体" w:hAnsi="宋体" w:eastAsia="宋体" w:cs="宋体"/>
          <w:b/>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3EF83A90">
      <w:pPr>
        <w:spacing w:line="560" w:lineRule="exact"/>
        <w:ind w:left="206" w:right="555"/>
        <w:jc w:val="center"/>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初次报价一览表</w:t>
      </w:r>
    </w:p>
    <w:p w14:paraId="06153738">
      <w:pPr>
        <w:spacing w:line="560" w:lineRule="exact"/>
        <w:ind w:left="206" w:right="555"/>
        <w:jc w:val="right"/>
        <w:rPr>
          <w:rFonts w:ascii="宋体" w:hAnsi="宋体" w:cs="宋体"/>
          <w:color w:val="auto"/>
          <w:sz w:val="24"/>
          <w:highlight w:val="none"/>
        </w:rPr>
      </w:pPr>
      <w:r>
        <w:rPr>
          <w:rFonts w:ascii="宋体" w:hAnsi="宋体" w:cs="宋体"/>
          <w:color w:val="auto"/>
          <w:sz w:val="24"/>
          <w:highlight w:val="none"/>
        </w:rPr>
        <w:t>货币单位：元</w:t>
      </w:r>
    </w:p>
    <w:tbl>
      <w:tblPr>
        <w:tblStyle w:val="3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14:paraId="460E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905" w:type="dxa"/>
            <w:noWrap w:val="0"/>
            <w:vAlign w:val="center"/>
          </w:tcPr>
          <w:p w14:paraId="4125F974">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（名称及盖章）</w:t>
            </w:r>
          </w:p>
        </w:tc>
        <w:tc>
          <w:tcPr>
            <w:tcW w:w="6950" w:type="dxa"/>
            <w:noWrap w:val="0"/>
            <w:vAlign w:val="center"/>
          </w:tcPr>
          <w:p w14:paraId="4BCB51FF">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p>
        </w:tc>
      </w:tr>
      <w:tr w14:paraId="65E6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905" w:type="dxa"/>
            <w:noWrap w:val="0"/>
            <w:vAlign w:val="center"/>
          </w:tcPr>
          <w:p w14:paraId="51E56E82">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项目名称</w:t>
            </w:r>
          </w:p>
        </w:tc>
        <w:tc>
          <w:tcPr>
            <w:tcW w:w="6950" w:type="dxa"/>
            <w:noWrap w:val="0"/>
            <w:vAlign w:val="center"/>
          </w:tcPr>
          <w:p w14:paraId="2803046A">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邹城市钢山街道办事处崇义家园热力水处理设备采购项目</w:t>
            </w:r>
          </w:p>
        </w:tc>
      </w:tr>
      <w:tr w14:paraId="702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3AA4148E">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宋体" w:cs="宋体"/>
                <w:color w:val="auto"/>
                <w:sz w:val="24"/>
                <w:highlight w:val="none"/>
                <w:lang w:eastAsia="zh-CN"/>
              </w:rPr>
              <w:t>初次报价总价</w:t>
            </w:r>
            <w:r>
              <w:rPr>
                <w:rFonts w:ascii="宋体" w:hAnsi="宋体" w:eastAsia="Times New Roman" w:cs="宋体"/>
                <w:color w:val="auto"/>
                <w:sz w:val="24"/>
                <w:highlight w:val="none"/>
              </w:rPr>
              <w:t>（元）</w:t>
            </w:r>
          </w:p>
        </w:tc>
        <w:tc>
          <w:tcPr>
            <w:tcW w:w="6950" w:type="dxa"/>
            <w:noWrap w:val="0"/>
            <w:vAlign w:val="center"/>
          </w:tcPr>
          <w:p w14:paraId="6E27BFA0">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小写：</w:t>
            </w:r>
          </w:p>
          <w:p w14:paraId="4D41785A">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大写：</w:t>
            </w:r>
          </w:p>
        </w:tc>
      </w:tr>
      <w:tr w14:paraId="21E1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7C29E018">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szCs w:val="24"/>
                <w:lang w:eastAsia="zh-CN"/>
              </w:rPr>
              <w:t>供货期</w:t>
            </w:r>
          </w:p>
        </w:tc>
        <w:tc>
          <w:tcPr>
            <w:tcW w:w="6950" w:type="dxa"/>
            <w:noWrap w:val="0"/>
            <w:vAlign w:val="center"/>
          </w:tcPr>
          <w:p w14:paraId="42FCEF85">
            <w:pPr>
              <w:keepNext w:val="0"/>
              <w:keepLines w:val="0"/>
              <w:suppressLineNumbers w:val="0"/>
              <w:spacing w:before="0" w:beforeAutospacing="0" w:after="0" w:afterAutospacing="0" w:line="560" w:lineRule="exact"/>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tc>
      </w:tr>
      <w:tr w14:paraId="12BC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1CC79FD6">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免费质保期</w:t>
            </w:r>
          </w:p>
        </w:tc>
        <w:tc>
          <w:tcPr>
            <w:tcW w:w="6950" w:type="dxa"/>
            <w:noWrap w:val="0"/>
            <w:vAlign w:val="center"/>
          </w:tcPr>
          <w:p w14:paraId="5774D014">
            <w:pPr>
              <w:keepNext w:val="0"/>
              <w:keepLines w:val="0"/>
              <w:suppressLineNumbers w:val="0"/>
              <w:spacing w:before="0" w:beforeAutospacing="0" w:after="0" w:afterAutospacing="0" w:line="560" w:lineRule="exact"/>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年 </w:t>
            </w:r>
          </w:p>
        </w:tc>
      </w:tr>
      <w:tr w14:paraId="155E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6CCD948A">
            <w:pPr>
              <w:keepNext w:val="0"/>
              <w:keepLines w:val="0"/>
              <w:suppressLineNumbers w:val="0"/>
              <w:spacing w:before="0" w:beforeAutospacing="0" w:after="0" w:afterAutospacing="0" w:line="560" w:lineRule="exact"/>
              <w:ind w:left="0" w:right="0"/>
              <w:jc w:val="center"/>
              <w:rPr>
                <w:rFonts w:hint="default" w:ascii="宋体" w:hAnsi="宋体" w:eastAsia="宋体" w:cs="宋体"/>
                <w:color w:val="auto"/>
                <w:sz w:val="24"/>
                <w:highlight w:val="none"/>
                <w:lang w:val="en-US" w:eastAsia="zh-CN"/>
              </w:rPr>
            </w:pPr>
            <w:r>
              <w:rPr>
                <w:rFonts w:hint="eastAsia" w:ascii="宋体" w:hAnsi="宋体" w:eastAsia="Times New Roman" w:cs="宋体"/>
                <w:color w:val="auto"/>
                <w:sz w:val="24"/>
                <w:highlight w:val="none"/>
                <w:lang w:val="en-US" w:eastAsia="zh-CN"/>
              </w:rPr>
              <w:t>对磋商文件响应程度</w:t>
            </w:r>
          </w:p>
        </w:tc>
        <w:tc>
          <w:tcPr>
            <w:tcW w:w="6950" w:type="dxa"/>
            <w:noWrap w:val="0"/>
            <w:vAlign w:val="center"/>
          </w:tcPr>
          <w:p w14:paraId="2A79013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p>
        </w:tc>
      </w:tr>
      <w:tr w14:paraId="7873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905" w:type="dxa"/>
            <w:noWrap w:val="0"/>
            <w:vAlign w:val="center"/>
          </w:tcPr>
          <w:p w14:paraId="4C53627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法定代表人或授权代表</w:t>
            </w:r>
          </w:p>
          <w:p w14:paraId="468081D3">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（签字或盖章）</w:t>
            </w:r>
          </w:p>
        </w:tc>
        <w:tc>
          <w:tcPr>
            <w:tcW w:w="6950" w:type="dxa"/>
            <w:noWrap w:val="0"/>
            <w:vAlign w:val="center"/>
          </w:tcPr>
          <w:p w14:paraId="29E2D1FF">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p>
        </w:tc>
      </w:tr>
      <w:tr w14:paraId="43F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55" w:type="dxa"/>
            <w:gridSpan w:val="2"/>
            <w:noWrap w:val="0"/>
            <w:vAlign w:val="center"/>
          </w:tcPr>
          <w:p w14:paraId="1C141F2A">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注：总报价包含达到本次采购要求的一切费用。</w:t>
            </w:r>
          </w:p>
        </w:tc>
      </w:tr>
    </w:tbl>
    <w:p w14:paraId="0AD473B1">
      <w:pPr>
        <w:spacing w:line="560" w:lineRule="exact"/>
        <w:ind w:firstLine="480" w:firstLineChars="200"/>
        <w:jc w:val="right"/>
        <w:rPr>
          <w:rFonts w:ascii="宋体" w:hAnsi="宋体" w:cs="宋体"/>
          <w:color w:val="auto"/>
          <w:sz w:val="24"/>
          <w:highlight w:val="none"/>
        </w:rPr>
      </w:pPr>
    </w:p>
    <w:p w14:paraId="5CC23C34">
      <w:pPr>
        <w:spacing w:line="560" w:lineRule="exact"/>
        <w:ind w:firstLine="480" w:firstLineChars="200"/>
        <w:jc w:val="right"/>
        <w:rPr>
          <w:rFonts w:ascii="宋体" w:hAnsi="宋体" w:cs="宋体"/>
          <w:color w:val="auto"/>
          <w:sz w:val="24"/>
          <w:highlight w:val="none"/>
        </w:rPr>
      </w:pPr>
      <w:r>
        <w:rPr>
          <w:rFonts w:ascii="宋体" w:hAnsi="宋体" w:cs="宋体"/>
          <w:color w:val="auto"/>
          <w:sz w:val="24"/>
          <w:highlight w:val="none"/>
        </w:rPr>
        <w:t>日期：    年    月   日</w:t>
      </w:r>
    </w:p>
    <w:p w14:paraId="438A33FA">
      <w:pPr>
        <w:pStyle w:val="71"/>
        <w:spacing w:before="73"/>
        <w:ind w:left="0" w:firstLine="0" w:firstLineChars="0"/>
        <w:rPr>
          <w:color w:val="auto"/>
          <w:highlight w:val="none"/>
        </w:rPr>
      </w:pPr>
    </w:p>
    <w:p w14:paraId="62B6FAE5">
      <w:pPr>
        <w:spacing w:line="560" w:lineRule="exact"/>
        <w:rPr>
          <w:rFonts w:hint="eastAsia" w:ascii="宋体" w:hAnsi="宋体" w:eastAsia="宋体" w:cs="宋体"/>
          <w:b/>
          <w:color w:val="auto"/>
          <w:sz w:val="24"/>
          <w:highlight w:val="none"/>
          <w:lang w:eastAsia="zh-CN"/>
        </w:rPr>
      </w:pPr>
      <w:r>
        <w:rPr>
          <w:rFonts w:ascii="宋体" w:hAnsi="宋体" w:cs="宋体"/>
          <w:b/>
          <w:color w:val="auto"/>
          <w:sz w:val="24"/>
          <w:highlight w:val="none"/>
        </w:rPr>
        <w:br w:type="page"/>
      </w:r>
      <w:r>
        <w:rPr>
          <w:rFonts w:ascii="宋体" w:hAnsi="宋体" w:cs="宋体"/>
          <w:color w:val="auto"/>
          <w:sz w:val="24"/>
          <w:highlight w:val="none"/>
        </w:rPr>
        <w:t>1.</w:t>
      </w:r>
      <w:r>
        <w:rPr>
          <w:rFonts w:hint="eastAsia" w:ascii="宋体" w:hAnsi="宋体" w:cs="宋体"/>
          <w:color w:val="auto"/>
          <w:sz w:val="24"/>
          <w:highlight w:val="none"/>
          <w:lang w:val="en-US" w:eastAsia="zh-CN"/>
        </w:rPr>
        <w:t>2报价明细表</w:t>
      </w:r>
    </w:p>
    <w:p w14:paraId="3069A927">
      <w:pPr>
        <w:pStyle w:val="64"/>
        <w:spacing w:line="360" w:lineRule="auto"/>
        <w:jc w:val="center"/>
        <w:outlineLvl w:val="9"/>
        <w:rPr>
          <w:rFonts w:hint="eastAsia" w:ascii="宋体" w:hAnsi="宋体" w:eastAsia="宋体" w:cs="宋体"/>
          <w:b/>
          <w:color w:val="auto"/>
          <w:sz w:val="24"/>
          <w:szCs w:val="24"/>
          <w:highlight w:val="none"/>
        </w:rPr>
      </w:pPr>
      <w:bookmarkStart w:id="53" w:name="_Toc15331"/>
      <w:bookmarkStart w:id="54" w:name="_Toc5722"/>
      <w:bookmarkStart w:id="55" w:name="_Toc17228"/>
      <w:bookmarkStart w:id="56" w:name="_Toc11854"/>
      <w:r>
        <w:rPr>
          <w:rFonts w:hint="eastAsia" w:ascii="宋体" w:hAnsi="宋体" w:eastAsia="宋体" w:cs="宋体"/>
          <w:b/>
          <w:color w:val="auto"/>
          <w:sz w:val="24"/>
          <w:szCs w:val="24"/>
          <w:highlight w:val="none"/>
        </w:rPr>
        <w:t>报价明细表</w:t>
      </w:r>
      <w:bookmarkEnd w:id="53"/>
      <w:bookmarkEnd w:id="54"/>
      <w:bookmarkEnd w:id="55"/>
      <w:bookmarkEnd w:id="56"/>
    </w:p>
    <w:p w14:paraId="193885EA">
      <w:pPr>
        <w:spacing w:line="360" w:lineRule="auto"/>
        <w:rPr>
          <w:rFonts w:hint="eastAsia" w:ascii="宋体" w:hAnsi="宋体" w:cs="宋体"/>
          <w:color w:val="auto"/>
        </w:rPr>
      </w:pPr>
      <w:r>
        <w:rPr>
          <w:rFonts w:hint="eastAsia" w:ascii="宋体" w:hAnsi="宋体" w:eastAsia="宋体" w:cs="宋体"/>
          <w:color w:val="auto"/>
          <w:sz w:val="24"/>
          <w:szCs w:val="24"/>
          <w:highlight w:val="none"/>
        </w:rPr>
        <w:t xml:space="preserve">                               </w:t>
      </w:r>
      <w:r>
        <w:rPr>
          <w:rFonts w:hint="eastAsia" w:ascii="宋体" w:hAnsi="宋体" w:cs="宋体"/>
          <w:color w:val="auto"/>
        </w:rPr>
        <w:t>供应商名称：               项目编号∶                                  货币单位：元</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7"/>
        <w:gridCol w:w="1553"/>
        <w:gridCol w:w="1310"/>
        <w:gridCol w:w="1190"/>
        <w:gridCol w:w="1313"/>
        <w:gridCol w:w="1311"/>
        <w:gridCol w:w="1311"/>
      </w:tblGrid>
      <w:tr w14:paraId="2A72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36" w:type="dxa"/>
            <w:noWrap w:val="0"/>
            <w:vAlign w:val="center"/>
          </w:tcPr>
          <w:p w14:paraId="29249CC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序号</w:t>
            </w:r>
          </w:p>
        </w:tc>
        <w:tc>
          <w:tcPr>
            <w:tcW w:w="947" w:type="dxa"/>
            <w:noWrap w:val="0"/>
            <w:vAlign w:val="center"/>
          </w:tcPr>
          <w:p w14:paraId="027203A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名称</w:t>
            </w:r>
          </w:p>
        </w:tc>
        <w:tc>
          <w:tcPr>
            <w:tcW w:w="1553" w:type="dxa"/>
            <w:noWrap w:val="0"/>
            <w:vAlign w:val="center"/>
          </w:tcPr>
          <w:p w14:paraId="7EF5E7E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规格型号</w:t>
            </w:r>
          </w:p>
        </w:tc>
        <w:tc>
          <w:tcPr>
            <w:tcW w:w="1310" w:type="dxa"/>
            <w:noWrap w:val="0"/>
            <w:vAlign w:val="center"/>
          </w:tcPr>
          <w:p w14:paraId="68A47DB7">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品牌及产地</w:t>
            </w:r>
          </w:p>
        </w:tc>
        <w:tc>
          <w:tcPr>
            <w:tcW w:w="1190" w:type="dxa"/>
            <w:noWrap w:val="0"/>
            <w:vAlign w:val="center"/>
          </w:tcPr>
          <w:p w14:paraId="25ADB76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数量</w:t>
            </w:r>
          </w:p>
        </w:tc>
        <w:tc>
          <w:tcPr>
            <w:tcW w:w="1313" w:type="dxa"/>
            <w:noWrap w:val="0"/>
            <w:vAlign w:val="center"/>
          </w:tcPr>
          <w:p w14:paraId="702F46F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单价</w:t>
            </w:r>
          </w:p>
        </w:tc>
        <w:tc>
          <w:tcPr>
            <w:tcW w:w="1311" w:type="dxa"/>
            <w:noWrap w:val="0"/>
            <w:vAlign w:val="center"/>
          </w:tcPr>
          <w:p w14:paraId="7775BCE7">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合价</w:t>
            </w:r>
          </w:p>
        </w:tc>
        <w:tc>
          <w:tcPr>
            <w:tcW w:w="1311" w:type="dxa"/>
            <w:noWrap w:val="0"/>
            <w:vAlign w:val="center"/>
          </w:tcPr>
          <w:p w14:paraId="2397FF7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备注</w:t>
            </w:r>
          </w:p>
        </w:tc>
      </w:tr>
      <w:tr w14:paraId="2E0B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46E2BC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1</w:t>
            </w:r>
          </w:p>
        </w:tc>
        <w:tc>
          <w:tcPr>
            <w:tcW w:w="947" w:type="dxa"/>
            <w:noWrap w:val="0"/>
            <w:vAlign w:val="center"/>
          </w:tcPr>
          <w:p w14:paraId="20FDC950">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553" w:type="dxa"/>
            <w:noWrap w:val="0"/>
            <w:vAlign w:val="center"/>
          </w:tcPr>
          <w:p w14:paraId="1AA22919">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310" w:type="dxa"/>
            <w:noWrap w:val="0"/>
            <w:vAlign w:val="center"/>
          </w:tcPr>
          <w:p w14:paraId="76BC5AFF">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190" w:type="dxa"/>
            <w:noWrap w:val="0"/>
            <w:vAlign w:val="center"/>
          </w:tcPr>
          <w:p w14:paraId="2B75AFFF">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313" w:type="dxa"/>
            <w:noWrap w:val="0"/>
            <w:vAlign w:val="center"/>
          </w:tcPr>
          <w:p w14:paraId="0E8FEA5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p>
        </w:tc>
        <w:tc>
          <w:tcPr>
            <w:tcW w:w="1311" w:type="dxa"/>
            <w:noWrap w:val="0"/>
            <w:vAlign w:val="center"/>
          </w:tcPr>
          <w:p w14:paraId="43DD434D">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311" w:type="dxa"/>
            <w:noWrap w:val="0"/>
            <w:vAlign w:val="center"/>
          </w:tcPr>
          <w:p w14:paraId="5C674350">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r>
      <w:tr w14:paraId="208A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470B820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2</w:t>
            </w:r>
          </w:p>
        </w:tc>
        <w:tc>
          <w:tcPr>
            <w:tcW w:w="947" w:type="dxa"/>
            <w:noWrap w:val="0"/>
            <w:vAlign w:val="center"/>
          </w:tcPr>
          <w:p w14:paraId="5AD6E5A1">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553" w:type="dxa"/>
            <w:noWrap w:val="0"/>
            <w:vAlign w:val="center"/>
          </w:tcPr>
          <w:p w14:paraId="7E984F94">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310" w:type="dxa"/>
            <w:noWrap w:val="0"/>
            <w:vAlign w:val="center"/>
          </w:tcPr>
          <w:p w14:paraId="679C1D7A">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190" w:type="dxa"/>
            <w:noWrap w:val="0"/>
            <w:vAlign w:val="center"/>
          </w:tcPr>
          <w:p w14:paraId="219870CD">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313" w:type="dxa"/>
            <w:noWrap w:val="0"/>
            <w:vAlign w:val="center"/>
          </w:tcPr>
          <w:p w14:paraId="0C1C636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p>
        </w:tc>
        <w:tc>
          <w:tcPr>
            <w:tcW w:w="1311" w:type="dxa"/>
            <w:noWrap w:val="0"/>
            <w:vAlign w:val="center"/>
          </w:tcPr>
          <w:p w14:paraId="761D02EB">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311" w:type="dxa"/>
            <w:noWrap w:val="0"/>
            <w:vAlign w:val="center"/>
          </w:tcPr>
          <w:p w14:paraId="4AA500BA">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r>
      <w:tr w14:paraId="35F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06106D6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3</w:t>
            </w:r>
          </w:p>
        </w:tc>
        <w:tc>
          <w:tcPr>
            <w:tcW w:w="947" w:type="dxa"/>
            <w:noWrap w:val="0"/>
            <w:vAlign w:val="center"/>
          </w:tcPr>
          <w:p w14:paraId="1C2AA5A9">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553" w:type="dxa"/>
            <w:noWrap w:val="0"/>
            <w:vAlign w:val="center"/>
          </w:tcPr>
          <w:p w14:paraId="6BEC28A4">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310" w:type="dxa"/>
            <w:noWrap w:val="0"/>
            <w:vAlign w:val="center"/>
          </w:tcPr>
          <w:p w14:paraId="6DEF081E">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190" w:type="dxa"/>
            <w:noWrap w:val="0"/>
            <w:vAlign w:val="center"/>
          </w:tcPr>
          <w:p w14:paraId="272FED05">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313" w:type="dxa"/>
            <w:noWrap w:val="0"/>
            <w:vAlign w:val="center"/>
          </w:tcPr>
          <w:p w14:paraId="781FD39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p>
        </w:tc>
        <w:tc>
          <w:tcPr>
            <w:tcW w:w="1311" w:type="dxa"/>
            <w:noWrap w:val="0"/>
            <w:vAlign w:val="center"/>
          </w:tcPr>
          <w:p w14:paraId="2C22D676">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311" w:type="dxa"/>
            <w:noWrap w:val="0"/>
            <w:vAlign w:val="center"/>
          </w:tcPr>
          <w:p w14:paraId="40D4FB56">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r>
      <w:tr w14:paraId="17AA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60C9B2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r>
              <w:rPr>
                <w:rFonts w:hint="eastAsia" w:ascii="宋体" w:hAnsi="宋体" w:cs="宋体"/>
                <w:color w:val="auto"/>
                <w:szCs w:val="21"/>
              </w:rPr>
              <w:t>……</w:t>
            </w:r>
          </w:p>
        </w:tc>
        <w:tc>
          <w:tcPr>
            <w:tcW w:w="947" w:type="dxa"/>
            <w:noWrap w:val="0"/>
            <w:vAlign w:val="center"/>
          </w:tcPr>
          <w:p w14:paraId="62E30B6B">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553" w:type="dxa"/>
            <w:noWrap w:val="0"/>
            <w:vAlign w:val="center"/>
          </w:tcPr>
          <w:p w14:paraId="1FD421E5">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rPr>
            </w:pPr>
          </w:p>
        </w:tc>
        <w:tc>
          <w:tcPr>
            <w:tcW w:w="1310" w:type="dxa"/>
            <w:noWrap w:val="0"/>
            <w:vAlign w:val="center"/>
          </w:tcPr>
          <w:p w14:paraId="1FC67F07">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190" w:type="dxa"/>
            <w:noWrap w:val="0"/>
            <w:vAlign w:val="center"/>
          </w:tcPr>
          <w:p w14:paraId="1BE5B2FA">
            <w:pPr>
              <w:keepNext w:val="0"/>
              <w:keepLines w:val="0"/>
              <w:suppressLineNumbers w:val="0"/>
              <w:spacing w:before="0" w:beforeAutospacing="0" w:after="0" w:afterAutospacing="0" w:line="360" w:lineRule="auto"/>
              <w:ind w:left="0" w:right="0"/>
              <w:jc w:val="center"/>
              <w:rPr>
                <w:rFonts w:hint="eastAsia" w:ascii="宋体" w:hAnsi="宋体" w:cs="宋体"/>
                <w:bCs/>
                <w:color w:val="auto"/>
                <w:szCs w:val="21"/>
              </w:rPr>
            </w:pPr>
          </w:p>
        </w:tc>
        <w:tc>
          <w:tcPr>
            <w:tcW w:w="1313" w:type="dxa"/>
            <w:noWrap w:val="0"/>
            <w:vAlign w:val="center"/>
          </w:tcPr>
          <w:p w14:paraId="56AE583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rPr>
            </w:pPr>
          </w:p>
        </w:tc>
        <w:tc>
          <w:tcPr>
            <w:tcW w:w="1311" w:type="dxa"/>
            <w:noWrap w:val="0"/>
            <w:vAlign w:val="center"/>
          </w:tcPr>
          <w:p w14:paraId="347F284D">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c>
          <w:tcPr>
            <w:tcW w:w="1311" w:type="dxa"/>
            <w:noWrap w:val="0"/>
            <w:vAlign w:val="center"/>
          </w:tcPr>
          <w:p w14:paraId="70BC0E82">
            <w:pPr>
              <w:keepNext w:val="0"/>
              <w:keepLines w:val="0"/>
              <w:suppressLineNumbers w:val="0"/>
              <w:spacing w:before="0" w:beforeAutospacing="0" w:after="0" w:afterAutospacing="0" w:line="360" w:lineRule="auto"/>
              <w:ind w:left="0" w:right="0"/>
              <w:rPr>
                <w:rFonts w:hint="eastAsia" w:ascii="宋体" w:hAnsi="宋体" w:cs="宋体"/>
                <w:color w:val="auto"/>
                <w:szCs w:val="21"/>
              </w:rPr>
            </w:pPr>
          </w:p>
        </w:tc>
      </w:tr>
      <w:tr w14:paraId="62A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949" w:type="dxa"/>
            <w:gridSpan w:val="6"/>
            <w:noWrap w:val="0"/>
            <w:vAlign w:val="center"/>
          </w:tcPr>
          <w:p w14:paraId="52C41E6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合  计</w:t>
            </w:r>
          </w:p>
        </w:tc>
        <w:tc>
          <w:tcPr>
            <w:tcW w:w="1311" w:type="dxa"/>
            <w:noWrap w:val="0"/>
            <w:vAlign w:val="center"/>
          </w:tcPr>
          <w:p w14:paraId="7FF4073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c>
          <w:tcPr>
            <w:tcW w:w="1311" w:type="dxa"/>
            <w:noWrap w:val="0"/>
            <w:vAlign w:val="center"/>
          </w:tcPr>
          <w:p w14:paraId="5CBF910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bl>
    <w:p w14:paraId="21BB4874">
      <w:pPr>
        <w:spacing w:line="360" w:lineRule="auto"/>
        <w:ind w:firstLine="480" w:firstLineChars="200"/>
        <w:rPr>
          <w:rFonts w:hint="eastAsia" w:ascii="宋体" w:hAnsi="宋体" w:eastAsia="宋体" w:cs="宋体"/>
          <w:color w:val="auto"/>
          <w:sz w:val="24"/>
          <w:szCs w:val="24"/>
          <w:highlight w:val="none"/>
          <w:lang w:eastAsia="zh-CN"/>
        </w:rPr>
      </w:pPr>
    </w:p>
    <w:p w14:paraId="6F3B22B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注：1.本表为参考格式，谈判响应方应根据竞争性谈判文件采购需求及自身实际情况列项报价</w:t>
      </w:r>
      <w:r>
        <w:rPr>
          <w:rFonts w:hint="eastAsia" w:ascii="宋体" w:hAnsi="宋体" w:eastAsia="宋体" w:cs="宋体"/>
          <w:color w:val="auto"/>
          <w:sz w:val="24"/>
          <w:szCs w:val="24"/>
          <w:highlight w:val="none"/>
          <w:lang w:val="en-US" w:eastAsia="zh-CN"/>
        </w:rPr>
        <w:t>。</w:t>
      </w:r>
    </w:p>
    <w:p w14:paraId="0B51431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2.合计总价应与总报价表中的总报价一致。</w:t>
      </w:r>
    </w:p>
    <w:p w14:paraId="5855AA1C">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eastAsia="宋体" w:cs="宋体"/>
          <w:color w:val="auto"/>
          <w:sz w:val="24"/>
          <w:szCs w:val="24"/>
          <w:highlight w:val="none"/>
          <w:lang w:val="en-US" w:eastAsia="zh-CN"/>
        </w:rPr>
        <w:t>3.</w:t>
      </w:r>
      <w:r>
        <w:rPr>
          <w:rFonts w:hint="eastAsia" w:ascii="宋体" w:hAnsi="宋体" w:cs="黑体"/>
          <w:b/>
          <w:bCs/>
          <w:color w:val="auto"/>
          <w:kern w:val="0"/>
          <w:sz w:val="24"/>
        </w:rPr>
        <w:t>本项目采用固定含税全费用综合单价合同形式。</w:t>
      </w:r>
    </w:p>
    <w:p w14:paraId="1BDCFB40">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w:t>
      </w:r>
      <w:r>
        <w:rPr>
          <w:rFonts w:hint="eastAsia" w:ascii="宋体" w:hAnsi="宋体" w:cs="黑体"/>
          <w:b/>
          <w:bCs/>
          <w:color w:val="auto"/>
          <w:kern w:val="0"/>
          <w:sz w:val="24"/>
          <w:lang w:eastAsia="zh-CN"/>
        </w:rPr>
        <w:t>采购</w:t>
      </w:r>
      <w:r>
        <w:rPr>
          <w:rFonts w:hint="eastAsia" w:ascii="宋体" w:hAnsi="宋体" w:cs="黑体"/>
          <w:b/>
          <w:bCs/>
          <w:color w:val="auto"/>
          <w:kern w:val="0"/>
          <w:sz w:val="24"/>
        </w:rPr>
        <w:t>清单逐项填报单价和合价，并以此汇总计算总价，供应商的报价包括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b/>
          <w:color w:val="auto"/>
          <w:sz w:val="24"/>
          <w:szCs w:val="24"/>
          <w:lang w:eastAsia="zh-CN"/>
        </w:rPr>
        <w:t>。</w:t>
      </w:r>
    </w:p>
    <w:p w14:paraId="6FD8AFC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4、本项目最终报价只报总价，各分项费用按照最终报价与初次报价的下浮比例，同比例下调。</w:t>
      </w:r>
    </w:p>
    <w:p w14:paraId="2ED3C7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磋商响应方</w:t>
      </w:r>
      <w:r>
        <w:rPr>
          <w:rFonts w:hint="eastAsia" w:ascii="宋体" w:hAnsi="宋体" w:eastAsia="宋体" w:cs="宋体"/>
          <w:color w:val="auto"/>
          <w:sz w:val="24"/>
          <w:szCs w:val="24"/>
          <w:highlight w:val="none"/>
        </w:rPr>
        <w:t xml:space="preserve">（名称及盖章）：          </w:t>
      </w:r>
    </w:p>
    <w:p w14:paraId="27A5FA42">
      <w:pPr>
        <w:spacing w:line="360" w:lineRule="auto"/>
        <w:rPr>
          <w:rFonts w:hint="eastAsia" w:ascii="宋体" w:hAnsi="宋体" w:eastAsia="宋体" w:cs="宋体"/>
          <w:color w:val="auto"/>
          <w:sz w:val="24"/>
          <w:szCs w:val="24"/>
          <w:highlight w:val="none"/>
        </w:rPr>
      </w:pPr>
    </w:p>
    <w:p w14:paraId="2D305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法定代表人或授权代表（签字或盖章）：    </w:t>
      </w:r>
    </w:p>
    <w:p w14:paraId="22A0C862">
      <w:pPr>
        <w:pStyle w:val="64"/>
        <w:spacing w:line="360" w:lineRule="auto"/>
        <w:outlineLvl w:val="9"/>
        <w:rPr>
          <w:rFonts w:hint="eastAsia" w:ascii="宋体" w:hAnsi="宋体" w:eastAsia="宋体" w:cs="宋体"/>
          <w:b/>
          <w:color w:val="auto"/>
          <w:sz w:val="24"/>
          <w:szCs w:val="24"/>
          <w:highlight w:val="none"/>
        </w:rPr>
      </w:pPr>
    </w:p>
    <w:p w14:paraId="61F506C9">
      <w:pPr>
        <w:pStyle w:val="64"/>
        <w:spacing w:line="360" w:lineRule="auto"/>
        <w:ind w:firstLine="480" w:firstLineChars="200"/>
        <w:outlineLvl w:val="9"/>
        <w:rPr>
          <w:rFonts w:hint="eastAsia" w:ascii="宋体" w:hAnsi="宋体" w:eastAsia="宋体" w:cs="宋体"/>
          <w:color w:val="auto"/>
          <w:sz w:val="24"/>
          <w:szCs w:val="24"/>
          <w:highlight w:val="none"/>
        </w:rPr>
      </w:pPr>
      <w:bookmarkStart w:id="57" w:name="_Toc4043"/>
      <w:bookmarkStart w:id="58" w:name="_Toc8179"/>
      <w:bookmarkStart w:id="59" w:name="_Toc16481"/>
      <w:bookmarkStart w:id="60" w:name="_Toc16688"/>
      <w:r>
        <w:rPr>
          <w:rFonts w:hint="eastAsia" w:ascii="宋体" w:hAnsi="宋体" w:eastAsia="宋体" w:cs="宋体"/>
          <w:color w:val="auto"/>
          <w:sz w:val="24"/>
          <w:szCs w:val="24"/>
          <w:highlight w:val="none"/>
        </w:rPr>
        <w:t>日    期：      年    月    日</w:t>
      </w:r>
      <w:bookmarkEnd w:id="57"/>
      <w:bookmarkEnd w:id="58"/>
      <w:bookmarkEnd w:id="59"/>
      <w:bookmarkEnd w:id="60"/>
    </w:p>
    <w:p w14:paraId="159D6DDD">
      <w:pPr>
        <w:rPr>
          <w:rFonts w:ascii="宋体" w:hAnsi="宋体" w:cs="宋体"/>
          <w:b/>
          <w:color w:val="auto"/>
          <w:sz w:val="24"/>
          <w:highlight w:val="none"/>
        </w:rPr>
      </w:pPr>
    </w:p>
    <w:p w14:paraId="2B5F459B">
      <w:pPr>
        <w:rPr>
          <w:rFonts w:ascii="宋体" w:hAnsi="宋体" w:cs="宋体"/>
          <w:b/>
          <w:color w:val="auto"/>
          <w:sz w:val="24"/>
          <w:highlight w:val="none"/>
        </w:rPr>
      </w:pPr>
    </w:p>
    <w:p w14:paraId="6466EB62">
      <w:pPr>
        <w:rPr>
          <w:rFonts w:ascii="宋体" w:hAnsi="宋体" w:cs="宋体"/>
          <w:b/>
          <w:color w:val="auto"/>
          <w:sz w:val="24"/>
          <w:highlight w:val="none"/>
        </w:rPr>
      </w:pPr>
    </w:p>
    <w:p w14:paraId="076FCB65">
      <w:pPr>
        <w:rPr>
          <w:rFonts w:ascii="宋体" w:hAnsi="宋体" w:cs="宋体"/>
          <w:b/>
          <w:color w:val="auto"/>
          <w:sz w:val="24"/>
          <w:highlight w:val="none"/>
        </w:rPr>
      </w:pPr>
    </w:p>
    <w:p w14:paraId="6F0C152E">
      <w:pPr>
        <w:rPr>
          <w:rFonts w:ascii="宋体" w:hAnsi="宋体" w:cs="宋体"/>
          <w:b/>
          <w:color w:val="auto"/>
          <w:sz w:val="24"/>
          <w:highlight w:val="none"/>
        </w:rPr>
      </w:pPr>
    </w:p>
    <w:p w14:paraId="1B972004">
      <w:pPr>
        <w:rPr>
          <w:rFonts w:ascii="宋体" w:hAnsi="宋体" w:cs="宋体"/>
          <w:b/>
          <w:color w:val="auto"/>
          <w:sz w:val="24"/>
          <w:highlight w:val="none"/>
        </w:rPr>
      </w:pPr>
    </w:p>
    <w:p w14:paraId="7CAEAAD4">
      <w:pPr>
        <w:rPr>
          <w:rFonts w:ascii="宋体" w:hAnsi="宋体" w:cs="宋体"/>
          <w:b/>
          <w:color w:val="auto"/>
          <w:sz w:val="24"/>
          <w:highlight w:val="none"/>
        </w:rPr>
      </w:pPr>
      <w:r>
        <w:rPr>
          <w:rFonts w:ascii="宋体" w:hAnsi="宋体" w:cs="宋体"/>
          <w:b/>
          <w:color w:val="auto"/>
          <w:sz w:val="24"/>
          <w:highlight w:val="none"/>
        </w:rPr>
        <w:br w:type="page"/>
      </w:r>
    </w:p>
    <w:p w14:paraId="5F89A87A">
      <w:pPr>
        <w:spacing w:line="560" w:lineRule="exact"/>
        <w:jc w:val="center"/>
        <w:rPr>
          <w:rFonts w:ascii="宋体" w:hAnsi="宋体" w:cs="宋体"/>
          <w:b/>
          <w:color w:val="auto"/>
          <w:sz w:val="24"/>
          <w:highlight w:val="none"/>
        </w:rPr>
      </w:pPr>
      <w:r>
        <w:rPr>
          <w:rFonts w:ascii="宋体" w:hAnsi="宋体" w:cs="宋体"/>
          <w:b/>
          <w:color w:val="auto"/>
          <w:sz w:val="24"/>
          <w:highlight w:val="none"/>
        </w:rPr>
        <w:t>二、技术部分</w:t>
      </w:r>
    </w:p>
    <w:p w14:paraId="746A0F78">
      <w:pPr>
        <w:spacing w:line="56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2.1、总体方案；货物综合性能；售后服务承诺；供货方案</w:t>
      </w:r>
    </w:p>
    <w:p w14:paraId="551767EE">
      <w:pPr>
        <w:spacing w:line="560" w:lineRule="exact"/>
        <w:jc w:val="center"/>
        <w:rPr>
          <w:rFonts w:hint="eastAsia" w:ascii="宋体" w:hAnsi="宋体" w:eastAsia="宋体" w:cs="宋体"/>
          <w:color w:val="auto"/>
          <w:sz w:val="24"/>
          <w:highlight w:val="none"/>
          <w:lang w:eastAsia="zh-CN"/>
        </w:rPr>
      </w:pPr>
      <w:r>
        <w:rPr>
          <w:rFonts w:ascii="宋体" w:hAnsi="宋体" w:cs="宋体"/>
          <w:color w:val="auto"/>
          <w:sz w:val="44"/>
          <w:szCs w:val="44"/>
          <w:highlight w:val="none"/>
        </w:rPr>
        <w:t>由供应商</w:t>
      </w:r>
      <w:r>
        <w:rPr>
          <w:rFonts w:hint="eastAsia" w:ascii="宋体" w:hAnsi="宋体" w:cs="宋体"/>
          <w:color w:val="auto"/>
          <w:sz w:val="44"/>
          <w:szCs w:val="44"/>
          <w:highlight w:val="none"/>
          <w:lang w:eastAsia="zh-CN"/>
        </w:rPr>
        <w:t>根据采购文件要求及自身情况分别</w:t>
      </w:r>
      <w:r>
        <w:rPr>
          <w:rFonts w:ascii="宋体" w:hAnsi="宋体" w:cs="宋体"/>
          <w:color w:val="auto"/>
          <w:sz w:val="44"/>
          <w:szCs w:val="44"/>
          <w:highlight w:val="none"/>
        </w:rPr>
        <w:t>自行书写</w:t>
      </w:r>
      <w:r>
        <w:rPr>
          <w:rFonts w:hint="eastAsia" w:ascii="宋体" w:hAnsi="宋体" w:cs="宋体"/>
          <w:color w:val="auto"/>
          <w:sz w:val="44"/>
          <w:szCs w:val="44"/>
          <w:highlight w:val="none"/>
          <w:lang w:eastAsia="zh-CN"/>
        </w:rPr>
        <w:t>，格式不限</w:t>
      </w:r>
    </w:p>
    <w:p w14:paraId="62054403">
      <w:pPr>
        <w:spacing w:line="560" w:lineRule="exact"/>
        <w:rPr>
          <w:rFonts w:ascii="宋体" w:hAnsi="宋体" w:cs="宋体"/>
          <w:color w:val="auto"/>
          <w:sz w:val="24"/>
          <w:highlight w:val="none"/>
        </w:rPr>
      </w:pPr>
    </w:p>
    <w:p w14:paraId="5657C2A3">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53B5A401">
      <w:pPr>
        <w:rPr>
          <w:rFonts w:hint="default"/>
          <w:color w:val="auto"/>
          <w:highlight w:val="none"/>
        </w:rPr>
      </w:pPr>
    </w:p>
    <w:p w14:paraId="4FBE3912">
      <w:pPr>
        <w:spacing w:line="560" w:lineRule="exact"/>
        <w:jc w:val="center"/>
        <w:rPr>
          <w:rFonts w:hint="eastAsia" w:ascii="宋体" w:hAnsi="宋体" w:eastAsia="宋体" w:cs="宋体"/>
          <w:color w:val="auto"/>
          <w:sz w:val="24"/>
          <w:highlight w:val="none"/>
          <w:lang w:eastAsia="zh-CN"/>
        </w:rPr>
      </w:pPr>
      <w:r>
        <w:rPr>
          <w:rFonts w:ascii="宋体" w:hAnsi="宋体" w:cs="宋体"/>
          <w:color w:val="auto"/>
          <w:sz w:val="44"/>
          <w:szCs w:val="44"/>
          <w:highlight w:val="none"/>
        </w:rPr>
        <w:t>由供应商</w:t>
      </w:r>
      <w:r>
        <w:rPr>
          <w:rFonts w:hint="eastAsia" w:ascii="宋体" w:hAnsi="宋体" w:cs="宋体"/>
          <w:color w:val="auto"/>
          <w:sz w:val="44"/>
          <w:szCs w:val="44"/>
          <w:highlight w:val="none"/>
          <w:lang w:eastAsia="zh-CN"/>
        </w:rPr>
        <w:t>根据采购文件要求及自身情况</w:t>
      </w:r>
      <w:r>
        <w:rPr>
          <w:rFonts w:ascii="宋体" w:hAnsi="宋体" w:cs="宋体"/>
          <w:color w:val="auto"/>
          <w:sz w:val="44"/>
          <w:szCs w:val="44"/>
          <w:highlight w:val="none"/>
        </w:rPr>
        <w:t>自行书写</w:t>
      </w:r>
      <w:r>
        <w:rPr>
          <w:rFonts w:hint="eastAsia" w:ascii="宋体" w:hAnsi="宋体" w:cs="宋体"/>
          <w:color w:val="auto"/>
          <w:sz w:val="44"/>
          <w:szCs w:val="44"/>
          <w:highlight w:val="none"/>
          <w:lang w:eastAsia="zh-CN"/>
        </w:rPr>
        <w:t>，格式不限；如无需提供该部分内容，可直接删除</w:t>
      </w:r>
    </w:p>
    <w:p w14:paraId="57C671FC">
      <w:pPr>
        <w:spacing w:line="560" w:lineRule="exact"/>
        <w:jc w:val="center"/>
        <w:rPr>
          <w:rFonts w:ascii="宋体" w:hAnsi="宋体" w:cs="宋体"/>
          <w:color w:val="auto"/>
          <w:sz w:val="44"/>
          <w:szCs w:val="44"/>
          <w:highlight w:val="none"/>
        </w:rPr>
      </w:pPr>
    </w:p>
    <w:p w14:paraId="2A4BD8E0">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三、商务部分</w:t>
      </w:r>
    </w:p>
    <w:p w14:paraId="18740879">
      <w:pPr>
        <w:spacing w:line="560" w:lineRule="exact"/>
        <w:ind w:firstLine="482" w:firstLineChars="200"/>
        <w:rPr>
          <w:rFonts w:ascii="宋体" w:hAnsi="宋体" w:cs="宋体"/>
          <w:b/>
          <w:bCs/>
          <w:color w:val="auto"/>
          <w:sz w:val="24"/>
          <w:highlight w:val="none"/>
        </w:rPr>
      </w:pPr>
      <w:r>
        <w:rPr>
          <w:rFonts w:ascii="宋体" w:hAnsi="宋体" w:cs="宋体"/>
          <w:b/>
          <w:bCs/>
          <w:color w:val="auto"/>
          <w:sz w:val="24"/>
          <w:highlight w:val="none"/>
        </w:rPr>
        <w:t>3.1</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声明函</w:t>
      </w:r>
    </w:p>
    <w:p w14:paraId="7AFAFD69">
      <w:pPr>
        <w:tabs>
          <w:tab w:val="left" w:pos="315"/>
        </w:tabs>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t>响应函</w:t>
      </w:r>
    </w:p>
    <w:p w14:paraId="45A8D9B0">
      <w:pPr>
        <w:widowControl/>
        <w:spacing w:line="56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邹城市钢山街道崇义庄村村民委员会</w:t>
      </w:r>
      <w:r>
        <w:rPr>
          <w:rFonts w:ascii="宋体" w:hAnsi="宋体" w:cs="宋体"/>
          <w:bCs/>
          <w:color w:val="auto"/>
          <w:kern w:val="0"/>
          <w:sz w:val="24"/>
          <w:highlight w:val="none"/>
        </w:rPr>
        <w:t>：</w:t>
      </w:r>
    </w:p>
    <w:p w14:paraId="4CDB51B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全称)授权</w:t>
      </w:r>
      <w:r>
        <w:rPr>
          <w:rFonts w:ascii="宋体" w:hAnsi="宋体" w:cs="宋体"/>
          <w:bCs/>
          <w:color w:val="auto"/>
          <w:kern w:val="0"/>
          <w:sz w:val="24"/>
          <w:highlight w:val="none"/>
          <w:u w:val="single"/>
        </w:rPr>
        <w:t>          </w:t>
      </w:r>
      <w:r>
        <w:rPr>
          <w:rFonts w:ascii="宋体" w:hAnsi="宋体" w:cs="宋体"/>
          <w:bCs/>
          <w:color w:val="auto"/>
          <w:kern w:val="0"/>
          <w:sz w:val="24"/>
          <w:highlight w:val="none"/>
        </w:rPr>
        <w:t>(全权代表姓名)</w:t>
      </w:r>
      <w:r>
        <w:rPr>
          <w:rFonts w:ascii="宋体" w:hAnsi="宋体" w:cs="宋体"/>
          <w:bCs/>
          <w:color w:val="auto"/>
          <w:kern w:val="0"/>
          <w:sz w:val="24"/>
          <w:highlight w:val="none"/>
          <w:u w:val="single"/>
        </w:rPr>
        <w:t>      </w:t>
      </w:r>
      <w:r>
        <w:rPr>
          <w:rFonts w:ascii="宋体" w:hAnsi="宋体" w:cs="宋体"/>
          <w:bCs/>
          <w:color w:val="auto"/>
          <w:kern w:val="0"/>
          <w:sz w:val="24"/>
          <w:highlight w:val="none"/>
        </w:rPr>
        <w:t>(职务、职称)为全权代表，参加贵方组织的“</w:t>
      </w:r>
      <w:r>
        <w:rPr>
          <w:rFonts w:hint="eastAsia" w:ascii="宋体" w:hAnsi="宋体" w:cs="宋体"/>
          <w:bCs/>
          <w:color w:val="auto"/>
          <w:kern w:val="0"/>
          <w:sz w:val="24"/>
          <w:highlight w:val="none"/>
          <w:lang w:eastAsia="zh-CN"/>
        </w:rPr>
        <w:t>邹城市钢山街道办事处崇义家园热力水处理设备采购项目</w:t>
      </w:r>
      <w:r>
        <w:rPr>
          <w:rFonts w:ascii="宋体" w:hAnsi="宋体" w:cs="宋体"/>
          <w:bCs/>
          <w:color w:val="auto"/>
          <w:kern w:val="0"/>
          <w:sz w:val="24"/>
          <w:highlight w:val="none"/>
        </w:rPr>
        <w:t>”(采购编号：</w:t>
      </w:r>
      <w:r>
        <w:rPr>
          <w:rFonts w:hint="eastAsia" w:ascii="宋体" w:hAnsi="宋体" w:cs="宋体"/>
          <w:bCs/>
          <w:color w:val="auto"/>
          <w:kern w:val="0"/>
          <w:sz w:val="24"/>
          <w:highlight w:val="none"/>
          <w:lang w:eastAsia="zh-CN"/>
        </w:rPr>
        <w:t>YGZD-GSJD2024-0929</w:t>
      </w:r>
      <w:r>
        <w:rPr>
          <w:rFonts w:ascii="宋体" w:hAnsi="宋体" w:cs="宋体"/>
          <w:bCs/>
          <w:color w:val="auto"/>
          <w:kern w:val="0"/>
          <w:sz w:val="24"/>
          <w:highlight w:val="none"/>
        </w:rPr>
        <w:t>)采购的有关活动，并对此项目进行响应。为此：</w:t>
      </w:r>
    </w:p>
    <w:p w14:paraId="7C62398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1、我方同意在</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编制和提交采购响应文件须知规定的开标日期起遵守本响应书中的承诺且在响应有效期满之前均具有约束力。</w:t>
      </w:r>
    </w:p>
    <w:p w14:paraId="6AC942C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2、我方承诺已经具备《中华人民共和国政府采购法》中规定的参加政府采购活动的供应商应当具备的条件：</w:t>
      </w:r>
    </w:p>
    <w:p w14:paraId="2E13C78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（1）具有独立承担民事责任的能力；</w:t>
      </w:r>
    </w:p>
    <w:p w14:paraId="3D86EE9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（2）遵守国家法律、行政法规，具有良好的信誉和商业道德；</w:t>
      </w:r>
    </w:p>
    <w:p w14:paraId="78778F9B">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（3）具有履行合同的能力和良好的履行合同记录；</w:t>
      </w:r>
    </w:p>
    <w:p w14:paraId="05914FD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（4）良好的资金、财务状况；</w:t>
      </w:r>
    </w:p>
    <w:p w14:paraId="65A04A5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（5）没有违反政府采购法规、政策的记录；</w:t>
      </w:r>
    </w:p>
    <w:p w14:paraId="4872B3E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6</w:t>
      </w:r>
      <w:r>
        <w:rPr>
          <w:rFonts w:ascii="宋体" w:hAnsi="宋体" w:cs="宋体"/>
          <w:bCs/>
          <w:color w:val="auto"/>
          <w:kern w:val="0"/>
          <w:sz w:val="24"/>
          <w:highlight w:val="none"/>
        </w:rPr>
        <w:t>）没有发生重大经济纠纷和走私犯罪记录；</w:t>
      </w:r>
    </w:p>
    <w:p w14:paraId="2679E4A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3、提供编制和提交采购响应文件须知规定的全部响应文件，包括响应文件正本1份，副本</w:t>
      </w:r>
      <w:r>
        <w:rPr>
          <w:rFonts w:hint="eastAsia" w:ascii="宋体" w:hAnsi="宋体" w:cs="宋体"/>
          <w:bCs/>
          <w:color w:val="auto"/>
          <w:kern w:val="0"/>
          <w:sz w:val="24"/>
          <w:highlight w:val="none"/>
          <w:lang w:val="en-US" w:eastAsia="zh-CN"/>
        </w:rPr>
        <w:t>4</w:t>
      </w:r>
      <w:r>
        <w:rPr>
          <w:rFonts w:ascii="宋体" w:hAnsi="宋体" w:cs="宋体"/>
          <w:bCs/>
          <w:color w:val="auto"/>
          <w:kern w:val="0"/>
          <w:sz w:val="24"/>
          <w:highlight w:val="none"/>
        </w:rPr>
        <w:t>份。</w:t>
      </w:r>
    </w:p>
    <w:p w14:paraId="1D2D1A7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4、按采购文件要求提供服务的响应报价详见报价一览表。</w:t>
      </w:r>
    </w:p>
    <w:p w14:paraId="3B3DA6B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5、保证忠实地执行双方所签订的合同，并承担合同规定的责任和义务。</w:t>
      </w:r>
    </w:p>
    <w:p w14:paraId="6C959410">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6、保证遵守采购文件中的其他有关规定。</w:t>
      </w:r>
    </w:p>
    <w:p w14:paraId="1CAC3C6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7、如果在开标后规定的响应有效期内撤回响应，我方将承担因此造成的相应损失。</w:t>
      </w:r>
    </w:p>
    <w:p w14:paraId="01C0B90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8、我方完全理解贵方不一定要接受最低价的响应。</w:t>
      </w:r>
    </w:p>
    <w:p w14:paraId="23F55403">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9、我方愿意向贵方提供任何与该项响应有关的数据、情况和技术资料。若贵方需要，我方愿意提供我方作出的一切承诺的证明材料。</w:t>
      </w:r>
    </w:p>
    <w:p w14:paraId="3DD4586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10、我方已详细审核全部采购文件，包括采购文件</w:t>
      </w:r>
      <w:r>
        <w:rPr>
          <w:rFonts w:hint="eastAsia" w:ascii="宋体" w:hAnsi="宋体" w:cs="宋体"/>
          <w:bCs/>
          <w:color w:val="auto"/>
          <w:kern w:val="0"/>
          <w:sz w:val="24"/>
          <w:highlight w:val="none"/>
          <w:lang w:eastAsia="zh-CN"/>
        </w:rPr>
        <w:t>澄清或更正内容</w:t>
      </w:r>
      <w:r>
        <w:rPr>
          <w:rFonts w:ascii="宋体" w:hAnsi="宋体" w:cs="宋体"/>
          <w:bCs/>
          <w:color w:val="auto"/>
          <w:kern w:val="0"/>
          <w:sz w:val="24"/>
          <w:highlight w:val="none"/>
        </w:rPr>
        <w:t>（如果有）、参考资料及有关附件，确认无误。</w:t>
      </w:r>
    </w:p>
    <w:p w14:paraId="7FBB322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E7470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a)提供虚假材料谋取成交的；</w:t>
      </w:r>
    </w:p>
    <w:p w14:paraId="0F990C6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b)采取不正当手段诋毁、排挤其他供应商的；</w:t>
      </w:r>
    </w:p>
    <w:p w14:paraId="59338F8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c)与采购单位、其它供应商恶意串通的；</w:t>
      </w:r>
    </w:p>
    <w:p w14:paraId="343270D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d)向采购单位、交易中心行贿或者提供其他不正当利益的；</w:t>
      </w:r>
    </w:p>
    <w:p w14:paraId="0847E93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e)在采购采购过程中与采购单位进行协商谈判的；</w:t>
      </w:r>
    </w:p>
    <w:p w14:paraId="7FFC456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f)拒绝有关部门监督检查或提供虚假情况的。</w:t>
      </w:r>
    </w:p>
    <w:p w14:paraId="2640C419">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color w:val="auto"/>
          <w:kern w:val="0"/>
          <w:sz w:val="24"/>
          <w:highlight w:val="none"/>
        </w:rPr>
        <w:t>法定代表人（非法人组织的负责人）</w:t>
      </w:r>
      <w:r>
        <w:rPr>
          <w:rFonts w:hint="eastAsia" w:ascii="宋体" w:hAnsi="宋体" w:cs="宋体"/>
          <w:bCs/>
          <w:color w:val="auto"/>
          <w:kern w:val="0"/>
          <w:sz w:val="24"/>
          <w:highlight w:val="none"/>
          <w:lang w:eastAsia="zh-CN"/>
        </w:rPr>
        <w:t>签字或盖章</w:t>
      </w:r>
      <w:r>
        <w:rPr>
          <w:rFonts w:ascii="宋体" w:hAnsi="宋体" w:cs="宋体"/>
          <w:bCs/>
          <w:color w:val="auto"/>
          <w:kern w:val="0"/>
          <w:sz w:val="24"/>
          <w:highlight w:val="none"/>
        </w:rPr>
        <w:t xml:space="preserve">：                  </w:t>
      </w:r>
    </w:p>
    <w:p w14:paraId="3DD53E00">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公 司 盖 章:                            </w:t>
      </w:r>
    </w:p>
    <w:p w14:paraId="2CECC978">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联系地址：    </w:t>
      </w:r>
    </w:p>
    <w:p w14:paraId="39EA2A9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      </w:t>
      </w:r>
    </w:p>
    <w:p w14:paraId="33C0EF0A">
      <w:pPr>
        <w:widowControl/>
        <w:spacing w:line="560" w:lineRule="exact"/>
        <w:ind w:firstLine="480" w:firstLineChars="200"/>
        <w:jc w:val="right"/>
        <w:rPr>
          <w:rFonts w:ascii="宋体" w:hAnsi="宋体" w:cs="宋体"/>
          <w:bCs/>
          <w:color w:val="auto"/>
          <w:kern w:val="0"/>
          <w:sz w:val="24"/>
          <w:highlight w:val="none"/>
        </w:rPr>
      </w:pPr>
      <w:r>
        <w:rPr>
          <w:rFonts w:ascii="宋体" w:hAnsi="宋体" w:cs="宋体"/>
          <w:bCs/>
          <w:color w:val="auto"/>
          <w:kern w:val="0"/>
          <w:sz w:val="24"/>
          <w:highlight w:val="none"/>
        </w:rPr>
        <w:t>日期：        年   月  日</w:t>
      </w:r>
    </w:p>
    <w:p w14:paraId="7183C798">
      <w:pPr>
        <w:widowControl/>
        <w:spacing w:line="560" w:lineRule="exact"/>
        <w:jc w:val="left"/>
        <w:rPr>
          <w:rFonts w:ascii="宋体" w:hAnsi="宋体" w:cs="宋体"/>
          <w:bCs/>
          <w:color w:val="auto"/>
          <w:kern w:val="0"/>
          <w:sz w:val="24"/>
          <w:highlight w:val="none"/>
        </w:rPr>
      </w:pPr>
      <w:r>
        <w:rPr>
          <w:rFonts w:ascii="宋体" w:hAnsi="宋体" w:cs="宋体"/>
          <w:bCs/>
          <w:color w:val="auto"/>
          <w:kern w:val="0"/>
          <w:sz w:val="24"/>
          <w:highlight w:val="none"/>
        </w:rPr>
        <w:t>注：未按照本响应函要求填报的将被视为非实质性响应响应，从而可能导致该响应被拒绝。</w:t>
      </w:r>
    </w:p>
    <w:p w14:paraId="0D69C502">
      <w:pPr>
        <w:widowControl/>
        <w:spacing w:line="560" w:lineRule="exact"/>
        <w:ind w:firstLine="480" w:firstLineChars="200"/>
        <w:jc w:val="left"/>
        <w:rPr>
          <w:rFonts w:ascii="宋体" w:hAnsi="宋体" w:cs="宋体"/>
          <w:bCs/>
          <w:color w:val="auto"/>
          <w:kern w:val="0"/>
          <w:sz w:val="24"/>
          <w:highlight w:val="none"/>
        </w:rPr>
      </w:pPr>
    </w:p>
    <w:p w14:paraId="34571890">
      <w:pPr>
        <w:widowControl/>
        <w:spacing w:line="560" w:lineRule="exact"/>
        <w:ind w:firstLine="480" w:firstLineChars="200"/>
        <w:jc w:val="left"/>
        <w:rPr>
          <w:rFonts w:ascii="宋体" w:hAnsi="宋体" w:cs="宋体"/>
          <w:bCs/>
          <w:color w:val="auto"/>
          <w:kern w:val="0"/>
          <w:sz w:val="24"/>
          <w:highlight w:val="none"/>
        </w:rPr>
      </w:pPr>
    </w:p>
    <w:p w14:paraId="6D486865">
      <w:pPr>
        <w:widowControl/>
        <w:spacing w:line="560" w:lineRule="exact"/>
        <w:ind w:firstLine="480" w:firstLineChars="200"/>
        <w:jc w:val="left"/>
        <w:rPr>
          <w:rFonts w:ascii="宋体" w:hAnsi="宋体" w:cs="宋体"/>
          <w:bCs/>
          <w:color w:val="auto"/>
          <w:kern w:val="0"/>
          <w:sz w:val="24"/>
          <w:highlight w:val="none"/>
        </w:rPr>
      </w:pPr>
    </w:p>
    <w:p w14:paraId="055D61D7">
      <w:pPr>
        <w:widowControl/>
        <w:spacing w:line="560" w:lineRule="exact"/>
        <w:ind w:firstLine="480" w:firstLineChars="200"/>
        <w:jc w:val="left"/>
        <w:rPr>
          <w:rFonts w:ascii="宋体" w:hAnsi="宋体" w:cs="宋体"/>
          <w:bCs/>
          <w:color w:val="auto"/>
          <w:kern w:val="0"/>
          <w:sz w:val="24"/>
          <w:highlight w:val="none"/>
        </w:rPr>
      </w:pPr>
    </w:p>
    <w:p w14:paraId="1C0A4E69">
      <w:pPr>
        <w:pStyle w:val="12"/>
      </w:pPr>
    </w:p>
    <w:p w14:paraId="3EF88818">
      <w:pPr>
        <w:widowControl/>
        <w:spacing w:line="560" w:lineRule="exact"/>
        <w:ind w:firstLine="482" w:firstLineChars="200"/>
        <w:jc w:val="left"/>
        <w:rPr>
          <w:rFonts w:ascii="宋体" w:hAnsi="宋体" w:cs="宋体"/>
          <w:b/>
          <w:bCs w:val="0"/>
          <w:color w:val="auto"/>
          <w:kern w:val="0"/>
          <w:sz w:val="24"/>
          <w:highlight w:val="none"/>
        </w:rPr>
      </w:pPr>
      <w:r>
        <w:rPr>
          <w:rFonts w:ascii="宋体" w:hAnsi="宋体" w:cs="宋体"/>
          <w:b/>
          <w:bCs w:val="0"/>
          <w:color w:val="auto"/>
          <w:kern w:val="0"/>
          <w:sz w:val="24"/>
          <w:highlight w:val="none"/>
        </w:rPr>
        <w:t>3.2营业执照副本</w:t>
      </w:r>
    </w:p>
    <w:p w14:paraId="12555B8A">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由</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提供加盖公章的复印件或扫描件</w:t>
      </w:r>
    </w:p>
    <w:p w14:paraId="34E3B4D5">
      <w:pPr>
        <w:widowControl/>
        <w:spacing w:line="560" w:lineRule="exact"/>
        <w:ind w:firstLine="480" w:firstLineChars="200"/>
        <w:jc w:val="left"/>
        <w:rPr>
          <w:rFonts w:ascii="宋体" w:hAnsi="宋体" w:cs="宋体"/>
          <w:color w:val="auto"/>
          <w:sz w:val="24"/>
          <w:highlight w:val="none"/>
        </w:rPr>
      </w:pPr>
      <w:r>
        <w:rPr>
          <w:rFonts w:ascii="宋体" w:hAnsi="宋体" w:cs="宋体"/>
          <w:bCs/>
          <w:color w:val="auto"/>
          <w:kern w:val="0"/>
          <w:sz w:val="24"/>
          <w:highlight w:val="none"/>
        </w:rPr>
        <w:br w:type="page"/>
      </w:r>
      <w:r>
        <w:rPr>
          <w:rFonts w:ascii="宋体" w:hAnsi="宋体" w:cs="宋体"/>
          <w:b/>
          <w:bCs/>
          <w:color w:val="auto"/>
          <w:sz w:val="24"/>
          <w:highlight w:val="none"/>
        </w:rPr>
        <w:t>3.3</w:t>
      </w:r>
      <w:r>
        <w:rPr>
          <w:rFonts w:hint="eastAsia" w:ascii="宋体" w:hAnsi="宋体" w:cs="宋体"/>
          <w:b/>
          <w:bCs/>
          <w:color w:val="auto"/>
          <w:sz w:val="24"/>
          <w:highlight w:val="none"/>
        </w:rPr>
        <w:t>法定代表人身份证明及授权委托书</w:t>
      </w:r>
    </w:p>
    <w:p w14:paraId="55518861">
      <w:pPr>
        <w:widowControl/>
        <w:spacing w:line="560" w:lineRule="exact"/>
        <w:ind w:firstLine="482" w:firstLineChars="200"/>
        <w:jc w:val="center"/>
        <w:rPr>
          <w:rFonts w:hint="default" w:ascii="宋体" w:hAnsi="宋体" w:eastAsia="宋体" w:cs="宋体"/>
          <w:b/>
          <w:bCs/>
          <w:color w:val="auto"/>
          <w:sz w:val="24"/>
          <w:highlight w:val="none"/>
          <w:lang w:val="en-US" w:eastAsia="zh-CN"/>
        </w:rPr>
      </w:pPr>
      <w:bookmarkStart w:id="61" w:name="_Toc21684"/>
      <w:bookmarkStart w:id="62" w:name="_Toc11659844"/>
      <w:r>
        <w:rPr>
          <w:rFonts w:hint="eastAsia" w:ascii="宋体" w:hAnsi="宋体" w:eastAsia="宋体" w:cs="宋体"/>
          <w:b/>
          <w:bCs/>
          <w:color w:val="auto"/>
          <w:sz w:val="24"/>
          <w:highlight w:val="none"/>
          <w:lang w:val="en-US" w:eastAsia="zh-CN"/>
        </w:rPr>
        <w:t>3.3.1、法定代表人身份证明</w:t>
      </w:r>
    </w:p>
    <w:p w14:paraId="7C4701B3">
      <w:pPr>
        <w:pStyle w:val="11"/>
        <w:rPr>
          <w:b/>
          <w:color w:val="auto"/>
          <w:sz w:val="24"/>
          <w:szCs w:val="24"/>
          <w:highlight w:val="none"/>
        </w:rPr>
      </w:pPr>
    </w:p>
    <w:p w14:paraId="0CA99545">
      <w:pPr>
        <w:pStyle w:val="11"/>
        <w:tabs>
          <w:tab w:val="left" w:pos="8341"/>
        </w:tabs>
        <w:ind w:left="218"/>
        <w:rPr>
          <w:rFonts w:ascii="Times New Roman" w:eastAsia="Times New Roman"/>
          <w:color w:val="auto"/>
          <w:sz w:val="24"/>
          <w:szCs w:val="24"/>
          <w:highlight w:val="none"/>
        </w:rPr>
      </w:pPr>
      <w:bookmarkStart w:id="63" w:name="供应商名称：                                  "/>
      <w:bookmarkEnd w:id="63"/>
      <w:r>
        <w:rPr>
          <w:color w:val="auto"/>
          <w:spacing w:val="-1"/>
          <w:sz w:val="24"/>
          <w:szCs w:val="24"/>
          <w:highlight w:val="none"/>
        </w:rPr>
        <w:t>供</w:t>
      </w:r>
      <w:r>
        <w:rPr>
          <w:color w:val="auto"/>
          <w:sz w:val="24"/>
          <w:szCs w:val="24"/>
          <w:highlight w:val="none"/>
        </w:rPr>
        <w:t>应商名称：</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50E00CFB">
      <w:pPr>
        <w:pStyle w:val="11"/>
        <w:tabs>
          <w:tab w:val="left" w:pos="8197"/>
        </w:tabs>
        <w:spacing w:before="74"/>
        <w:ind w:left="218"/>
        <w:rPr>
          <w:rFonts w:ascii="Times New Roman" w:eastAsia="Times New Roman"/>
          <w:color w:val="auto"/>
          <w:sz w:val="24"/>
          <w:szCs w:val="24"/>
          <w:highlight w:val="none"/>
        </w:rPr>
      </w:pPr>
      <w:r>
        <w:rPr>
          <w:color w:val="auto"/>
          <w:spacing w:val="-1"/>
          <w:sz w:val="24"/>
          <w:szCs w:val="24"/>
          <w:highlight w:val="none"/>
        </w:rPr>
        <w:t>单</w:t>
      </w:r>
      <w:r>
        <w:rPr>
          <w:color w:val="auto"/>
          <w:sz w:val="24"/>
          <w:szCs w:val="24"/>
          <w:highlight w:val="none"/>
        </w:rPr>
        <w:t>位性质：</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0EF83708">
      <w:pPr>
        <w:pStyle w:val="11"/>
        <w:tabs>
          <w:tab w:val="left" w:pos="938"/>
          <w:tab w:val="left" w:pos="8197"/>
        </w:tabs>
        <w:spacing w:before="74"/>
        <w:ind w:left="218"/>
        <w:rPr>
          <w:rFonts w:ascii="Times New Roman" w:eastAsia="Times New Roman"/>
          <w:color w:val="auto"/>
          <w:sz w:val="24"/>
          <w:szCs w:val="24"/>
          <w:highlight w:val="none"/>
        </w:rPr>
      </w:pPr>
      <w:r>
        <w:rPr>
          <w:color w:val="auto"/>
          <w:sz w:val="24"/>
          <w:szCs w:val="24"/>
          <w:highlight w:val="none"/>
        </w:rPr>
        <w:t>地</w:t>
      </w:r>
      <w:r>
        <w:rPr>
          <w:color w:val="auto"/>
          <w:sz w:val="24"/>
          <w:szCs w:val="24"/>
          <w:highlight w:val="none"/>
        </w:rPr>
        <w:tab/>
      </w:r>
      <w:r>
        <w:rPr>
          <w:color w:val="auto"/>
          <w:spacing w:val="-1"/>
          <w:sz w:val="24"/>
          <w:szCs w:val="24"/>
          <w:highlight w:val="none"/>
        </w:rPr>
        <w:t>址</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2F9FFEB8">
      <w:pPr>
        <w:pStyle w:val="11"/>
        <w:tabs>
          <w:tab w:val="left" w:pos="3458"/>
          <w:tab w:val="left" w:pos="5378"/>
          <w:tab w:val="left" w:pos="7298"/>
        </w:tabs>
        <w:spacing w:before="74"/>
        <w:ind w:left="218"/>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68A6A1CA">
      <w:pPr>
        <w:pStyle w:val="11"/>
        <w:tabs>
          <w:tab w:val="left" w:pos="8197"/>
        </w:tabs>
        <w:ind w:left="218"/>
        <w:rPr>
          <w:rFonts w:ascii="Times New Roman" w:eastAsia="Times New Roman"/>
          <w:color w:val="auto"/>
          <w:sz w:val="24"/>
          <w:szCs w:val="24"/>
          <w:highlight w:val="none"/>
        </w:rPr>
      </w:pPr>
      <w:r>
        <w:rPr>
          <w:color w:val="auto"/>
          <w:spacing w:val="-1"/>
          <w:sz w:val="24"/>
          <w:szCs w:val="24"/>
          <w:highlight w:val="none"/>
        </w:rPr>
        <w:t>经</w:t>
      </w:r>
      <w:r>
        <w:rPr>
          <w:color w:val="auto"/>
          <w:sz w:val="24"/>
          <w:szCs w:val="24"/>
          <w:highlight w:val="none"/>
        </w:rPr>
        <w:t>营期限：</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0BA3F297">
      <w:pPr>
        <w:pStyle w:val="11"/>
        <w:tabs>
          <w:tab w:val="left" w:pos="938"/>
          <w:tab w:val="left" w:pos="4538"/>
          <w:tab w:val="left" w:pos="5738"/>
          <w:tab w:val="left" w:pos="8197"/>
        </w:tabs>
        <w:spacing w:before="74"/>
        <w:ind w:left="218"/>
        <w:rPr>
          <w:rFonts w:ascii="Times New Roman" w:eastAsia="Times New Roman"/>
          <w:color w:val="auto"/>
          <w:sz w:val="24"/>
          <w:szCs w:val="24"/>
          <w:highlight w:val="none"/>
        </w:rPr>
      </w:pPr>
      <w:r>
        <w:rPr>
          <w:color w:val="auto"/>
          <w:sz w:val="24"/>
          <w:szCs w:val="24"/>
          <w:highlight w:val="none"/>
        </w:rPr>
        <w:t>姓</w:t>
      </w:r>
      <w:r>
        <w:rPr>
          <w:color w:val="auto"/>
          <w:sz w:val="24"/>
          <w:szCs w:val="24"/>
          <w:highlight w:val="none"/>
        </w:rPr>
        <w:tab/>
      </w:r>
      <w:r>
        <w:rPr>
          <w:color w:val="auto"/>
          <w:sz w:val="24"/>
          <w:szCs w:val="24"/>
          <w:highlight w:val="none"/>
        </w:rPr>
        <w:t>名：</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性</w:t>
      </w:r>
      <w:r>
        <w:rPr>
          <w:color w:val="auto"/>
          <w:sz w:val="24"/>
          <w:szCs w:val="24"/>
          <w:highlight w:val="none"/>
        </w:rPr>
        <w:tab/>
      </w:r>
      <w:r>
        <w:rPr>
          <w:color w:val="auto"/>
          <w:spacing w:val="-1"/>
          <w:sz w:val="24"/>
          <w:szCs w:val="24"/>
          <w:highlight w:val="none"/>
        </w:rPr>
        <w:t>别</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6235F1CC">
      <w:pPr>
        <w:pStyle w:val="11"/>
        <w:tabs>
          <w:tab w:val="left" w:pos="938"/>
          <w:tab w:val="left" w:pos="4538"/>
          <w:tab w:val="left" w:pos="5738"/>
          <w:tab w:val="left" w:pos="8197"/>
        </w:tabs>
        <w:spacing w:before="74"/>
        <w:ind w:left="218"/>
        <w:rPr>
          <w:rFonts w:ascii="Times New Roman" w:eastAsia="Times New Roman"/>
          <w:color w:val="auto"/>
          <w:sz w:val="24"/>
          <w:szCs w:val="24"/>
          <w:highlight w:val="none"/>
        </w:rPr>
      </w:pPr>
      <w:r>
        <w:rPr>
          <w:color w:val="auto"/>
          <w:sz w:val="24"/>
          <w:szCs w:val="24"/>
          <w:highlight w:val="none"/>
        </w:rPr>
        <w:t>年</w:t>
      </w:r>
      <w:r>
        <w:rPr>
          <w:color w:val="auto"/>
          <w:sz w:val="24"/>
          <w:szCs w:val="24"/>
          <w:highlight w:val="none"/>
        </w:rPr>
        <w:tab/>
      </w:r>
      <w:r>
        <w:rPr>
          <w:color w:val="auto"/>
          <w:sz w:val="24"/>
          <w:szCs w:val="24"/>
          <w:highlight w:val="none"/>
        </w:rPr>
        <w:t>龄：</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职</w:t>
      </w:r>
      <w:r>
        <w:rPr>
          <w:color w:val="auto"/>
          <w:sz w:val="24"/>
          <w:szCs w:val="24"/>
          <w:highlight w:val="none"/>
        </w:rPr>
        <w:tab/>
      </w:r>
      <w:r>
        <w:rPr>
          <w:color w:val="auto"/>
          <w:spacing w:val="-1"/>
          <w:sz w:val="24"/>
          <w:szCs w:val="24"/>
          <w:highlight w:val="none"/>
        </w:rPr>
        <w:t>务</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117E92E6">
      <w:pPr>
        <w:pStyle w:val="11"/>
        <w:tabs>
          <w:tab w:val="left" w:pos="6338"/>
        </w:tabs>
        <w:spacing w:before="74" w:line="448" w:lineRule="auto"/>
        <w:ind w:left="218" w:right="865"/>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（供应商名称）的法定代表人</w:t>
      </w:r>
      <w:r>
        <w:rPr>
          <w:color w:val="auto"/>
          <w:spacing w:val="-17"/>
          <w:sz w:val="24"/>
          <w:szCs w:val="24"/>
          <w:highlight w:val="none"/>
        </w:rPr>
        <w:t>。</w:t>
      </w:r>
      <w:r>
        <w:rPr>
          <w:color w:val="auto"/>
          <w:sz w:val="24"/>
          <w:szCs w:val="24"/>
          <w:highlight w:val="none"/>
        </w:rPr>
        <w:t>特此证明。</w:t>
      </w:r>
    </w:p>
    <w:tbl>
      <w:tblPr>
        <w:tblStyle w:val="87"/>
        <w:tblW w:w="8282" w:type="dxa"/>
        <w:tblInd w:w="473" w:type="dxa"/>
        <w:tblLayout w:type="autofit"/>
        <w:tblCellMar>
          <w:top w:w="59" w:type="dxa"/>
          <w:left w:w="108" w:type="dxa"/>
          <w:bottom w:w="0" w:type="dxa"/>
          <w:right w:w="115" w:type="dxa"/>
        </w:tblCellMar>
      </w:tblPr>
      <w:tblGrid>
        <w:gridCol w:w="3781"/>
        <w:gridCol w:w="720"/>
        <w:gridCol w:w="3781"/>
      </w:tblGrid>
      <w:tr w14:paraId="6F0DD2B9">
        <w:tblPrEx>
          <w:tblCellMar>
            <w:top w:w="59" w:type="dxa"/>
            <w:left w:w="108" w:type="dxa"/>
            <w:bottom w:w="0" w:type="dxa"/>
            <w:right w:w="115" w:type="dxa"/>
          </w:tblCellMar>
        </w:tblPrEx>
        <w:trPr>
          <w:trHeight w:val="2194" w:hRule="atLeast"/>
        </w:trPr>
        <w:tc>
          <w:tcPr>
            <w:tcW w:w="3781" w:type="dxa"/>
            <w:tcBorders>
              <w:top w:val="single" w:color="000000" w:sz="4" w:space="0"/>
              <w:left w:val="single" w:color="000000" w:sz="4" w:space="0"/>
              <w:bottom w:val="single" w:color="000000" w:sz="4" w:space="0"/>
              <w:right w:val="single" w:color="000000" w:sz="4" w:space="0"/>
            </w:tcBorders>
            <w:vAlign w:val="center"/>
          </w:tcPr>
          <w:p w14:paraId="62290599">
            <w:pPr>
              <w:ind w:left="1" w:firstLine="480"/>
              <w:jc w:val="center"/>
              <w:rPr>
                <w:rFonts w:ascii="宋体" w:hAnsi="宋体" w:cs="宋体"/>
                <w:color w:val="auto"/>
                <w:sz w:val="24"/>
                <w:szCs w:val="24"/>
              </w:rPr>
            </w:pPr>
            <w:r>
              <w:rPr>
                <w:rFonts w:hint="eastAsia" w:ascii="宋体" w:hAnsi="宋体" w:cs="宋体"/>
                <w:color w:val="auto"/>
                <w:sz w:val="24"/>
                <w:szCs w:val="24"/>
              </w:rPr>
              <w:t xml:space="preserve">附法定代表人身份证人像面复印件 </w:t>
            </w:r>
          </w:p>
        </w:tc>
        <w:tc>
          <w:tcPr>
            <w:tcW w:w="720" w:type="dxa"/>
            <w:tcBorders>
              <w:top w:val="nil"/>
              <w:left w:val="single" w:color="000000" w:sz="4" w:space="0"/>
              <w:bottom w:val="nil"/>
              <w:right w:val="single" w:color="000000" w:sz="4" w:space="0"/>
            </w:tcBorders>
          </w:tcPr>
          <w:p w14:paraId="616994AB">
            <w:pPr>
              <w:ind w:firstLine="480"/>
              <w:rPr>
                <w:rFonts w:ascii="宋体" w:hAnsi="宋体" w:cs="宋体"/>
                <w:color w:val="auto"/>
                <w:sz w:val="24"/>
                <w:szCs w:val="24"/>
              </w:rPr>
            </w:pPr>
            <w:r>
              <w:rPr>
                <w:rFonts w:hint="eastAsia" w:ascii="宋体" w:hAnsi="宋体" w:cs="宋体"/>
                <w:color w:val="auto"/>
                <w:sz w:val="24"/>
                <w:szCs w:val="24"/>
              </w:rPr>
              <w:t xml:space="preserve"> </w:t>
            </w:r>
          </w:p>
        </w:tc>
        <w:tc>
          <w:tcPr>
            <w:tcW w:w="3781" w:type="dxa"/>
            <w:tcBorders>
              <w:top w:val="single" w:color="000000" w:sz="4" w:space="0"/>
              <w:left w:val="single" w:color="000000" w:sz="4" w:space="0"/>
              <w:bottom w:val="single" w:color="000000" w:sz="4" w:space="0"/>
              <w:right w:val="single" w:color="000000" w:sz="4" w:space="0"/>
            </w:tcBorders>
            <w:vAlign w:val="center"/>
          </w:tcPr>
          <w:p w14:paraId="46D320C6">
            <w:pPr>
              <w:ind w:left="105" w:firstLine="480"/>
              <w:jc w:val="center"/>
              <w:rPr>
                <w:rFonts w:ascii="宋体" w:hAnsi="宋体" w:cs="宋体"/>
                <w:color w:val="auto"/>
                <w:sz w:val="24"/>
                <w:szCs w:val="24"/>
              </w:rPr>
            </w:pPr>
            <w:r>
              <w:rPr>
                <w:rFonts w:hint="eastAsia" w:ascii="宋体" w:hAnsi="宋体" w:cs="宋体"/>
                <w:color w:val="auto"/>
                <w:sz w:val="24"/>
                <w:szCs w:val="24"/>
              </w:rPr>
              <w:t xml:space="preserve"> 附法定代表人身份证国徽面复印件</w:t>
            </w:r>
          </w:p>
        </w:tc>
      </w:tr>
    </w:tbl>
    <w:p w14:paraId="2CFD4079">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auto"/>
          <w:sz w:val="24"/>
          <w:szCs w:val="24"/>
          <w:lang w:eastAsia="zh-CN"/>
        </w:rPr>
      </w:pPr>
    </w:p>
    <w:p w14:paraId="79D3B12B">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auto"/>
          <w:sz w:val="24"/>
          <w:szCs w:val="24"/>
          <w:lang w:eastAsia="zh-CN"/>
        </w:rPr>
      </w:pPr>
    </w:p>
    <w:p w14:paraId="7667BFC6">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auto"/>
          <w:sz w:val="24"/>
          <w:szCs w:val="24"/>
        </w:rPr>
      </w:pP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名称（加盖公章）：</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p>
    <w:p w14:paraId="1100F8FC">
      <w:pPr>
        <w:pStyle w:val="6"/>
        <w:keepNext w:val="0"/>
        <w:keepLines w:val="0"/>
        <w:pageBreakBefore w:val="0"/>
        <w:widowControl w:val="0"/>
        <w:kinsoku/>
        <w:wordWrap/>
        <w:overflowPunct w:val="0"/>
        <w:topLinePunct w:val="0"/>
        <w:autoSpaceDE w:val="0"/>
        <w:autoSpaceDN w:val="0"/>
        <w:bidi w:val="0"/>
        <w:snapToGrid/>
        <w:spacing w:line="360" w:lineRule="auto"/>
        <w:ind w:firstLine="482"/>
        <w:jc w:val="center"/>
        <w:rPr>
          <w:rFonts w:hint="eastAsia" w:ascii="宋体" w:hAnsi="宋体" w:eastAsia="宋体" w:cs="宋体"/>
          <w:b/>
          <w:color w:val="auto"/>
          <w:sz w:val="24"/>
          <w:szCs w:val="24"/>
        </w:rPr>
      </w:pPr>
      <w:r>
        <w:rPr>
          <w:rFonts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期：</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年</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月</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日</w:t>
      </w:r>
      <w:r>
        <w:rPr>
          <w:rFonts w:hint="eastAsia" w:ascii="宋体" w:hAnsi="宋体" w:cs="宋体"/>
          <w:b/>
          <w:color w:val="auto"/>
          <w:sz w:val="24"/>
          <w:szCs w:val="24"/>
          <w:highlight w:val="none"/>
        </w:rPr>
        <w:br w:type="page"/>
      </w:r>
      <w:bookmarkEnd w:id="61"/>
      <w:bookmarkEnd w:id="62"/>
      <w:r>
        <w:rPr>
          <w:rFonts w:hint="eastAsia" w:ascii="宋体" w:hAnsi="宋体" w:cs="宋体"/>
          <w:b/>
          <w:color w:val="auto"/>
          <w:sz w:val="24"/>
          <w:szCs w:val="24"/>
          <w:highlight w:val="none"/>
          <w:lang w:val="en-US" w:eastAsia="zh-CN"/>
        </w:rPr>
        <w:t>3.3.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授权委托书</w:t>
      </w:r>
    </w:p>
    <w:p w14:paraId="679B8B90">
      <w:pPr>
        <w:keepNext w:val="0"/>
        <w:keepLines w:val="0"/>
        <w:pageBreakBefore w:val="0"/>
        <w:widowControl w:val="0"/>
        <w:kinsoku/>
        <w:wordWrap/>
        <w:topLinePunct w:val="0"/>
        <w:autoSpaceDE w:val="0"/>
        <w:autoSpaceDN w:val="0"/>
        <w:bidi w:val="0"/>
        <w:snapToGri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14:paraId="7BBF8E6B">
      <w:pPr>
        <w:keepNext w:val="0"/>
        <w:keepLines w:val="0"/>
        <w:pageBreakBefore w:val="0"/>
        <w:widowControl w:val="0"/>
        <w:kinsoku/>
        <w:wordWrap/>
        <w:topLinePunct w:val="0"/>
        <w:autoSpaceDE w:val="0"/>
        <w:autoSpaceDN w:val="0"/>
        <w:bidi w:val="0"/>
        <w:snapToGrid/>
        <w:spacing w:line="360" w:lineRule="auto"/>
        <w:ind w:firstLine="840" w:firstLineChars="35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（供应商全称）</w:t>
      </w:r>
      <w:r>
        <w:rPr>
          <w:rFonts w:hint="eastAsia" w:ascii="宋体" w:hAnsi="宋体" w:eastAsia="宋体" w:cs="宋体"/>
          <w:color w:val="auto"/>
          <w:sz w:val="24"/>
          <w:szCs w:val="24"/>
        </w:rPr>
        <w:t>法定代表人，兹委派我单位</w:t>
      </w:r>
      <w:r>
        <w:rPr>
          <w:rFonts w:hint="eastAsia" w:ascii="宋体" w:hAnsi="宋体" w:eastAsia="宋体" w:cs="宋体"/>
          <w:color w:val="auto"/>
          <w:sz w:val="24"/>
          <w:szCs w:val="24"/>
          <w:u w:val="single"/>
        </w:rPr>
        <w:t xml:space="preserve">     (全权代表姓名)</w:t>
      </w:r>
      <w:r>
        <w:rPr>
          <w:rFonts w:hint="eastAsia" w:ascii="宋体" w:hAnsi="宋体" w:eastAsia="宋体" w:cs="宋体"/>
          <w:color w:val="auto"/>
          <w:sz w:val="24"/>
          <w:szCs w:val="24"/>
        </w:rPr>
        <w:t>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）的竞争性磋商采购活动，全权代表我单位处理本次磋商中的有关事务</w:t>
      </w:r>
      <w:r>
        <w:rPr>
          <w:rFonts w:hint="eastAsia" w:eastAsia="宋体" w:cs="宋体"/>
          <w:color w:val="auto"/>
          <w:kern w:val="0"/>
          <w:sz w:val="24"/>
          <w:szCs w:val="24"/>
          <w:highlight w:val="none"/>
          <w:lang w:eastAsia="zh-CN"/>
        </w:rPr>
        <w:t>，</w:t>
      </w:r>
      <w:r>
        <w:rPr>
          <w:rFonts w:hint="eastAsia" w:ascii="宋体" w:hAnsi="宋体"/>
          <w:color w:val="auto"/>
          <w:sz w:val="24"/>
          <w:szCs w:val="24"/>
          <w:highlight w:val="none"/>
        </w:rPr>
        <w:t>其法律后果由我方承担</w:t>
      </w:r>
      <w:r>
        <w:rPr>
          <w:rFonts w:hint="eastAsia" w:ascii="宋体" w:hAnsi="宋体" w:eastAsia="宋体" w:cs="宋体"/>
          <w:color w:val="auto"/>
          <w:sz w:val="24"/>
          <w:szCs w:val="24"/>
        </w:rPr>
        <w:t>。</w:t>
      </w:r>
    </w:p>
    <w:p w14:paraId="1049CB9B">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特此授权！</w:t>
      </w:r>
    </w:p>
    <w:p w14:paraId="426EA7BD">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授权人无转委权。</w:t>
      </w:r>
    </w:p>
    <w:p w14:paraId="79FA517E">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附全权代表情况：</w:t>
      </w:r>
      <w:r>
        <w:rPr>
          <w:rFonts w:hint="eastAsia" w:ascii="宋体" w:hAnsi="宋体" w:eastAsia="宋体" w:cs="宋体"/>
          <w:b/>
          <w:color w:val="auto"/>
          <w:sz w:val="24"/>
          <w:szCs w:val="24"/>
        </w:rPr>
        <w:t xml:space="preserve"> </w:t>
      </w:r>
    </w:p>
    <w:p w14:paraId="7B6D7C86">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身份证号码:</w:t>
      </w:r>
      <w:r>
        <w:rPr>
          <w:rFonts w:hint="eastAsia" w:ascii="宋体" w:hAnsi="宋体" w:eastAsia="宋体" w:cs="宋体"/>
          <w:color w:val="auto"/>
          <w:sz w:val="24"/>
          <w:szCs w:val="24"/>
          <w:u w:val="single"/>
        </w:rPr>
        <w:t xml:space="preserve">                   ：</w:t>
      </w:r>
    </w:p>
    <w:p w14:paraId="46320C53">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部门：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00C5CA2">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   </w:t>
      </w:r>
    </w:p>
    <w:p w14:paraId="2CD15C94">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4CF79D5A">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p>
    <w:tbl>
      <w:tblPr>
        <w:tblStyle w:val="36"/>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14:paraId="48B5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4" w:hRule="atLeast"/>
        </w:trPr>
        <w:tc>
          <w:tcPr>
            <w:tcW w:w="3780" w:type="dxa"/>
            <w:vAlign w:val="center"/>
          </w:tcPr>
          <w:p w14:paraId="25B39634">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附被委托人身份证人像面复印件</w:t>
            </w:r>
          </w:p>
        </w:tc>
        <w:tc>
          <w:tcPr>
            <w:tcW w:w="720" w:type="dxa"/>
            <w:tcBorders>
              <w:top w:val="nil"/>
              <w:bottom w:val="nil"/>
            </w:tcBorders>
          </w:tcPr>
          <w:p w14:paraId="5B8BFFCC">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rPr>
                <w:rFonts w:hint="eastAsia" w:ascii="宋体" w:hAnsi="宋体" w:eastAsia="宋体" w:cs="宋体"/>
                <w:color w:val="auto"/>
                <w:sz w:val="24"/>
                <w:szCs w:val="24"/>
                <w:u w:val="single"/>
              </w:rPr>
            </w:pPr>
          </w:p>
        </w:tc>
        <w:tc>
          <w:tcPr>
            <w:tcW w:w="3780" w:type="dxa"/>
            <w:vAlign w:val="center"/>
          </w:tcPr>
          <w:p w14:paraId="373AC579">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附被委托人身份证国徽面复印件</w:t>
            </w:r>
          </w:p>
        </w:tc>
      </w:tr>
    </w:tbl>
    <w:p w14:paraId="689F724B">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auto"/>
          <w:sz w:val="24"/>
          <w:szCs w:val="24"/>
        </w:rPr>
      </w:pP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名称（加盖公章）：</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p>
    <w:p w14:paraId="0A0C6412">
      <w:pPr>
        <w:widowControl/>
        <w:spacing w:line="560" w:lineRule="exact"/>
        <w:ind w:firstLine="480" w:firstLineChars="200"/>
        <w:rPr>
          <w:rFonts w:hint="default" w:ascii="宋体" w:hAnsi="宋体" w:eastAsia="宋体" w:cs="宋体"/>
          <w:color w:val="auto"/>
          <w:sz w:val="24"/>
          <w:szCs w:val="24"/>
          <w:u w:val="single"/>
          <w:lang w:val="en-US" w:eastAsia="zh-CN"/>
        </w:rPr>
      </w:pPr>
      <w:r>
        <w:rPr>
          <w:rFonts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ascii="宋体" w:hAnsi="宋体" w:cs="宋体"/>
          <w:color w:val="auto"/>
          <w:kern w:val="0"/>
          <w:sz w:val="24"/>
          <w:highlight w:val="none"/>
        </w:rPr>
        <w:t>法定代表人</w:t>
      </w:r>
      <w:r>
        <w:rPr>
          <w:rFonts w:hint="eastAsia" w:ascii="宋体" w:hAnsi="宋体" w:eastAsia="宋体" w:cs="宋体"/>
          <w:color w:val="auto"/>
          <w:sz w:val="24"/>
          <w:szCs w:val="24"/>
          <w:lang w:val="en-US" w:eastAsia="zh-CN"/>
        </w:rPr>
        <w:t xml:space="preserve">签字或盖章： </w:t>
      </w:r>
      <w:r>
        <w:rPr>
          <w:rFonts w:hint="eastAsia" w:ascii="宋体" w:hAnsi="宋体" w:eastAsia="宋体" w:cs="宋体"/>
          <w:color w:val="auto"/>
          <w:sz w:val="24"/>
          <w:szCs w:val="24"/>
          <w:u w:val="single"/>
          <w:lang w:val="en-US" w:eastAsia="zh-CN"/>
        </w:rPr>
        <w:t xml:space="preserve">           </w:t>
      </w:r>
    </w:p>
    <w:p w14:paraId="2A093542">
      <w:pPr>
        <w:widowControl/>
        <w:spacing w:line="560" w:lineRule="exact"/>
        <w:ind w:firstLine="3360" w:firstLineChars="1400"/>
        <w:rPr>
          <w:rFonts w:hint="eastAsia" w:ascii="宋体" w:hAnsi="宋体" w:cs="宋体"/>
          <w:b/>
          <w:color w:val="auto"/>
          <w:sz w:val="24"/>
          <w:szCs w:val="24"/>
          <w:highlight w:val="none"/>
        </w:rPr>
      </w:pPr>
      <w:r>
        <w:rPr>
          <w:rFonts w:ascii="宋体" w:hAnsi="宋体" w:eastAsia="宋体" w:cs="宋体"/>
          <w:color w:val="auto"/>
          <w:sz w:val="24"/>
          <w:szCs w:val="24"/>
        </w:rPr>
        <w:t>日</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期：</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年</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月</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日</w:t>
      </w:r>
    </w:p>
    <w:p w14:paraId="00FD728A">
      <w:pPr>
        <w:widowControl/>
        <w:spacing w:line="560" w:lineRule="exact"/>
        <w:ind w:firstLine="482" w:firstLineChars="200"/>
        <w:rPr>
          <w:rFonts w:ascii="宋体" w:hAnsi="宋体" w:cs="宋体"/>
          <w:b/>
          <w:bCs/>
          <w:color w:val="auto"/>
          <w:sz w:val="24"/>
          <w:highlight w:val="none"/>
        </w:rPr>
      </w:pPr>
    </w:p>
    <w:p w14:paraId="7210069A">
      <w:pPr>
        <w:widowControl/>
        <w:spacing w:line="560" w:lineRule="exact"/>
        <w:ind w:firstLine="482" w:firstLineChars="200"/>
        <w:rPr>
          <w:rFonts w:ascii="宋体" w:hAnsi="宋体" w:cs="宋体"/>
          <w:b/>
          <w:bCs/>
          <w:color w:val="auto"/>
          <w:sz w:val="24"/>
          <w:highlight w:val="none"/>
        </w:rPr>
      </w:pPr>
    </w:p>
    <w:p w14:paraId="7DB2BF5C">
      <w:pPr>
        <w:widowControl/>
        <w:spacing w:line="560" w:lineRule="exact"/>
        <w:rPr>
          <w:rFonts w:ascii="宋体" w:hAnsi="宋体" w:cs="宋体"/>
          <w:b/>
          <w:bCs/>
          <w:color w:val="auto"/>
          <w:sz w:val="24"/>
          <w:highlight w:val="none"/>
        </w:rPr>
      </w:pPr>
    </w:p>
    <w:p w14:paraId="3462DA39">
      <w:pPr>
        <w:widowControl/>
        <w:spacing w:line="560" w:lineRule="exact"/>
        <w:rPr>
          <w:rFonts w:ascii="宋体" w:hAnsi="宋体" w:cs="宋体"/>
          <w:b/>
          <w:bCs/>
          <w:color w:val="auto"/>
          <w:sz w:val="24"/>
          <w:highlight w:val="none"/>
        </w:rPr>
      </w:pPr>
    </w:p>
    <w:p w14:paraId="49C347CA">
      <w:pPr>
        <w:widowControl/>
        <w:spacing w:line="560" w:lineRule="exact"/>
        <w:ind w:firstLine="482" w:firstLineChars="200"/>
        <w:rPr>
          <w:rFonts w:ascii="宋体" w:hAnsi="宋体" w:cs="宋体"/>
          <w:b/>
          <w:bCs/>
          <w:color w:val="auto"/>
          <w:kern w:val="0"/>
          <w:sz w:val="24"/>
          <w:highlight w:val="none"/>
        </w:rPr>
      </w:pPr>
      <w:r>
        <w:rPr>
          <w:rFonts w:ascii="宋体" w:hAnsi="宋体" w:cs="宋体"/>
          <w:b/>
          <w:bCs/>
          <w:color w:val="auto"/>
          <w:sz w:val="24"/>
          <w:highlight w:val="none"/>
        </w:rPr>
        <w:t>3.4</w:t>
      </w:r>
      <w:r>
        <w:rPr>
          <w:rFonts w:ascii="宋体" w:hAnsi="宋体" w:cs="宋体"/>
          <w:b/>
          <w:bCs/>
          <w:color w:val="auto"/>
          <w:kern w:val="0"/>
          <w:sz w:val="24"/>
          <w:highlight w:val="none"/>
        </w:rPr>
        <w:t>缴纳税收和社会保障资金等证明告知承诺书</w:t>
      </w:r>
    </w:p>
    <w:p w14:paraId="24B2D243">
      <w:pPr>
        <w:widowControl/>
        <w:spacing w:line="560" w:lineRule="exact"/>
        <w:rPr>
          <w:rFonts w:ascii="宋体" w:hAnsi="宋体" w:cs="宋体"/>
          <w:color w:val="auto"/>
          <w:kern w:val="0"/>
          <w:sz w:val="24"/>
          <w:highlight w:val="none"/>
        </w:rPr>
      </w:pPr>
    </w:p>
    <w:p w14:paraId="5165E20F">
      <w:pPr>
        <w:spacing w:line="560" w:lineRule="exact"/>
        <w:jc w:val="center"/>
        <w:rPr>
          <w:rFonts w:ascii="宋体" w:hAnsi="宋体" w:cs="宋体"/>
          <w:b/>
          <w:bCs/>
          <w:color w:val="auto"/>
          <w:kern w:val="0"/>
          <w:sz w:val="24"/>
          <w:highlight w:val="none"/>
        </w:rPr>
      </w:pPr>
      <w:r>
        <w:rPr>
          <w:rFonts w:ascii="宋体" w:hAnsi="宋体" w:cs="宋体"/>
          <w:b/>
          <w:bCs/>
          <w:color w:val="auto"/>
          <w:kern w:val="0"/>
          <w:sz w:val="24"/>
          <w:highlight w:val="none"/>
        </w:rPr>
        <w:t>供应商缴纳税收和社会保障资金等证明告知承诺书</w:t>
      </w:r>
    </w:p>
    <w:p w14:paraId="512A817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本公司（联合体）郑重承诺：</w:t>
      </w:r>
    </w:p>
    <w:p w14:paraId="3346742F">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1.承诺具有良好的商业信誉和健全的财务会计制度；</w:t>
      </w:r>
    </w:p>
    <w:p w14:paraId="2612B74E">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2.承诺依法缴纳税收和社会保障资金的良好记录；</w:t>
      </w:r>
    </w:p>
    <w:p w14:paraId="1401FE6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3.承诺参加政府采购活动前三年内，在经营活动中没有重大违法记录。</w:t>
      </w:r>
    </w:p>
    <w:p w14:paraId="4CD0E08A">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我公司对上述承诺内容的真实性负责，如虚假承诺，将依法承担相应法律责任。</w:t>
      </w:r>
    </w:p>
    <w:p w14:paraId="0EA308EA">
      <w:pPr>
        <w:spacing w:line="600" w:lineRule="exact"/>
        <w:rPr>
          <w:rFonts w:ascii="宋体" w:hAnsi="宋体" w:cs="宋体"/>
          <w:color w:val="auto"/>
          <w:kern w:val="0"/>
          <w:sz w:val="24"/>
          <w:highlight w:val="none"/>
        </w:rPr>
      </w:pPr>
    </w:p>
    <w:p w14:paraId="7D67A70B">
      <w:pPr>
        <w:spacing w:line="600" w:lineRule="exact"/>
        <w:rPr>
          <w:rFonts w:ascii="宋体" w:hAnsi="宋体" w:cs="宋体"/>
          <w:color w:val="auto"/>
          <w:kern w:val="0"/>
          <w:sz w:val="24"/>
          <w:highlight w:val="none"/>
        </w:rPr>
      </w:pPr>
    </w:p>
    <w:p w14:paraId="019D0088">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5A34AAAC">
      <w:pPr>
        <w:spacing w:line="600" w:lineRule="exact"/>
        <w:ind w:firstLine="120" w:firstLineChars="50"/>
        <w:rPr>
          <w:rFonts w:ascii="宋体" w:hAnsi="宋体" w:cs="宋体"/>
          <w:color w:val="auto"/>
          <w:kern w:val="0"/>
          <w:sz w:val="24"/>
          <w:highlight w:val="none"/>
        </w:rPr>
      </w:pPr>
    </w:p>
    <w:p w14:paraId="47770B33">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4E43BD51">
      <w:pPr>
        <w:spacing w:before="66" w:line="360" w:lineRule="auto"/>
        <w:ind w:left="218" w:right="0" w:firstLine="0"/>
        <w:jc w:val="left"/>
        <w:rPr>
          <w:rFonts w:hint="eastAsia"/>
          <w:b/>
          <w:color w:val="auto"/>
          <w:sz w:val="24"/>
          <w:szCs w:val="24"/>
          <w:highlight w:val="none"/>
        </w:rPr>
      </w:pPr>
      <w:r>
        <w:rPr>
          <w:rFonts w:ascii="宋体" w:hAnsi="宋体" w:cs="宋体"/>
          <w:color w:val="auto"/>
          <w:kern w:val="0"/>
          <w:sz w:val="24"/>
          <w:highlight w:val="none"/>
        </w:rPr>
        <w:t xml:space="preserve">                                               年  月  日</w:t>
      </w:r>
      <w:r>
        <w:rPr>
          <w:rFonts w:ascii="宋体" w:hAnsi="宋体" w:cs="宋体"/>
          <w:color w:val="auto"/>
          <w:kern w:val="0"/>
          <w:sz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3.5供应商具有履行合同所必</w:t>
      </w:r>
      <w:r>
        <w:rPr>
          <w:rFonts w:hint="eastAsia"/>
          <w:b/>
          <w:color w:val="auto"/>
          <w:sz w:val="24"/>
          <w:szCs w:val="24"/>
          <w:highlight w:val="none"/>
        </w:rPr>
        <w:t>需的设备和专业技术能力承诺书</w:t>
      </w:r>
    </w:p>
    <w:p w14:paraId="07F72D71">
      <w:pPr>
        <w:spacing w:line="360" w:lineRule="auto"/>
        <w:ind w:firstLine="480" w:firstLineChars="200"/>
        <w:rPr>
          <w:rFonts w:hint="eastAsia" w:ascii="宋体" w:hAnsi="宋体" w:eastAsia="宋体" w:cs="宋体"/>
          <w:color w:val="auto"/>
          <w:sz w:val="24"/>
          <w:szCs w:val="24"/>
        </w:rPr>
      </w:pPr>
    </w:p>
    <w:p w14:paraId="0B9F75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 (联合体) 郑重承诺： </w:t>
      </w:r>
    </w:p>
    <w:p w14:paraId="31CC80E3">
      <w:pPr>
        <w:numPr>
          <w:ilvl w:val="0"/>
          <w:numId w:val="0"/>
        </w:numPr>
        <w:spacing w:line="360" w:lineRule="auto"/>
        <w:ind w:left="105"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承诺具有履行合同所必需的设备和专业技术能力；                </w:t>
      </w:r>
    </w:p>
    <w:p w14:paraId="1580B177">
      <w:pPr>
        <w:spacing w:line="360" w:lineRule="auto"/>
        <w:ind w:firstLine="480" w:firstLineChars="200"/>
        <w:rPr>
          <w:rFonts w:hint="eastAsia" w:ascii="宋体" w:hAnsi="宋体" w:eastAsia="宋体" w:cs="宋体"/>
          <w:color w:val="auto"/>
          <w:sz w:val="24"/>
          <w:szCs w:val="24"/>
        </w:rPr>
      </w:pPr>
    </w:p>
    <w:p w14:paraId="4C8109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我公司对上述承诺内容的真实性负责，如虚假承诺，将依法承担相应法律责任。</w:t>
      </w:r>
    </w:p>
    <w:p w14:paraId="6036EDD8">
      <w:pPr>
        <w:spacing w:line="360" w:lineRule="auto"/>
        <w:ind w:firstLine="480" w:firstLineChars="200"/>
        <w:rPr>
          <w:rFonts w:hint="eastAsia" w:ascii="宋体" w:hAnsi="宋体" w:eastAsia="宋体" w:cs="宋体"/>
          <w:color w:val="auto"/>
          <w:sz w:val="24"/>
          <w:szCs w:val="24"/>
        </w:rPr>
      </w:pPr>
    </w:p>
    <w:p w14:paraId="7385D1D2">
      <w:pPr>
        <w:spacing w:line="360" w:lineRule="auto"/>
        <w:ind w:firstLine="480" w:firstLineChars="200"/>
        <w:rPr>
          <w:rFonts w:hint="eastAsia" w:ascii="宋体" w:hAnsi="宋体" w:eastAsia="宋体" w:cs="宋体"/>
          <w:color w:val="auto"/>
          <w:sz w:val="24"/>
          <w:szCs w:val="24"/>
        </w:rPr>
      </w:pPr>
    </w:p>
    <w:p w14:paraId="0CD0F829">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76CBC329">
      <w:pPr>
        <w:spacing w:line="600" w:lineRule="exact"/>
        <w:ind w:firstLine="120" w:firstLineChars="50"/>
        <w:rPr>
          <w:rFonts w:ascii="宋体" w:hAnsi="宋体" w:cs="宋体"/>
          <w:color w:val="auto"/>
          <w:kern w:val="0"/>
          <w:sz w:val="24"/>
          <w:highlight w:val="none"/>
        </w:rPr>
      </w:pPr>
    </w:p>
    <w:p w14:paraId="1EC183E7">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3A5EC675">
      <w:pPr>
        <w:spacing w:line="360" w:lineRule="auto"/>
        <w:ind w:firstLine="7680" w:firstLineChars="3200"/>
        <w:jc w:val="right"/>
        <w:rPr>
          <w:rFonts w:ascii="宋体" w:hAnsi="宋体" w:cs="宋体"/>
          <w:color w:val="auto"/>
          <w:kern w:val="0"/>
          <w:sz w:val="24"/>
          <w:highlight w:val="none"/>
        </w:rPr>
      </w:pPr>
      <w:r>
        <w:rPr>
          <w:rFonts w:ascii="宋体" w:hAnsi="宋体" w:cs="宋体"/>
          <w:color w:val="auto"/>
          <w:kern w:val="0"/>
          <w:sz w:val="24"/>
          <w:highlight w:val="none"/>
        </w:rPr>
        <w:t xml:space="preserve">                                               年  月  日</w:t>
      </w:r>
    </w:p>
    <w:p w14:paraId="63D0CFDC">
      <w:pPr>
        <w:rPr>
          <w:rFonts w:ascii="宋体" w:hAnsi="宋体" w:cs="宋体"/>
          <w:color w:val="auto"/>
          <w:kern w:val="0"/>
          <w:sz w:val="24"/>
          <w:highlight w:val="none"/>
        </w:rPr>
      </w:pPr>
      <w:r>
        <w:rPr>
          <w:rFonts w:ascii="宋体" w:hAnsi="宋体" w:cs="宋体"/>
          <w:color w:val="auto"/>
          <w:kern w:val="0"/>
          <w:sz w:val="24"/>
          <w:highlight w:val="none"/>
        </w:rPr>
        <w:br w:type="page"/>
      </w:r>
    </w:p>
    <w:p w14:paraId="79A31DEF">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商务得分一览表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5077"/>
        <w:gridCol w:w="1677"/>
      </w:tblGrid>
      <w:tr w14:paraId="32AD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restart"/>
            <w:noWrap w:val="0"/>
            <w:vAlign w:val="center"/>
          </w:tcPr>
          <w:p w14:paraId="16C9C47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hAnsi="宋体" w:cs="宋体"/>
                <w:sz w:val="24"/>
                <w:lang w:eastAsia="zh-CN"/>
              </w:rPr>
              <w:t>资质认证</w:t>
            </w:r>
          </w:p>
        </w:tc>
        <w:tc>
          <w:tcPr>
            <w:tcW w:w="5077" w:type="dxa"/>
            <w:noWrap w:val="0"/>
            <w:vAlign w:val="center"/>
          </w:tcPr>
          <w:p w14:paraId="662DD5B2">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证书名称</w:t>
            </w:r>
          </w:p>
        </w:tc>
        <w:tc>
          <w:tcPr>
            <w:tcW w:w="1677" w:type="dxa"/>
            <w:noWrap w:val="0"/>
            <w:vAlign w:val="center"/>
          </w:tcPr>
          <w:p w14:paraId="4B184BFF">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发证单位</w:t>
            </w:r>
          </w:p>
        </w:tc>
      </w:tr>
      <w:tr w14:paraId="2860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1B56449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c>
          <w:tcPr>
            <w:tcW w:w="5077" w:type="dxa"/>
            <w:noWrap w:val="0"/>
            <w:vAlign w:val="center"/>
          </w:tcPr>
          <w:p w14:paraId="53D3DB17">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15883F61">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r w14:paraId="128A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44664B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c>
          <w:tcPr>
            <w:tcW w:w="5077" w:type="dxa"/>
            <w:noWrap w:val="0"/>
            <w:vAlign w:val="center"/>
          </w:tcPr>
          <w:p w14:paraId="74608BE8">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5B1BEE5E">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r w14:paraId="5A09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09F47F8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c>
          <w:tcPr>
            <w:tcW w:w="5077" w:type="dxa"/>
            <w:noWrap w:val="0"/>
            <w:vAlign w:val="center"/>
          </w:tcPr>
          <w:p w14:paraId="26BFB78A">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7434CD17">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r w14:paraId="2D35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498D096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c>
          <w:tcPr>
            <w:tcW w:w="5077" w:type="dxa"/>
            <w:noWrap w:val="0"/>
            <w:vAlign w:val="center"/>
          </w:tcPr>
          <w:p w14:paraId="6AF98349">
            <w:pPr>
              <w:keepNext w:val="0"/>
              <w:keepLines w:val="0"/>
              <w:suppressLineNumbers w:val="0"/>
              <w:spacing w:before="0" w:beforeAutospacing="0" w:after="0" w:afterAutospacing="0" w:line="240" w:lineRule="auto"/>
              <w:ind w:left="0" w:right="0"/>
              <w:jc w:val="center"/>
              <w:rPr>
                <w:rFonts w:hint="default"/>
                <w:color w:val="auto"/>
                <w:sz w:val="24"/>
                <w:szCs w:val="24"/>
                <w:highlight w:val="none"/>
                <w:lang w:val="en-US" w:eastAsia="zh-CN"/>
              </w:rPr>
            </w:pPr>
            <w:r>
              <w:rPr>
                <w:rFonts w:hint="eastAsia"/>
                <w:color w:val="auto"/>
                <w:sz w:val="24"/>
                <w:szCs w:val="24"/>
                <w:highlight w:val="none"/>
                <w:lang w:val="en-US" w:eastAsia="zh-CN"/>
              </w:rPr>
              <w:t>....</w:t>
            </w:r>
          </w:p>
        </w:tc>
        <w:tc>
          <w:tcPr>
            <w:tcW w:w="1677" w:type="dxa"/>
            <w:noWrap w:val="0"/>
            <w:vAlign w:val="center"/>
          </w:tcPr>
          <w:p w14:paraId="61FF6784">
            <w:pPr>
              <w:keepNext w:val="0"/>
              <w:keepLines w:val="0"/>
              <w:suppressLineNumbers w:val="0"/>
              <w:spacing w:before="0" w:beforeAutospacing="0" w:after="0" w:afterAutospacing="0" w:line="240" w:lineRule="auto"/>
              <w:ind w:left="0" w:right="0"/>
              <w:jc w:val="center"/>
              <w:rPr>
                <w:rFonts w:hint="default"/>
                <w:color w:val="auto"/>
                <w:sz w:val="24"/>
                <w:szCs w:val="24"/>
                <w:highlight w:val="none"/>
                <w:lang w:val="en-US" w:eastAsia="zh-CN"/>
              </w:rPr>
            </w:pPr>
            <w:r>
              <w:rPr>
                <w:rFonts w:hint="eastAsia"/>
                <w:color w:val="auto"/>
                <w:sz w:val="24"/>
                <w:szCs w:val="24"/>
                <w:highlight w:val="none"/>
                <w:lang w:val="en-US" w:eastAsia="zh-CN"/>
              </w:rPr>
              <w:t>....</w:t>
            </w:r>
          </w:p>
        </w:tc>
      </w:tr>
      <w:tr w14:paraId="53A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restart"/>
            <w:noWrap w:val="0"/>
            <w:vAlign w:val="center"/>
          </w:tcPr>
          <w:p w14:paraId="4D96F70F">
            <w:pPr>
              <w:keepNext w:val="0"/>
              <w:keepLines w:val="0"/>
              <w:suppressLineNumbers w:val="0"/>
              <w:spacing w:before="0" w:beforeAutospacing="0" w:after="0" w:afterAutospacing="0" w:line="240" w:lineRule="auto"/>
              <w:ind w:left="0" w:right="0"/>
              <w:jc w:val="center"/>
              <w:rPr>
                <w:rFonts w:hint="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业绩</w:t>
            </w:r>
          </w:p>
        </w:tc>
        <w:tc>
          <w:tcPr>
            <w:tcW w:w="5077" w:type="dxa"/>
            <w:noWrap w:val="0"/>
            <w:vAlign w:val="center"/>
          </w:tcPr>
          <w:p w14:paraId="7B528837">
            <w:pPr>
              <w:keepNext w:val="0"/>
              <w:keepLines w:val="0"/>
              <w:suppressLineNumbers w:val="0"/>
              <w:spacing w:before="0" w:beforeAutospacing="0" w:after="0" w:afterAutospacing="0" w:line="240" w:lineRule="auto"/>
              <w:ind w:left="0" w:right="0"/>
              <w:jc w:val="center"/>
              <w:rPr>
                <w:rFonts w:hint="default"/>
                <w:color w:val="auto"/>
                <w:sz w:val="24"/>
                <w:szCs w:val="24"/>
                <w:highlight w:val="none"/>
                <w:lang w:val="en-US" w:eastAsia="zh-CN"/>
              </w:rPr>
            </w:pPr>
            <w:r>
              <w:rPr>
                <w:rFonts w:hint="eastAsia"/>
                <w:color w:val="auto"/>
                <w:sz w:val="24"/>
                <w:szCs w:val="24"/>
                <w:highlight w:val="none"/>
                <w:lang w:val="en-US" w:eastAsia="zh-CN"/>
              </w:rPr>
              <w:t>项目名称</w:t>
            </w:r>
          </w:p>
        </w:tc>
        <w:tc>
          <w:tcPr>
            <w:tcW w:w="1677" w:type="dxa"/>
            <w:noWrap w:val="0"/>
            <w:vAlign w:val="center"/>
          </w:tcPr>
          <w:p w14:paraId="71854EF8">
            <w:pPr>
              <w:keepNext w:val="0"/>
              <w:keepLines w:val="0"/>
              <w:suppressLineNumbers w:val="0"/>
              <w:spacing w:before="0" w:beforeAutospacing="0" w:after="0" w:afterAutospacing="0" w:line="240" w:lineRule="auto"/>
              <w:ind w:left="0" w:right="0"/>
              <w:jc w:val="center"/>
              <w:rPr>
                <w:rFonts w:hint="default"/>
                <w:color w:val="auto"/>
                <w:sz w:val="24"/>
                <w:szCs w:val="24"/>
                <w:highlight w:val="none"/>
                <w:lang w:val="en-US" w:eastAsia="zh-CN"/>
              </w:rPr>
            </w:pPr>
            <w:r>
              <w:rPr>
                <w:rFonts w:hint="eastAsia"/>
                <w:color w:val="auto"/>
                <w:sz w:val="24"/>
                <w:szCs w:val="24"/>
                <w:highlight w:val="none"/>
                <w:lang w:val="en-US" w:eastAsia="zh-CN"/>
              </w:rPr>
              <w:t>采购单位</w:t>
            </w:r>
          </w:p>
        </w:tc>
      </w:tr>
      <w:tr w14:paraId="24AD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12624809">
            <w:pPr>
              <w:keepNext w:val="0"/>
              <w:keepLines w:val="0"/>
              <w:suppressLineNumbers w:val="0"/>
              <w:spacing w:before="0" w:beforeAutospacing="0" w:after="0" w:afterAutospacing="0" w:line="240" w:lineRule="auto"/>
              <w:ind w:left="0" w:right="0"/>
              <w:jc w:val="center"/>
              <w:rPr>
                <w:rFonts w:hint="eastAsia"/>
                <w:color w:val="auto"/>
                <w:sz w:val="24"/>
                <w:szCs w:val="24"/>
                <w:highlight w:val="none"/>
              </w:rPr>
            </w:pPr>
          </w:p>
        </w:tc>
        <w:tc>
          <w:tcPr>
            <w:tcW w:w="5077" w:type="dxa"/>
            <w:noWrap w:val="0"/>
            <w:vAlign w:val="center"/>
          </w:tcPr>
          <w:p w14:paraId="217D9ED6">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7D2087C3">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r w14:paraId="549A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44245A4F">
            <w:pPr>
              <w:keepNext w:val="0"/>
              <w:keepLines w:val="0"/>
              <w:suppressLineNumbers w:val="0"/>
              <w:spacing w:before="0" w:beforeAutospacing="0" w:after="0" w:afterAutospacing="0" w:line="240" w:lineRule="auto"/>
              <w:ind w:left="0" w:right="0"/>
              <w:jc w:val="center"/>
              <w:rPr>
                <w:rFonts w:hint="eastAsia"/>
                <w:color w:val="auto"/>
                <w:sz w:val="24"/>
                <w:szCs w:val="24"/>
                <w:highlight w:val="none"/>
              </w:rPr>
            </w:pPr>
          </w:p>
        </w:tc>
        <w:tc>
          <w:tcPr>
            <w:tcW w:w="5077" w:type="dxa"/>
            <w:noWrap w:val="0"/>
            <w:vAlign w:val="center"/>
          </w:tcPr>
          <w:p w14:paraId="45EB0F93">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487D9733">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r w14:paraId="5487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5" w:type="dxa"/>
            <w:vMerge w:val="continue"/>
            <w:noWrap w:val="0"/>
            <w:vAlign w:val="center"/>
          </w:tcPr>
          <w:p w14:paraId="5890F354">
            <w:pPr>
              <w:keepNext w:val="0"/>
              <w:keepLines w:val="0"/>
              <w:suppressLineNumbers w:val="0"/>
              <w:spacing w:before="0" w:beforeAutospacing="0" w:after="0" w:afterAutospacing="0" w:line="240" w:lineRule="auto"/>
              <w:ind w:left="0" w:right="0"/>
              <w:jc w:val="center"/>
              <w:rPr>
                <w:rFonts w:hint="eastAsia"/>
                <w:color w:val="auto"/>
                <w:sz w:val="24"/>
                <w:szCs w:val="24"/>
                <w:highlight w:val="none"/>
              </w:rPr>
            </w:pPr>
          </w:p>
        </w:tc>
        <w:tc>
          <w:tcPr>
            <w:tcW w:w="5077" w:type="dxa"/>
            <w:noWrap w:val="0"/>
            <w:vAlign w:val="center"/>
          </w:tcPr>
          <w:p w14:paraId="2E33E60F">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707664B1">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r w14:paraId="0F71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525" w:type="dxa"/>
            <w:vMerge w:val="continue"/>
            <w:noWrap w:val="0"/>
            <w:vAlign w:val="center"/>
          </w:tcPr>
          <w:p w14:paraId="65BBEFE8">
            <w:pPr>
              <w:keepNext w:val="0"/>
              <w:keepLines w:val="0"/>
              <w:suppressLineNumbers w:val="0"/>
              <w:spacing w:before="0" w:beforeAutospacing="0" w:after="0" w:afterAutospacing="0" w:line="240" w:lineRule="auto"/>
              <w:ind w:left="0" w:right="0"/>
              <w:jc w:val="center"/>
              <w:rPr>
                <w:rFonts w:hint="eastAsia"/>
                <w:color w:val="auto"/>
                <w:sz w:val="24"/>
                <w:szCs w:val="24"/>
                <w:highlight w:val="none"/>
              </w:rPr>
            </w:pPr>
          </w:p>
        </w:tc>
        <w:tc>
          <w:tcPr>
            <w:tcW w:w="5077" w:type="dxa"/>
            <w:noWrap w:val="0"/>
            <w:vAlign w:val="center"/>
          </w:tcPr>
          <w:p w14:paraId="50C857C0">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w:t>
            </w:r>
          </w:p>
        </w:tc>
        <w:tc>
          <w:tcPr>
            <w:tcW w:w="1677" w:type="dxa"/>
            <w:noWrap w:val="0"/>
            <w:vAlign w:val="center"/>
          </w:tcPr>
          <w:p w14:paraId="16B2F704">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w:t>
            </w:r>
          </w:p>
        </w:tc>
      </w:tr>
      <w:tr w14:paraId="14FA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525" w:type="dxa"/>
            <w:noWrap w:val="0"/>
            <w:vAlign w:val="center"/>
          </w:tcPr>
          <w:p w14:paraId="07E3A74A">
            <w:pPr>
              <w:keepNext w:val="0"/>
              <w:keepLines w:val="0"/>
              <w:suppressLineNumbers w:val="0"/>
              <w:spacing w:before="0" w:beforeAutospacing="0" w:after="0" w:afterAutospacing="0" w:line="240" w:lineRule="auto"/>
              <w:ind w:left="0" w:right="0"/>
              <w:jc w:val="center"/>
              <w:rPr>
                <w:rFonts w:hint="eastAsia" w:eastAsia="宋体"/>
                <w:color w:val="auto"/>
                <w:sz w:val="24"/>
                <w:szCs w:val="24"/>
                <w:highlight w:val="none"/>
                <w:lang w:eastAsia="zh-CN"/>
              </w:rPr>
            </w:pPr>
            <w:r>
              <w:rPr>
                <w:rFonts w:hint="eastAsia"/>
                <w:color w:val="auto"/>
                <w:sz w:val="24"/>
                <w:szCs w:val="24"/>
                <w:highlight w:val="none"/>
                <w:lang w:eastAsia="zh-CN"/>
              </w:rPr>
              <w:t>质保期</w:t>
            </w:r>
          </w:p>
        </w:tc>
        <w:tc>
          <w:tcPr>
            <w:tcW w:w="5077" w:type="dxa"/>
            <w:noWrap w:val="0"/>
            <w:vAlign w:val="center"/>
          </w:tcPr>
          <w:p w14:paraId="766B8F51">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c>
          <w:tcPr>
            <w:tcW w:w="1677" w:type="dxa"/>
            <w:noWrap w:val="0"/>
            <w:vAlign w:val="center"/>
          </w:tcPr>
          <w:p w14:paraId="6DADD317">
            <w:pPr>
              <w:keepNext w:val="0"/>
              <w:keepLines w:val="0"/>
              <w:suppressLineNumbers w:val="0"/>
              <w:spacing w:before="0" w:beforeAutospacing="0" w:after="0" w:afterAutospacing="0" w:line="240" w:lineRule="auto"/>
              <w:ind w:left="0" w:right="0"/>
              <w:jc w:val="center"/>
              <w:rPr>
                <w:rFonts w:hint="eastAsia"/>
                <w:color w:val="auto"/>
                <w:sz w:val="24"/>
                <w:szCs w:val="24"/>
                <w:highlight w:val="none"/>
                <w:lang w:val="en-US" w:eastAsia="zh-CN"/>
              </w:rPr>
            </w:pPr>
          </w:p>
        </w:tc>
      </w:tr>
    </w:tbl>
    <w:p w14:paraId="5F7F2E30">
      <w:pPr>
        <w:pStyle w:val="91"/>
      </w:pPr>
    </w:p>
    <w:p w14:paraId="075D9536">
      <w:pPr>
        <w:pStyle w:val="91"/>
        <w:rPr>
          <w:rFonts w:hint="eastAsia"/>
        </w:rPr>
      </w:pPr>
    </w:p>
    <w:p w14:paraId="77B699B7">
      <w:pPr>
        <w:widowControl/>
        <w:spacing w:line="560" w:lineRule="exact"/>
        <w:rPr>
          <w:rFonts w:ascii="宋体" w:hAnsi="宋体" w:cs="宋体"/>
          <w:color w:val="auto"/>
          <w:kern w:val="0"/>
          <w:sz w:val="24"/>
          <w:highlight w:val="none"/>
        </w:rPr>
      </w:pPr>
    </w:p>
    <w:p w14:paraId="1DB3E9CA">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四、其他部分</w:t>
      </w:r>
    </w:p>
    <w:p w14:paraId="502D5791">
      <w:pPr>
        <w:spacing w:line="560" w:lineRule="exact"/>
        <w:rPr>
          <w:rFonts w:ascii="宋体" w:hAnsi="宋体" w:cs="宋体"/>
          <w:color w:val="auto"/>
          <w:kern w:val="0"/>
          <w:sz w:val="24"/>
          <w:highlight w:val="none"/>
        </w:rPr>
      </w:pPr>
      <w:r>
        <w:rPr>
          <w:rFonts w:hint="eastAsia" w:ascii="宋体" w:hAnsi="宋体" w:cs="宋体"/>
          <w:b/>
          <w:bCs/>
          <w:color w:val="auto"/>
          <w:kern w:val="0"/>
          <w:sz w:val="24"/>
          <w:highlight w:val="none"/>
          <w:lang w:val="en-US" w:eastAsia="zh-CN"/>
        </w:rPr>
        <w:t>4.1</w:t>
      </w:r>
      <w:r>
        <w:rPr>
          <w:rFonts w:hint="eastAsia" w:ascii="宋体" w:hAnsi="宋体" w:cs="宋体"/>
          <w:b/>
          <w:bCs/>
          <w:color w:val="auto"/>
          <w:kern w:val="0"/>
          <w:sz w:val="24"/>
          <w:highlight w:val="none"/>
          <w:lang w:eastAsia="zh-CN"/>
        </w:rPr>
        <w:t>供应商</w:t>
      </w:r>
      <w:r>
        <w:rPr>
          <w:rFonts w:ascii="宋体" w:hAnsi="宋体" w:cs="宋体"/>
          <w:b/>
          <w:bCs/>
          <w:color w:val="auto"/>
          <w:kern w:val="0"/>
          <w:sz w:val="24"/>
          <w:highlight w:val="none"/>
        </w:rPr>
        <w:t>认为需要提供的其他材料</w:t>
      </w:r>
    </w:p>
    <w:p w14:paraId="2CFCC711">
      <w:pPr>
        <w:spacing w:line="560" w:lineRule="exact"/>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t>由</w:t>
      </w:r>
      <w:r>
        <w:rPr>
          <w:rFonts w:hint="eastAsia" w:ascii="宋体" w:hAnsi="宋体" w:cs="宋体"/>
          <w:color w:val="auto"/>
          <w:kern w:val="0"/>
          <w:sz w:val="24"/>
          <w:highlight w:val="none"/>
          <w:lang w:eastAsia="zh-CN"/>
        </w:rPr>
        <w:t>供应商</w:t>
      </w:r>
      <w:r>
        <w:rPr>
          <w:rFonts w:ascii="宋体" w:hAnsi="宋体" w:cs="宋体"/>
          <w:color w:val="auto"/>
          <w:kern w:val="0"/>
          <w:sz w:val="24"/>
          <w:highlight w:val="none"/>
        </w:rPr>
        <w:t>提供</w:t>
      </w:r>
      <w:r>
        <w:rPr>
          <w:rFonts w:hint="eastAsia" w:ascii="宋体" w:hAnsi="宋体" w:cs="宋体"/>
          <w:color w:val="auto"/>
          <w:kern w:val="0"/>
          <w:sz w:val="24"/>
          <w:highlight w:val="none"/>
          <w:lang w:eastAsia="zh-CN"/>
        </w:rPr>
        <w:t>相关资料</w:t>
      </w:r>
      <w:r>
        <w:rPr>
          <w:rFonts w:ascii="宋体" w:hAnsi="宋体" w:cs="宋体"/>
          <w:color w:val="auto"/>
          <w:kern w:val="0"/>
          <w:sz w:val="24"/>
          <w:highlight w:val="none"/>
        </w:rPr>
        <w:t>的复印件或扫描件</w:t>
      </w:r>
    </w:p>
    <w:p w14:paraId="7677FABA">
      <w:pPr>
        <w:spacing w:line="560" w:lineRule="exact"/>
        <w:jc w:val="center"/>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磋商响应文件密封信封正面格式</w:t>
      </w:r>
    </w:p>
    <w:p w14:paraId="612CE573">
      <w:pPr>
        <w:spacing w:line="560" w:lineRule="exact"/>
        <w:jc w:val="center"/>
        <w:rPr>
          <w:rFonts w:ascii="宋体" w:hAnsi="宋体" w:cs="宋体"/>
          <w:color w:val="auto"/>
          <w:sz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B1C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3B07549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 xml:space="preserve">                                                            正（副）本</w:t>
            </w:r>
          </w:p>
          <w:p w14:paraId="31C3AF19">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项目编号：</w:t>
            </w:r>
            <w:r>
              <w:rPr>
                <w:rFonts w:ascii="宋体" w:hAnsi="宋体" w:eastAsia="Times New Roman" w:cs="宋体"/>
                <w:color w:val="auto"/>
                <w:sz w:val="24"/>
                <w:highlight w:val="none"/>
                <w:u w:val="single"/>
              </w:rPr>
              <w:t xml:space="preserve">                                              </w:t>
            </w:r>
          </w:p>
          <w:p w14:paraId="7F6081AC">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项目名称及标包号：</w:t>
            </w:r>
            <w:r>
              <w:rPr>
                <w:rFonts w:ascii="宋体" w:hAnsi="宋体" w:eastAsia="Times New Roman" w:cs="宋体"/>
                <w:color w:val="auto"/>
                <w:sz w:val="24"/>
                <w:highlight w:val="none"/>
                <w:u w:val="single"/>
              </w:rPr>
              <w:t xml:space="preserve">                                      </w:t>
            </w:r>
          </w:p>
          <w:p w14:paraId="7DB07FA2">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w:t>
            </w:r>
            <w:r>
              <w:rPr>
                <w:rFonts w:ascii="宋体" w:hAnsi="宋体" w:eastAsia="Times New Roman" w:cs="宋体"/>
                <w:color w:val="auto"/>
                <w:sz w:val="24"/>
                <w:highlight w:val="none"/>
                <w:u w:val="single"/>
              </w:rPr>
              <w:t xml:space="preserve">                            （加盖公章）</w:t>
            </w:r>
          </w:p>
          <w:p w14:paraId="1B1AFCE8">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地址：</w:t>
            </w:r>
            <w:r>
              <w:rPr>
                <w:rFonts w:ascii="宋体" w:hAnsi="宋体" w:eastAsia="Times New Roman" w:cs="宋体"/>
                <w:color w:val="auto"/>
                <w:sz w:val="24"/>
                <w:highlight w:val="none"/>
                <w:u w:val="single"/>
              </w:rPr>
              <w:t xml:space="preserve">                                                  </w:t>
            </w:r>
          </w:p>
        </w:tc>
      </w:tr>
    </w:tbl>
    <w:p w14:paraId="59EC2B66">
      <w:pPr>
        <w:spacing w:line="560" w:lineRule="exact"/>
        <w:rPr>
          <w:rFonts w:ascii="宋体" w:hAnsi="宋体" w:cs="宋体"/>
          <w:color w:val="auto"/>
          <w:sz w:val="24"/>
          <w:highlight w:val="none"/>
        </w:rPr>
      </w:pPr>
    </w:p>
    <w:p w14:paraId="7D21F6C0">
      <w:pPr>
        <w:spacing w:line="560" w:lineRule="exact"/>
        <w:jc w:val="center"/>
        <w:rPr>
          <w:rFonts w:ascii="宋体" w:hAnsi="宋体" w:cs="宋体"/>
          <w:bCs/>
          <w:color w:val="auto"/>
          <w:sz w:val="24"/>
          <w:highlight w:val="none"/>
        </w:rPr>
      </w:pPr>
      <w:r>
        <w:rPr>
          <w:rFonts w:ascii="宋体" w:hAnsi="宋体" w:cs="宋体"/>
          <w:bCs/>
          <w:color w:val="auto"/>
          <w:sz w:val="24"/>
          <w:highlight w:val="none"/>
        </w:rPr>
        <w:t>磋商响应文件密封信封封口格式</w:t>
      </w:r>
    </w:p>
    <w:p w14:paraId="290F6D14">
      <w:pPr>
        <w:pStyle w:val="18"/>
        <w:spacing w:line="560" w:lineRule="exact"/>
        <w:rPr>
          <w:rFonts w:ascii="宋体" w:hAnsi="宋体" w:cs="宋体"/>
          <w:bCs/>
          <w:color w:val="auto"/>
          <w:sz w:val="24"/>
          <w:szCs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9B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108F2CB0">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4C090B61">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609CB0AC">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5B915F14">
            <w:pPr>
              <w:keepNext w:val="0"/>
              <w:keepLines w:val="0"/>
              <w:suppressLineNumbers w:val="0"/>
              <w:spacing w:before="0" w:beforeAutospacing="0" w:after="0" w:afterAutospacing="0" w:line="560" w:lineRule="exact"/>
              <w:ind w:left="0" w:right="0"/>
              <w:jc w:val="center"/>
              <w:rPr>
                <w:rFonts w:ascii="宋体" w:hAnsi="宋体" w:eastAsia="Times New Roman" w:cs="宋体"/>
                <w:bCs/>
                <w:color w:val="auto"/>
                <w:sz w:val="24"/>
                <w:highlight w:val="none"/>
              </w:rPr>
            </w:pPr>
            <w:r>
              <w:rPr>
                <w:rFonts w:ascii="宋体" w:hAnsi="宋体" w:eastAsia="Times New Roman" w:cs="宋体"/>
                <w:bCs/>
                <w:color w:val="auto"/>
                <w:sz w:val="24"/>
                <w:highlight w:val="none"/>
              </w:rPr>
              <w:t>……于</w:t>
            </w:r>
            <w:r>
              <w:rPr>
                <w:rFonts w:ascii="宋体" w:hAnsi="宋体" w:eastAsia="Times New Roman" w:cs="宋体"/>
                <w:bCs/>
                <w:color w:val="auto"/>
                <w:sz w:val="24"/>
                <w:highlight w:val="none"/>
                <w:u w:val="single"/>
              </w:rPr>
              <w:t xml:space="preserve">   年 月 日 时 分</w:t>
            </w:r>
            <w:r>
              <w:rPr>
                <w:rFonts w:ascii="宋体" w:hAnsi="宋体" w:eastAsia="Times New Roman" w:cs="宋体"/>
                <w:bCs/>
                <w:color w:val="auto"/>
                <w:sz w:val="24"/>
                <w:highlight w:val="none"/>
              </w:rPr>
              <w:t>前不准启封（加盖公章）……</w:t>
            </w:r>
          </w:p>
          <w:p w14:paraId="60A3432E">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r>
              <w:rPr>
                <w:rFonts w:ascii="宋体" w:hAnsi="宋体" w:eastAsia="Times New Roman"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u&#10;aNzXAAAACgEAAA8AAAAAAAAAAQAgAAAAIgAAAGRycy9kb3ducmV2LnhtbFBLAQIUABQAAAAIAIdO&#10;4kDM38sN6wEAAOkDAAAOAAAAAAAAAAEAIAAAACYBAABkcnMvZTJvRG9jLnhtbFBLBQYAAAAABgAG&#10;AFkBAACDBQAAAAA=&#10;">
                      <v:fill on="f" focussize="0,0"/>
                      <v:stroke color="#000000" joinstyle="round" endarrow="block"/>
                      <v:imagedata o:title=""/>
                      <o:lock v:ext="edit" aspectratio="f"/>
                    </v:line>
                  </w:pict>
                </mc:Fallback>
              </mc:AlternateContent>
            </w:r>
          </w:p>
          <w:p w14:paraId="75FF99AD">
            <w:pPr>
              <w:pStyle w:val="18"/>
              <w:keepNext w:val="0"/>
              <w:keepLines w:val="0"/>
              <w:suppressLineNumbers w:val="0"/>
              <w:spacing w:before="0" w:beforeAutospacing="0" w:after="0" w:afterAutospacing="0" w:line="560" w:lineRule="exact"/>
              <w:ind w:left="0" w:right="0"/>
              <w:rPr>
                <w:rFonts w:ascii="宋体" w:hAnsi="宋体" w:cs="宋体"/>
                <w:bCs/>
                <w:color w:val="auto"/>
                <w:sz w:val="24"/>
                <w:szCs w:val="24"/>
                <w:highlight w:val="none"/>
              </w:rPr>
            </w:pPr>
          </w:p>
          <w:p w14:paraId="0CBEEB09">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5EEE1B4C">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691A56BF">
            <w:pPr>
              <w:pStyle w:val="62"/>
              <w:keepNext w:val="0"/>
              <w:keepLines w:val="0"/>
              <w:widowControl w:val="0"/>
              <w:suppressLineNumbers w:val="0"/>
              <w:spacing w:before="0" w:beforeAutospacing="0" w:after="0" w:afterAutospacing="0" w:line="560" w:lineRule="exact"/>
              <w:ind w:left="0" w:right="0"/>
              <w:textAlignment w:val="auto"/>
              <w:rPr>
                <w:rFonts w:ascii="宋体" w:hAnsi="宋体" w:eastAsia="宋体" w:cs="宋体"/>
                <w:bCs/>
                <w:color w:val="auto"/>
                <w:kern w:val="2"/>
                <w:highlight w:val="none"/>
              </w:rPr>
            </w:pPr>
            <w:r>
              <w:rPr>
                <w:rFonts w:ascii="宋体" w:hAnsi="宋体" w:eastAsia="宋体" w:cs="宋体"/>
                <w:bCs/>
                <w:color w:val="auto"/>
                <w:kern w:val="2"/>
                <w:highlight w:val="none"/>
              </w:rPr>
              <w:t>（封口处）</w:t>
            </w:r>
          </w:p>
        </w:tc>
      </w:tr>
    </w:tbl>
    <w:p w14:paraId="4AF590C7">
      <w:pPr>
        <w:pStyle w:val="64"/>
        <w:spacing w:before="292" w:beforeLines="100" w:after="292" w:afterLines="100" w:line="560" w:lineRule="exact"/>
        <w:outlineLvl w:val="9"/>
        <w:rPr>
          <w:rFonts w:hint="eastAsia" w:ascii="宋体" w:hAnsi="宋体" w:cs="宋体"/>
          <w:color w:val="auto"/>
          <w:sz w:val="24"/>
          <w:szCs w:val="24"/>
          <w:highlight w:val="none"/>
        </w:rPr>
      </w:pPr>
    </w:p>
    <w:sectPr>
      <w:footerReference r:id="rId15" w:type="first"/>
      <w:headerReference r:id="rId13" w:type="default"/>
      <w:footerReference r:id="rId14" w:type="default"/>
      <w:pgSz w:w="11906" w:h="16838"/>
      <w:pgMar w:top="1134" w:right="1134" w:bottom="1134" w:left="1134" w:header="851" w:footer="851" w:gutter="0"/>
      <w:lnNumType w:countBy="0" w:restart="continuous"/>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9B5F">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wp:posOffset>
              </wp:positionV>
              <wp:extent cx="57785" cy="2286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6FF95A6">
                          <w:pPr>
                            <w:pStyle w:val="23"/>
                            <w:rPr>
                              <w:rStyle w:val="40"/>
                            </w:rPr>
                          </w:pPr>
                          <w:r>
                            <w:fldChar w:fldCharType="begin"/>
                          </w:r>
                          <w:r>
                            <w:rPr>
                              <w:rStyle w:val="40"/>
                            </w:rPr>
                            <w:instrText xml:space="preserve">PAGE  </w:instrText>
                          </w:r>
                          <w:r>
                            <w:fldChar w:fldCharType="separate"/>
                          </w:r>
                          <w:r>
                            <w:rPr>
                              <w:rStyle w:val="40"/>
                              <w:rFonts w:hint="default"/>
                            </w:rP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05pt;height:18pt;width:4.55pt;mso-position-horizontal:center;mso-position-horizontal-relative:margin;mso-wrap-style:none;z-index:251662336;mso-width-relative:page;mso-height-relative:page;" filled="f" stroked="f" coordsize="21600,21600" o:gfxdata="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z3rm0AAAAAIBAAAPAAAAAAAAAAEAIAAAACIA&#10;AABkcnMvZG93bnJldi54bWxQSwECFAAUAAAACACHTuJA64GBWtgBAACwAwAADgAAAAAAAAABACAA&#10;AAAfAQAAZHJzL2Uyb0RvYy54bWxQSwUGAAAAAAYABgBZAQAAaQUAAAAA&#10;">
              <v:fill on="f" focussize="0,0"/>
              <v:stroke on="f"/>
              <v:imagedata o:title=""/>
              <o:lock v:ext="edit" aspectratio="f"/>
              <v:textbox inset="0mm,0mm,0mm,0mm" style="mso-fit-shape-to-text:t;">
                <w:txbxContent>
                  <w:p w14:paraId="36FF95A6">
                    <w:pPr>
                      <w:pStyle w:val="23"/>
                      <w:rPr>
                        <w:rStyle w:val="40"/>
                      </w:rPr>
                    </w:pPr>
                    <w:r>
                      <w:fldChar w:fldCharType="begin"/>
                    </w:r>
                    <w:r>
                      <w:rPr>
                        <w:rStyle w:val="40"/>
                      </w:rPr>
                      <w:instrText xml:space="preserve">PAGE  </w:instrText>
                    </w:r>
                    <w:r>
                      <w:fldChar w:fldCharType="separate"/>
                    </w:r>
                    <w:r>
                      <w:rPr>
                        <w:rStyle w:val="40"/>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F783">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509BB7">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05pt;height:144pt;width:144pt;mso-position-horizontal:center;mso-position-horizontal-relative:margin;mso-wrap-style:none;z-index:251663360;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eRxZ49gBAACwAwAADgAAAAAAAAABACAA&#10;AAAfAQAAZHJzL2Uyb0RvYy54bWxQSwUGAAAAAAYABgBZAQAAaQUAAAAA&#10;">
              <v:fill on="f" focussize="0,0"/>
              <v:stroke on="f"/>
              <v:imagedata o:title=""/>
              <o:lock v:ext="edit" aspectratio="f"/>
              <v:textbox inset="0mm,0mm,0mm,0mm" style="mso-fit-shape-to-text:t;">
                <w:txbxContent>
                  <w:p w14:paraId="50509BB7">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D2D9">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14935" cy="228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0923116">
                          <w:pPr>
                            <w:pStyle w:val="23"/>
                            <w:rPr>
                              <w:rStyle w:val="40"/>
                            </w:rPr>
                          </w:pPr>
                          <w:r>
                            <w:fldChar w:fldCharType="begin"/>
                          </w:r>
                          <w:r>
                            <w:rPr>
                              <w:rStyle w:val="40"/>
                            </w:rPr>
                            <w:instrText xml:space="preserve">PAGE  </w:instrText>
                          </w:r>
                          <w:r>
                            <w:fldChar w:fldCharType="separate"/>
                          </w:r>
                          <w:r>
                            <w:rPr>
                              <w:rStyle w:val="40"/>
                              <w:rFonts w:hint="default"/>
                            </w:rP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8pt;width:9.05pt;mso-position-horizontal:center;mso-position-horizontal-relative:margin;mso-wrap-style:none;z-index:251660288;mso-width-relative:page;mso-height-relative:page;" filled="f" stroked="f" coordsize="21600,21600" o:gfxdata="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&#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fFANAAAAADAQAADwAAAAAAAAABACAAAAAiAAAA&#10;ZHJzL2Rvd25yZXYueG1sUEsBAhQAFAAAAAgAh07iQNe0otbWAQAAsgMAAA4AAAAAAAAAAQAgAAAA&#10;HwEAAGRycy9lMm9Eb2MueG1sUEsFBgAAAAAGAAYAWQEAAGcFAAAAAA==&#10;">
              <v:fill on="f" focussize="0,0"/>
              <v:stroke on="f"/>
              <v:imagedata o:title=""/>
              <o:lock v:ext="edit" aspectratio="f"/>
              <v:textbox inset="0mm,0mm,0mm,0mm" style="mso-fit-shape-to-text:t;">
                <w:txbxContent>
                  <w:p w14:paraId="70923116">
                    <w:pPr>
                      <w:pStyle w:val="23"/>
                      <w:rPr>
                        <w:rStyle w:val="40"/>
                      </w:rPr>
                    </w:pPr>
                    <w:r>
                      <w:fldChar w:fldCharType="begin"/>
                    </w:r>
                    <w:r>
                      <w:rPr>
                        <w:rStyle w:val="40"/>
                      </w:rPr>
                      <w:instrText xml:space="preserve">PAGE  </w:instrText>
                    </w:r>
                    <w:r>
                      <w:fldChar w:fldCharType="separate"/>
                    </w:r>
                    <w:r>
                      <w:rPr>
                        <w:rStyle w:val="40"/>
                        <w:rFonts w:hint="default"/>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E490">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78BC5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F8a2odgBAACwAwAADgAAAAAAAAABACAA&#10;AAAfAQAAZHJzL2Uyb0RvYy54bWxQSwUGAAAAAAYABgBZAQAAaQUAAAAA&#10;">
              <v:fill on="f" focussize="0,0"/>
              <v:stroke on="f"/>
              <v:imagedata o:title=""/>
              <o:lock v:ext="edit" aspectratio="f"/>
              <v:textbox inset="0mm,0mm,0mm,0mm" style="mso-fit-shape-to-text:t;">
                <w:txbxContent>
                  <w:p w14:paraId="2878BC5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CE41">
    <w:pPr>
      <w:pStyle w:val="23"/>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C17683">
                          <w:pPr>
                            <w:pStyle w:val="23"/>
                            <w:ind w:firstLine="36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jrekRO0BAADWAwAADgAAAAAAAAABACAAAAAiAQAAZHJzL2Uyb0RvYy54bWxQSwUGAAAAAAYABgBZ&#10;AQAAgQUAAAAA&#10;">
              <v:fill on="f" focussize="0,0"/>
              <v:stroke on="f" weight="1.25pt"/>
              <v:imagedata o:title=""/>
              <o:lock v:ext="edit" aspectratio="f"/>
              <v:textbox inset="0mm,0mm,0mm,0mm" style="mso-fit-shape-to-text:t;">
                <w:txbxContent>
                  <w:p w14:paraId="4DC17683">
                    <w:pPr>
                      <w:pStyle w:val="23"/>
                      <w:ind w:firstLine="360"/>
                    </w:pPr>
                    <w:r>
                      <w:fldChar w:fldCharType="begin"/>
                    </w:r>
                    <w:r>
                      <w:instrText xml:space="preserve"> PAGE  \* MERGEFORMAT </w:instrText>
                    </w:r>
                    <w:r>
                      <w:fldChar w:fldCharType="separate"/>
                    </w:r>
                    <w:r>
                      <w:t>39</w:t>
                    </w:r>
                    <w:r>
                      <w:fldChar w:fldCharType="end"/>
                    </w:r>
                  </w:p>
                </w:txbxContent>
              </v:textbox>
            </v:shape>
          </w:pict>
        </mc:Fallback>
      </mc:AlternateContent>
    </w:r>
  </w:p>
  <w:p w14:paraId="7EA28A12">
    <w:pPr>
      <w:pStyle w:val="23"/>
      <w:ind w:right="359" w:rightChars="171"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1F37">
    <w:pPr>
      <w:pStyle w:val="23"/>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FFA84">
                          <w:pPr>
                            <w:pStyle w:val="2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8FFA84">
                    <w:pPr>
                      <w:pStyle w:val="2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EA10">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228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5D3E1A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pt;width:5.3pt;mso-position-horizontal:center;mso-position-horizontal-relative:margin;mso-wrap-style:none;z-index:251659264;mso-width-relative:page;mso-height-relative:page;" filled="f" stroked="f" coordsize="21600,21600" o:gfxdata="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ew8fQAAAAAwEAAA8AAAAAAAAAAQAgAAAAIgAA&#10;AGRycy9kb3ducmV2LnhtbFBLAQIUABQAAAAIAIdO4kCFoqHq1wEAALIDAAAOAAAAAAAAAAEAIAAA&#10;AB8BAABkcnMvZTJvRG9jLnhtbFBLBQYAAAAABgAGAFkBAABoBQAAAAA=&#10;">
              <v:fill on="f" focussize="0,0"/>
              <v:stroke on="f"/>
              <v:imagedata o:title=""/>
              <o:lock v:ext="edit" aspectratio="f"/>
              <v:textbox inset="0mm,0mm,0mm,0mm" style="mso-fit-shape-to-text:t;">
                <w:txbxContent>
                  <w:p w14:paraId="25D3E1A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5826">
    <w:pPr>
      <w:pStyle w:val="24"/>
      <w:pBdr>
        <w:bottom w:val="none" w:color="auto" w:sz="0" w:space="1"/>
      </w:pBdr>
      <w:jc w:val="right"/>
      <w:rPr>
        <w:rFonts w:hint="eastAsia" w:eastAsia="宋体"/>
        <w:b/>
        <w:bCs/>
        <w:i w:val="0"/>
        <w:iCs w:val="0"/>
        <w:sz w:val="18"/>
        <w:szCs w:val="18"/>
        <w:u w:val="single"/>
        <w:lang w:eastAsia="zh-CN"/>
      </w:rPr>
    </w:pPr>
    <w:r>
      <w:rPr>
        <w:rFonts w:hint="eastAsia"/>
        <w:b/>
        <w:bCs/>
        <w:i w:val="0"/>
        <w:iCs w:val="0"/>
        <w:sz w:val="18"/>
        <w:szCs w:val="18"/>
        <w:u w:val="single"/>
        <w:lang w:eastAsia="zh-CN"/>
      </w:rPr>
      <w:t>邹城市钢山街道办事处崇义家园热力水处理设备采购项目竞争性磋商文件</w:t>
    </w:r>
  </w:p>
  <w:p w14:paraId="37C01F14">
    <w:pPr>
      <w:pStyle w:val="24"/>
      <w:pBdr>
        <w:bottom w:val="none" w:color="auto" w:sz="0" w:space="1"/>
      </w:pBdr>
      <w:rPr>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6A1B">
    <w:pPr>
      <w:pStyle w:val="24"/>
      <w:pBdr>
        <w:bottom w:val="none" w:color="auto" w:sz="0" w:space="1"/>
      </w:pBdr>
      <w:jc w:val="right"/>
      <w:rPr>
        <w:rFonts w:hint="eastAsia" w:eastAsia="宋体"/>
        <w:b/>
        <w:bCs/>
        <w:i/>
        <w:iCs/>
        <w:sz w:val="18"/>
        <w:szCs w:val="18"/>
        <w:u w:val="single"/>
        <w:lang w:eastAsia="zh-CN"/>
      </w:rPr>
    </w:pPr>
    <w:r>
      <w:rPr>
        <w:rFonts w:hint="eastAsia"/>
        <w:b/>
        <w:bCs/>
        <w:i/>
        <w:iCs/>
        <w:sz w:val="18"/>
        <w:szCs w:val="18"/>
        <w:u w:val="single"/>
        <w:lang w:eastAsia="zh-CN"/>
      </w:rPr>
      <w:t>邹城市钢山街道办事处崇义家园热力水处理设备采购项目竞争性磋商文件</w:t>
    </w:r>
  </w:p>
  <w:p w14:paraId="145E6984">
    <w:pPr>
      <w:pStyle w:val="2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D3F5">
    <w:pPr>
      <w:pStyle w:val="24"/>
      <w:pBdr>
        <w:bottom w:val="none" w:color="auto" w:sz="0" w:space="1"/>
      </w:pBdr>
      <w:jc w:val="right"/>
      <w:rPr>
        <w:rFonts w:hint="eastAsia" w:eastAsia="宋体"/>
        <w:b/>
        <w:bCs/>
        <w:i/>
        <w:iCs/>
        <w:sz w:val="20"/>
        <w:szCs w:val="20"/>
        <w:u w:val="single"/>
        <w:lang w:eastAsia="zh-CN"/>
      </w:rPr>
    </w:pPr>
    <w:r>
      <w:rPr>
        <w:rFonts w:hint="eastAsia"/>
        <w:b/>
        <w:bCs/>
        <w:i/>
        <w:iCs/>
        <w:sz w:val="16"/>
        <w:szCs w:val="16"/>
        <w:u w:val="single"/>
        <w:lang w:eastAsia="zh-CN"/>
      </w:rPr>
      <w:t>邹城市钢山街道办事处崇义家园热力水处理设备采购项目竞争性磋商文件</w:t>
    </w:r>
  </w:p>
  <w:p w14:paraId="22C82963">
    <w:pPr>
      <w:pStyle w:val="2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141E">
    <w:pPr>
      <w:pStyle w:val="24"/>
      <w:pBdr>
        <w:bottom w:val="none" w:color="auto" w:sz="0" w:space="1"/>
      </w:pBdr>
      <w:jc w:val="right"/>
      <w:rPr>
        <w:rFonts w:hint="eastAsia" w:eastAsia="宋体"/>
        <w:b/>
        <w:bCs/>
        <w:i/>
        <w:iCs/>
        <w:sz w:val="18"/>
        <w:szCs w:val="18"/>
        <w:u w:val="single"/>
        <w:lang w:eastAsia="zh-CN"/>
      </w:rPr>
    </w:pPr>
    <w:r>
      <w:rPr>
        <w:rFonts w:hint="eastAsia"/>
        <w:b/>
        <w:bCs/>
        <w:i/>
        <w:iCs/>
        <w:sz w:val="18"/>
        <w:szCs w:val="18"/>
        <w:u w:val="single"/>
        <w:lang w:eastAsia="zh-CN"/>
      </w:rPr>
      <w:t>邹城市钢山街道办事处崇义家园热力水处理设备采购项目竞争性磋商文件</w:t>
    </w:r>
  </w:p>
  <w:p w14:paraId="7FAC29E5">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6.%2"/>
      <w:lvlJc w:val="left"/>
      <w:pPr>
        <w:tabs>
          <w:tab w:val="left" w:pos="576"/>
        </w:tabs>
        <w:ind w:left="576" w:hanging="576"/>
      </w:pPr>
      <w:rPr>
        <w:rFonts w:hint="eastAsia"/>
      </w:rPr>
    </w:lvl>
    <w:lvl w:ilvl="2" w:tentative="0">
      <w:start w:val="1"/>
      <w:numFmt w:val="decimal"/>
      <w:lvlText w:val="%1.5.%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WY2NmU1OTRiYzA4NjU3YmMzZWY3YjE5NTA1NWEifQ=="/>
  </w:docVars>
  <w:rsids>
    <w:rsidRoot w:val="00172A27"/>
    <w:rsid w:val="005C3296"/>
    <w:rsid w:val="00DE3BC3"/>
    <w:rsid w:val="00E55C9F"/>
    <w:rsid w:val="01521FAD"/>
    <w:rsid w:val="022B45DD"/>
    <w:rsid w:val="02314535"/>
    <w:rsid w:val="027E7FB7"/>
    <w:rsid w:val="028D1F0F"/>
    <w:rsid w:val="05B747B5"/>
    <w:rsid w:val="05CA69C2"/>
    <w:rsid w:val="065865D5"/>
    <w:rsid w:val="06D9001D"/>
    <w:rsid w:val="071B3B1B"/>
    <w:rsid w:val="08FF7F19"/>
    <w:rsid w:val="09442803"/>
    <w:rsid w:val="098637B9"/>
    <w:rsid w:val="0A5D4C0F"/>
    <w:rsid w:val="0AD92AA7"/>
    <w:rsid w:val="0B340382"/>
    <w:rsid w:val="0B9719B6"/>
    <w:rsid w:val="0BF24D46"/>
    <w:rsid w:val="0C876CC6"/>
    <w:rsid w:val="0D9B3CCF"/>
    <w:rsid w:val="0DFF4769"/>
    <w:rsid w:val="0F3A7BE5"/>
    <w:rsid w:val="11250C49"/>
    <w:rsid w:val="116B1EC1"/>
    <w:rsid w:val="11F87984"/>
    <w:rsid w:val="1296024B"/>
    <w:rsid w:val="12EB5BB4"/>
    <w:rsid w:val="138B3741"/>
    <w:rsid w:val="153B6826"/>
    <w:rsid w:val="163664C9"/>
    <w:rsid w:val="166A571A"/>
    <w:rsid w:val="17754D9E"/>
    <w:rsid w:val="1AA7264D"/>
    <w:rsid w:val="1AC908B3"/>
    <w:rsid w:val="1C5B2708"/>
    <w:rsid w:val="1D04072E"/>
    <w:rsid w:val="1D09174A"/>
    <w:rsid w:val="1D166A06"/>
    <w:rsid w:val="1E247477"/>
    <w:rsid w:val="1EA32E33"/>
    <w:rsid w:val="1EB74584"/>
    <w:rsid w:val="1FA71629"/>
    <w:rsid w:val="20B66E41"/>
    <w:rsid w:val="20DE7729"/>
    <w:rsid w:val="21310BBA"/>
    <w:rsid w:val="21796670"/>
    <w:rsid w:val="220136DE"/>
    <w:rsid w:val="22195F7E"/>
    <w:rsid w:val="2234120F"/>
    <w:rsid w:val="22AA41A1"/>
    <w:rsid w:val="22F2173B"/>
    <w:rsid w:val="2465185A"/>
    <w:rsid w:val="24B74FEC"/>
    <w:rsid w:val="26B249D3"/>
    <w:rsid w:val="27566DD3"/>
    <w:rsid w:val="290D32FD"/>
    <w:rsid w:val="29DB5F81"/>
    <w:rsid w:val="2A32798E"/>
    <w:rsid w:val="2B41657B"/>
    <w:rsid w:val="2BBF2F20"/>
    <w:rsid w:val="2C0E5B40"/>
    <w:rsid w:val="2D7C725E"/>
    <w:rsid w:val="2DE279F7"/>
    <w:rsid w:val="2F06748F"/>
    <w:rsid w:val="2F3C47AD"/>
    <w:rsid w:val="2FD818C7"/>
    <w:rsid w:val="306A0435"/>
    <w:rsid w:val="30BD776F"/>
    <w:rsid w:val="31CF2D03"/>
    <w:rsid w:val="323A41A3"/>
    <w:rsid w:val="32C33229"/>
    <w:rsid w:val="35EF227D"/>
    <w:rsid w:val="362F3E16"/>
    <w:rsid w:val="36CA00AC"/>
    <w:rsid w:val="36DC21A6"/>
    <w:rsid w:val="37200DA0"/>
    <w:rsid w:val="376851EC"/>
    <w:rsid w:val="37BB47F1"/>
    <w:rsid w:val="38D123EB"/>
    <w:rsid w:val="38D660C8"/>
    <w:rsid w:val="38ED08C8"/>
    <w:rsid w:val="39294307"/>
    <w:rsid w:val="39E46138"/>
    <w:rsid w:val="3A565B0B"/>
    <w:rsid w:val="3BC63EA0"/>
    <w:rsid w:val="3D1B4452"/>
    <w:rsid w:val="3EB00FB0"/>
    <w:rsid w:val="3EDB543A"/>
    <w:rsid w:val="3EEE3DD0"/>
    <w:rsid w:val="3F611ECF"/>
    <w:rsid w:val="3F9F0129"/>
    <w:rsid w:val="401E14E2"/>
    <w:rsid w:val="434211D6"/>
    <w:rsid w:val="436A3E10"/>
    <w:rsid w:val="43E30612"/>
    <w:rsid w:val="440D6836"/>
    <w:rsid w:val="44463210"/>
    <w:rsid w:val="44A470CE"/>
    <w:rsid w:val="44D42CFB"/>
    <w:rsid w:val="47C61FBC"/>
    <w:rsid w:val="47EB09AE"/>
    <w:rsid w:val="480B5583"/>
    <w:rsid w:val="482A7BEC"/>
    <w:rsid w:val="485D486F"/>
    <w:rsid w:val="487C07BE"/>
    <w:rsid w:val="494C7544"/>
    <w:rsid w:val="4B0036D4"/>
    <w:rsid w:val="4B4C59B4"/>
    <w:rsid w:val="4B96437D"/>
    <w:rsid w:val="4CBC61A0"/>
    <w:rsid w:val="506F0AB6"/>
    <w:rsid w:val="507D6899"/>
    <w:rsid w:val="509016ED"/>
    <w:rsid w:val="50F265A1"/>
    <w:rsid w:val="518D035D"/>
    <w:rsid w:val="52D83E60"/>
    <w:rsid w:val="54255FA1"/>
    <w:rsid w:val="56C21D40"/>
    <w:rsid w:val="575B245B"/>
    <w:rsid w:val="585A2A77"/>
    <w:rsid w:val="595239AF"/>
    <w:rsid w:val="597A4ED8"/>
    <w:rsid w:val="59EB23C3"/>
    <w:rsid w:val="5AE511AF"/>
    <w:rsid w:val="5B8A6C9A"/>
    <w:rsid w:val="5B9462A0"/>
    <w:rsid w:val="5C3F35D5"/>
    <w:rsid w:val="5D7246B9"/>
    <w:rsid w:val="5DBA104D"/>
    <w:rsid w:val="5E547441"/>
    <w:rsid w:val="5F2A1E64"/>
    <w:rsid w:val="5F563A58"/>
    <w:rsid w:val="5F582AC9"/>
    <w:rsid w:val="600A682B"/>
    <w:rsid w:val="61B850AD"/>
    <w:rsid w:val="635A140E"/>
    <w:rsid w:val="63DA0F0F"/>
    <w:rsid w:val="64816FC2"/>
    <w:rsid w:val="64D369AA"/>
    <w:rsid w:val="65A77425"/>
    <w:rsid w:val="675B0D4C"/>
    <w:rsid w:val="67C01CCF"/>
    <w:rsid w:val="68512F49"/>
    <w:rsid w:val="69E508ED"/>
    <w:rsid w:val="6A9204EE"/>
    <w:rsid w:val="6AD17815"/>
    <w:rsid w:val="6B2B1C7E"/>
    <w:rsid w:val="6C753131"/>
    <w:rsid w:val="6CAC02F0"/>
    <w:rsid w:val="6D7431A3"/>
    <w:rsid w:val="6D8D52C4"/>
    <w:rsid w:val="6F180A6B"/>
    <w:rsid w:val="70C422EF"/>
    <w:rsid w:val="70D35096"/>
    <w:rsid w:val="716C4CD0"/>
    <w:rsid w:val="729C1A33"/>
    <w:rsid w:val="72AB6AD8"/>
    <w:rsid w:val="72C27FDA"/>
    <w:rsid w:val="730C168B"/>
    <w:rsid w:val="732636A0"/>
    <w:rsid w:val="73347C31"/>
    <w:rsid w:val="74195CE3"/>
    <w:rsid w:val="74311A46"/>
    <w:rsid w:val="75B3102E"/>
    <w:rsid w:val="75F355F4"/>
    <w:rsid w:val="761402B1"/>
    <w:rsid w:val="76A86409"/>
    <w:rsid w:val="76A911D6"/>
    <w:rsid w:val="78032628"/>
    <w:rsid w:val="78D9372F"/>
    <w:rsid w:val="79063D61"/>
    <w:rsid w:val="792E6243"/>
    <w:rsid w:val="79D37FF0"/>
    <w:rsid w:val="7A315021"/>
    <w:rsid w:val="7AFF7C6B"/>
    <w:rsid w:val="7BE96B76"/>
    <w:rsid w:val="7C6F55A3"/>
    <w:rsid w:val="7D4B1AE1"/>
    <w:rsid w:val="7E993AA7"/>
    <w:rsid w:val="7EA14520"/>
    <w:rsid w:val="7F836639"/>
    <w:rsid w:val="7F97168B"/>
    <w:rsid w:val="7FC335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2">
    <w:name w:val="heading 1"/>
    <w:basedOn w:val="1"/>
    <w:next w:val="1"/>
    <w:link w:val="83"/>
    <w:autoRedefine/>
    <w:qFormat/>
    <w:uiPriority w:val="9"/>
    <w:pPr>
      <w:keepNext/>
      <w:keepLines/>
      <w:spacing w:before="340" w:after="330" w:line="578" w:lineRule="atLeast"/>
      <w:outlineLvl w:val="0"/>
    </w:pPr>
    <w:rPr>
      <w:rFonts w:ascii="Times New Roman" w:hAnsi="Times New Roman" w:eastAsia="宋体"/>
      <w:b/>
      <w:bCs/>
      <w:kern w:val="44"/>
      <w:sz w:val="32"/>
      <w:szCs w:val="44"/>
    </w:rPr>
  </w:style>
  <w:style w:type="paragraph" w:styleId="3">
    <w:name w:val="heading 2"/>
    <w:basedOn w:val="1"/>
    <w:next w:val="1"/>
    <w:link w:val="82"/>
    <w:autoRedefine/>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38">
    <w:name w:val="Default Paragraph Font"/>
    <w:autoRedefine/>
    <w:semiHidden/>
    <w:qFormat/>
    <w:uiPriority w:val="0"/>
  </w:style>
  <w:style w:type="table" w:default="1" w:styleId="3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toc 7"/>
    <w:basedOn w:val="1"/>
    <w:next w:val="1"/>
    <w:autoRedefine/>
    <w:qFormat/>
    <w:uiPriority w:val="0"/>
    <w:pPr>
      <w:ind w:left="1260"/>
      <w:jc w:val="left"/>
    </w:pPr>
    <w:rPr>
      <w:rFonts w:ascii="Calibri" w:hAnsi="Calibri" w:cs="Calibri"/>
      <w:sz w:val="18"/>
      <w:szCs w:val="18"/>
    </w:rPr>
  </w:style>
  <w:style w:type="paragraph" w:styleId="6">
    <w:name w:val="Normal Indent"/>
    <w:basedOn w:val="1"/>
    <w:autoRedefine/>
    <w:qFormat/>
    <w:uiPriority w:val="0"/>
    <w:pPr>
      <w:autoSpaceDE w:val="0"/>
      <w:autoSpaceDN w:val="0"/>
      <w:adjustRightInd w:val="0"/>
      <w:spacing w:line="315" w:lineRule="atLeast"/>
      <w:ind w:firstLine="420"/>
      <w:jc w:val="left"/>
    </w:pPr>
    <w:rPr>
      <w:rFonts w:ascii="Arial Unicode MS" w:eastAsia="Arial Unicode MS"/>
      <w:kern w:val="0"/>
      <w:sz w:val="28"/>
      <w:szCs w:val="20"/>
    </w:rPr>
  </w:style>
  <w:style w:type="paragraph" w:styleId="7">
    <w:name w:val="Document Map"/>
    <w:basedOn w:val="1"/>
    <w:qFormat/>
    <w:uiPriority w:val="0"/>
    <w:pPr>
      <w:shd w:val="clear" w:color="auto" w:fill="000080"/>
    </w:pPr>
    <w:rPr>
      <w:rFonts w:hint="eastAsia" w:ascii="宋体" w:hAnsi="宋体" w:eastAsia="宋体" w:cs="宋体"/>
      <w:kern w:val="2"/>
      <w:sz w:val="18"/>
      <w:szCs w:val="18"/>
      <w:lang w:bidi="ar"/>
    </w:rPr>
  </w:style>
  <w:style w:type="paragraph" w:styleId="8">
    <w:name w:val="toa heading"/>
    <w:basedOn w:val="1"/>
    <w:next w:val="1"/>
    <w:autoRedefine/>
    <w:qFormat/>
    <w:uiPriority w:val="0"/>
    <w:pPr>
      <w:spacing w:before="120"/>
    </w:pPr>
    <w:rPr>
      <w:rFonts w:ascii="Arial" w:hAnsi="Arial" w:eastAsia="宋体" w:cs="Times New Roman"/>
      <w:sz w:val="24"/>
      <w:szCs w:val="20"/>
    </w:rPr>
  </w:style>
  <w:style w:type="paragraph" w:styleId="9">
    <w:name w:val="annotation text"/>
    <w:basedOn w:val="1"/>
    <w:link w:val="45"/>
    <w:autoRedefine/>
    <w:qFormat/>
    <w:uiPriority w:val="99"/>
    <w:pPr>
      <w:spacing w:line="240" w:lineRule="auto"/>
      <w:jc w:val="left"/>
    </w:pPr>
    <w:rPr>
      <w:rFonts w:hint="default"/>
      <w:sz w:val="24"/>
    </w:rPr>
  </w:style>
  <w:style w:type="paragraph" w:styleId="10">
    <w:name w:val="Body Text 3"/>
    <w:basedOn w:val="1"/>
    <w:qFormat/>
    <w:uiPriority w:val="0"/>
    <w:pPr>
      <w:spacing w:after="120"/>
    </w:pPr>
    <w:rPr>
      <w:sz w:val="16"/>
      <w:szCs w:val="16"/>
    </w:rPr>
  </w:style>
  <w:style w:type="paragraph" w:styleId="11">
    <w:name w:val="Body Text"/>
    <w:basedOn w:val="1"/>
    <w:next w:val="1"/>
    <w:autoRedefine/>
    <w:qFormat/>
    <w:uiPriority w:val="0"/>
    <w:rPr>
      <w:rFonts w:ascii="宋体" w:hAnsi="Times New Roman" w:eastAsia="宋体" w:cs="Times New Roman"/>
      <w:sz w:val="32"/>
      <w:szCs w:val="20"/>
    </w:rPr>
  </w:style>
  <w:style w:type="paragraph" w:styleId="12">
    <w:name w:val="Body Text Indent"/>
    <w:basedOn w:val="1"/>
    <w:autoRedefine/>
    <w:qFormat/>
    <w:uiPriority w:val="0"/>
    <w:pPr>
      <w:spacing w:after="120"/>
      <w:ind w:left="420" w:leftChars="200"/>
    </w:pPr>
  </w:style>
  <w:style w:type="paragraph" w:styleId="13">
    <w:name w:val="List 2"/>
    <w:basedOn w:val="1"/>
    <w:qFormat/>
    <w:uiPriority w:val="0"/>
    <w:pPr>
      <w:widowControl w:val="0"/>
      <w:spacing w:before="0" w:after="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autoRedefine/>
    <w:qFormat/>
    <w:uiPriority w:val="0"/>
    <w:pPr>
      <w:ind w:left="420"/>
      <w:jc w:val="left"/>
    </w:pPr>
    <w:rPr>
      <w:rFonts w:ascii="Calibri" w:hAnsi="Calibri" w:cs="Calibri"/>
      <w:i/>
      <w:iCs/>
      <w:sz w:val="20"/>
      <w:szCs w:val="20"/>
    </w:rPr>
  </w:style>
  <w:style w:type="paragraph" w:styleId="16">
    <w:name w:val="Plain Text"/>
    <w:basedOn w:val="1"/>
    <w:link w:val="46"/>
    <w:autoRedefine/>
    <w:qFormat/>
    <w:uiPriority w:val="0"/>
    <w:pPr>
      <w:adjustRightInd w:val="0"/>
      <w:jc w:val="left"/>
      <w:textAlignment w:val="baseline"/>
    </w:pPr>
    <w:rPr>
      <w:rFonts w:hint="default" w:ascii="宋体" w:hAnsi="Courier New"/>
      <w:sz w:val="24"/>
      <w:szCs w:val="20"/>
    </w:rPr>
  </w:style>
  <w:style w:type="paragraph" w:styleId="17">
    <w:name w:val="toc 8"/>
    <w:basedOn w:val="1"/>
    <w:next w:val="1"/>
    <w:autoRedefine/>
    <w:qFormat/>
    <w:uiPriority w:val="0"/>
    <w:pPr>
      <w:ind w:left="1470"/>
      <w:jc w:val="left"/>
    </w:pPr>
    <w:rPr>
      <w:rFonts w:ascii="Calibri" w:hAnsi="Calibri" w:cs="Calibri"/>
      <w:sz w:val="18"/>
      <w:szCs w:val="18"/>
    </w:rPr>
  </w:style>
  <w:style w:type="paragraph" w:styleId="18">
    <w:name w:val="Date"/>
    <w:basedOn w:val="1"/>
    <w:next w:val="1"/>
    <w:qFormat/>
    <w:uiPriority w:val="0"/>
    <w:rPr>
      <w:rFonts w:ascii="Times New Roman" w:hAnsi="Times New Roman" w:eastAsia="宋体" w:cs="Times New Roman"/>
      <w:szCs w:val="20"/>
    </w:rPr>
  </w:style>
  <w:style w:type="paragraph" w:styleId="19">
    <w:name w:val="Body Text Indent 2"/>
    <w:basedOn w:val="1"/>
    <w:next w:val="20"/>
    <w:qFormat/>
    <w:uiPriority w:val="0"/>
    <w:pPr>
      <w:ind w:left="-178" w:leftChars="-85" w:firstLine="739" w:firstLineChars="264"/>
      <w:jc w:val="left"/>
    </w:pPr>
    <w:rPr>
      <w:rFonts w:ascii="宋体"/>
      <w:sz w:val="28"/>
    </w:rPr>
  </w:style>
  <w:style w:type="paragraph" w:customStyle="1" w:styleId="20">
    <w:name w:val="reader-word-layer reader-word-s46-2"/>
    <w:basedOn w:val="1"/>
    <w:next w:val="21"/>
    <w:autoRedefine/>
    <w:qFormat/>
    <w:uiPriority w:val="0"/>
    <w:pPr>
      <w:widowControl/>
      <w:spacing w:before="280" w:after="280"/>
      <w:jc w:val="both"/>
    </w:pPr>
    <w:rPr>
      <w:rFonts w:ascii="宋体"/>
      <w:sz w:val="24"/>
    </w:rPr>
  </w:style>
  <w:style w:type="paragraph" w:customStyle="1" w:styleId="21">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5">
    <w:name w:val="toc 1"/>
    <w:basedOn w:val="1"/>
    <w:next w:val="1"/>
    <w:autoRedefine/>
    <w:qFormat/>
    <w:uiPriority w:val="39"/>
    <w:pPr>
      <w:spacing w:before="120" w:after="120"/>
      <w:jc w:val="left"/>
    </w:pPr>
    <w:rPr>
      <w:rFonts w:ascii="Calibri" w:hAnsi="Calibri" w:cs="Calibri"/>
      <w:b/>
      <w:bCs/>
      <w:caps/>
      <w:sz w:val="20"/>
      <w:szCs w:val="20"/>
    </w:rPr>
  </w:style>
  <w:style w:type="paragraph" w:styleId="26">
    <w:name w:val="toc 4"/>
    <w:basedOn w:val="1"/>
    <w:next w:val="1"/>
    <w:autoRedefine/>
    <w:qFormat/>
    <w:uiPriority w:val="0"/>
    <w:pPr>
      <w:ind w:left="630"/>
      <w:jc w:val="left"/>
    </w:pPr>
    <w:rPr>
      <w:rFonts w:ascii="Calibri" w:hAnsi="Calibri" w:cs="Calibri"/>
      <w:sz w:val="18"/>
      <w:szCs w:val="18"/>
    </w:rPr>
  </w:style>
  <w:style w:type="paragraph" w:styleId="27">
    <w:name w:val="toc 6"/>
    <w:basedOn w:val="1"/>
    <w:next w:val="1"/>
    <w:qFormat/>
    <w:uiPriority w:val="0"/>
    <w:pPr>
      <w:ind w:left="1050"/>
      <w:jc w:val="left"/>
    </w:pPr>
    <w:rPr>
      <w:rFonts w:ascii="Calibri" w:hAnsi="Calibri" w:cs="Calibri"/>
      <w:sz w:val="18"/>
      <w:szCs w:val="18"/>
    </w:rPr>
  </w:style>
  <w:style w:type="paragraph" w:styleId="28">
    <w:name w:val="Body Text Indent 3"/>
    <w:basedOn w:val="1"/>
    <w:link w:val="47"/>
    <w:autoRedefine/>
    <w:qFormat/>
    <w:uiPriority w:val="99"/>
    <w:pPr>
      <w:spacing w:after="120" w:line="240" w:lineRule="auto"/>
      <w:ind w:left="420" w:leftChars="200"/>
    </w:pPr>
    <w:rPr>
      <w:rFonts w:hint="default"/>
      <w:kern w:val="0"/>
      <w:sz w:val="16"/>
      <w:szCs w:val="16"/>
    </w:rPr>
  </w:style>
  <w:style w:type="paragraph" w:styleId="29">
    <w:name w:val="toc 2"/>
    <w:basedOn w:val="1"/>
    <w:next w:val="1"/>
    <w:autoRedefine/>
    <w:qFormat/>
    <w:uiPriority w:val="0"/>
    <w:pPr>
      <w:ind w:left="210"/>
      <w:jc w:val="left"/>
    </w:pPr>
    <w:rPr>
      <w:rFonts w:ascii="Calibri" w:hAnsi="Calibri" w:cs="Calibri"/>
      <w:smallCaps/>
      <w:sz w:val="20"/>
      <w:szCs w:val="20"/>
    </w:rPr>
  </w:style>
  <w:style w:type="paragraph" w:styleId="30">
    <w:name w:val="toc 9"/>
    <w:basedOn w:val="1"/>
    <w:next w:val="1"/>
    <w:autoRedefine/>
    <w:qFormat/>
    <w:uiPriority w:val="0"/>
    <w:pPr>
      <w:ind w:left="1680"/>
      <w:jc w:val="left"/>
    </w:pPr>
    <w:rPr>
      <w:rFonts w:ascii="Calibri" w:hAnsi="Calibri" w:cs="Calibri"/>
      <w:sz w:val="18"/>
      <w:szCs w:val="18"/>
    </w:rPr>
  </w:style>
  <w:style w:type="paragraph" w:styleId="31">
    <w:name w:val="Body Text 2"/>
    <w:basedOn w:val="1"/>
    <w:autoRedefine/>
    <w:unhideWhenUsed/>
    <w:qFormat/>
    <w:uiPriority w:val="99"/>
    <w:pPr>
      <w:spacing w:line="480" w:lineRule="auto"/>
    </w:pPr>
    <w:rPr>
      <w:rFonts w:ascii="Calibri" w:hAnsi="Calibri"/>
    </w:rPr>
  </w:style>
  <w:style w:type="paragraph" w:styleId="32">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34">
    <w:name w:val="Normal (Web)"/>
    <w:basedOn w:val="1"/>
    <w:link w:val="48"/>
    <w:autoRedefine/>
    <w:qFormat/>
    <w:uiPriority w:val="99"/>
    <w:pPr>
      <w:widowControl/>
      <w:spacing w:before="100" w:beforeAutospacing="1" w:after="100" w:afterAutospacing="1"/>
      <w:jc w:val="left"/>
    </w:pPr>
    <w:rPr>
      <w:rFonts w:hint="default" w:ascii="宋体" w:hAnsi="宋体"/>
      <w:kern w:val="0"/>
      <w:sz w:val="24"/>
    </w:rPr>
  </w:style>
  <w:style w:type="paragraph" w:styleId="35">
    <w:name w:val="Body Text First Indent 2"/>
    <w:basedOn w:val="12"/>
    <w:autoRedefine/>
    <w:qFormat/>
    <w:uiPriority w:val="0"/>
    <w:pPr>
      <w:ind w:firstLine="420" w:firstLineChars="200"/>
    </w:pPr>
  </w:style>
  <w:style w:type="table" w:styleId="37">
    <w:name w:val="Table Grid"/>
    <w:basedOn w:val="3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autoRedefine/>
    <w:qFormat/>
    <w:uiPriority w:val="0"/>
    <w:rPr>
      <w:b/>
      <w:bCs/>
      <w:szCs w:val="21"/>
    </w:rPr>
  </w:style>
  <w:style w:type="character" w:styleId="40">
    <w:name w:val="page number"/>
    <w:basedOn w:val="38"/>
    <w:autoRedefine/>
    <w:qFormat/>
    <w:uiPriority w:val="0"/>
    <w:rPr>
      <w:rFonts w:ascii="Times New Roman" w:hAnsi="Times New Roman" w:eastAsia="宋体" w:cs="Times New Roman"/>
    </w:rPr>
  </w:style>
  <w:style w:type="character" w:styleId="41">
    <w:name w:val="FollowedHyperlink"/>
    <w:autoRedefine/>
    <w:qFormat/>
    <w:uiPriority w:val="0"/>
    <w:rPr>
      <w:color w:val="003399"/>
      <w:u w:val="none"/>
    </w:rPr>
  </w:style>
  <w:style w:type="character" w:styleId="42">
    <w:name w:val="HTML Acronym"/>
    <w:autoRedefine/>
    <w:qFormat/>
    <w:uiPriority w:val="0"/>
  </w:style>
  <w:style w:type="character" w:styleId="43">
    <w:name w:val="Hyperlink"/>
    <w:autoRedefine/>
    <w:qFormat/>
    <w:uiPriority w:val="99"/>
    <w:rPr>
      <w:rFonts w:ascii="Times New Roman" w:hAnsi="Times New Roman" w:eastAsia="宋体" w:cs="Times New Roman"/>
      <w:color w:val="000000"/>
      <w:szCs w:val="21"/>
      <w:u w:val="none"/>
    </w:rPr>
  </w:style>
  <w:style w:type="paragraph" w:customStyle="1" w:styleId="44">
    <w:name w:val="无间隔1"/>
    <w:next w:val="1"/>
    <w:qFormat/>
    <w:uiPriority w:val="0"/>
    <w:pPr>
      <w:widowControl w:val="0"/>
      <w:tabs>
        <w:tab w:val="left" w:pos="1080"/>
      </w:tabs>
      <w:spacing w:line="360" w:lineRule="auto"/>
      <w:ind w:left="420" w:hanging="420"/>
      <w:jc w:val="both"/>
    </w:pPr>
    <w:rPr>
      <w:rFonts w:ascii="Calibri" w:hAnsi="Calibri" w:eastAsia="宋体" w:cs="Times New Roman"/>
      <w:kern w:val="2"/>
      <w:sz w:val="24"/>
      <w:szCs w:val="22"/>
      <w:lang w:val="en-US" w:eastAsia="zh-CN" w:bidi="ar-SA"/>
    </w:rPr>
  </w:style>
  <w:style w:type="character" w:customStyle="1" w:styleId="45">
    <w:name w:val="批注文字 字符"/>
    <w:link w:val="9"/>
    <w:autoRedefine/>
    <w:qFormat/>
    <w:locked/>
    <w:uiPriority w:val="99"/>
    <w:rPr>
      <w:kern w:val="2"/>
      <w:sz w:val="24"/>
      <w:szCs w:val="24"/>
    </w:rPr>
  </w:style>
  <w:style w:type="character" w:customStyle="1" w:styleId="46">
    <w:name w:val="纯文本 字符"/>
    <w:link w:val="16"/>
    <w:autoRedefine/>
    <w:qFormat/>
    <w:uiPriority w:val="0"/>
    <w:rPr>
      <w:rFonts w:ascii="宋体" w:hAnsi="Courier New"/>
      <w:kern w:val="2"/>
      <w:sz w:val="24"/>
    </w:rPr>
  </w:style>
  <w:style w:type="character" w:customStyle="1" w:styleId="47">
    <w:name w:val="正文文本缩进 3 字符"/>
    <w:link w:val="28"/>
    <w:autoRedefine/>
    <w:qFormat/>
    <w:uiPriority w:val="99"/>
    <w:rPr>
      <w:sz w:val="16"/>
      <w:szCs w:val="16"/>
    </w:rPr>
  </w:style>
  <w:style w:type="character" w:customStyle="1" w:styleId="48">
    <w:name w:val="普通(网站) 字符"/>
    <w:link w:val="34"/>
    <w:autoRedefine/>
    <w:qFormat/>
    <w:locked/>
    <w:uiPriority w:val="99"/>
    <w:rPr>
      <w:rFonts w:ascii="宋体" w:hAnsi="宋体" w:cs="宋体"/>
      <w:sz w:val="24"/>
      <w:szCs w:val="24"/>
    </w:rPr>
  </w:style>
  <w:style w:type="character" w:customStyle="1" w:styleId="49">
    <w:name w:val="正文文本缩进 3 Char1"/>
    <w:autoRedefine/>
    <w:qFormat/>
    <w:uiPriority w:val="0"/>
    <w:rPr>
      <w:kern w:val="2"/>
      <w:sz w:val="16"/>
      <w:szCs w:val="16"/>
    </w:rPr>
  </w:style>
  <w:style w:type="character" w:customStyle="1" w:styleId="50">
    <w:name w:val="font111"/>
    <w:autoRedefine/>
    <w:qFormat/>
    <w:uiPriority w:val="0"/>
    <w:rPr>
      <w:rFonts w:hint="default" w:ascii="Calibri" w:hAnsi="Calibri" w:cs="Calibri"/>
      <w:color w:val="000000"/>
      <w:sz w:val="20"/>
      <w:szCs w:val="20"/>
      <w:u w:val="none"/>
    </w:rPr>
  </w:style>
  <w:style w:type="character" w:customStyle="1" w:styleId="51">
    <w:name w:val="font41"/>
    <w:basedOn w:val="38"/>
    <w:qFormat/>
    <w:uiPriority w:val="0"/>
    <w:rPr>
      <w:rFonts w:hint="eastAsia" w:ascii="宋体" w:hAnsi="宋体" w:eastAsia="宋体" w:cs="宋体"/>
      <w:color w:val="000000"/>
      <w:sz w:val="28"/>
      <w:szCs w:val="28"/>
      <w:u w:val="none"/>
    </w:rPr>
  </w:style>
  <w:style w:type="character" w:customStyle="1" w:styleId="52">
    <w:name w:val="is017"/>
    <w:qFormat/>
    <w:uiPriority w:val="0"/>
  </w:style>
  <w:style w:type="character" w:customStyle="1" w:styleId="53">
    <w:name w:val="纯文本 Char1"/>
    <w:semiHidden/>
    <w:qFormat/>
    <w:uiPriority w:val="0"/>
    <w:rPr>
      <w:rFonts w:ascii="宋体" w:hAnsi="Courier New" w:eastAsia="宋体"/>
      <w:kern w:val="2"/>
      <w:sz w:val="24"/>
      <w:lang w:val="en-US" w:eastAsia="zh-CN" w:bidi="ar-SA"/>
    </w:rPr>
  </w:style>
  <w:style w:type="character" w:customStyle="1" w:styleId="54">
    <w:name w:val="font31"/>
    <w:qFormat/>
    <w:uiPriority w:val="0"/>
    <w:rPr>
      <w:rFonts w:hint="eastAsia" w:ascii="宋体" w:hAnsi="宋体" w:eastAsia="宋体" w:cs="宋体"/>
      <w:color w:val="000000"/>
      <w:sz w:val="20"/>
      <w:szCs w:val="20"/>
      <w:u w:val="none"/>
    </w:rPr>
  </w:style>
  <w:style w:type="character" w:customStyle="1" w:styleId="55">
    <w:name w:val="font91"/>
    <w:qFormat/>
    <w:uiPriority w:val="0"/>
    <w:rPr>
      <w:rFonts w:hint="eastAsia" w:ascii="宋体" w:hAnsi="宋体" w:eastAsia="宋体" w:cs="宋体"/>
      <w:color w:val="000000"/>
      <w:sz w:val="20"/>
      <w:szCs w:val="20"/>
      <w:u w:val="none"/>
    </w:rPr>
  </w:style>
  <w:style w:type="character" w:customStyle="1" w:styleId="56">
    <w:name w:val="hover"/>
    <w:autoRedefine/>
    <w:qFormat/>
    <w:uiPriority w:val="0"/>
  </w:style>
  <w:style w:type="character" w:customStyle="1" w:styleId="57">
    <w:name w:val="font61"/>
    <w:autoRedefine/>
    <w:qFormat/>
    <w:uiPriority w:val="0"/>
    <w:rPr>
      <w:rFonts w:hint="default" w:ascii="Calibri" w:hAnsi="Calibri" w:cs="Calibri"/>
      <w:color w:val="000000"/>
      <w:sz w:val="20"/>
      <w:szCs w:val="20"/>
      <w:u w:val="none"/>
    </w:rPr>
  </w:style>
  <w:style w:type="character" w:customStyle="1" w:styleId="58">
    <w:name w:val="img_bg_cover"/>
    <w:autoRedefine/>
    <w:qFormat/>
    <w:uiPriority w:val="0"/>
  </w:style>
  <w:style w:type="character" w:customStyle="1" w:styleId="59">
    <w:name w:val="批注文字 Char1"/>
    <w:qFormat/>
    <w:uiPriority w:val="0"/>
    <w:rPr>
      <w:kern w:val="2"/>
      <w:sz w:val="21"/>
      <w:szCs w:val="24"/>
    </w:rPr>
  </w:style>
  <w:style w:type="character" w:customStyle="1" w:styleId="60">
    <w:name w:val="彩色列表字符"/>
    <w:link w:val="61"/>
    <w:autoRedefine/>
    <w:qFormat/>
    <w:locked/>
    <w:uiPriority w:val="0"/>
    <w:rPr>
      <w:kern w:val="2"/>
      <w:sz w:val="21"/>
      <w:szCs w:val="24"/>
    </w:rPr>
  </w:style>
  <w:style w:type="paragraph" w:customStyle="1" w:styleId="61">
    <w:name w:val="彩色列表1"/>
    <w:basedOn w:val="1"/>
    <w:link w:val="60"/>
    <w:autoRedefine/>
    <w:qFormat/>
    <w:uiPriority w:val="0"/>
    <w:pPr>
      <w:spacing w:line="240" w:lineRule="auto"/>
      <w:ind w:firstLine="420" w:firstLineChars="200"/>
    </w:pPr>
    <w:rPr>
      <w:rFonts w:hint="default"/>
    </w:rPr>
  </w:style>
  <w:style w:type="paragraph" w:customStyle="1" w:styleId="6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3">
    <w:name w:val=" Char Char Char Char"/>
    <w:basedOn w:val="7"/>
    <w:autoRedefine/>
    <w:qFormat/>
    <w:uiPriority w:val="0"/>
    <w:pPr>
      <w:spacing w:line="240" w:lineRule="auto"/>
    </w:pPr>
    <w:rPr>
      <w:rFonts w:hint="default" w:ascii="Times New Roman" w:hAnsi="Times New Roman"/>
      <w:kern w:val="0"/>
      <w:sz w:val="24"/>
      <w:szCs w:val="20"/>
    </w:rPr>
  </w:style>
  <w:style w:type="paragraph" w:customStyle="1" w:styleId="64">
    <w:name w:val="样式3"/>
    <w:basedOn w:val="16"/>
    <w:autoRedefine/>
    <w:qFormat/>
    <w:uiPriority w:val="0"/>
    <w:pPr>
      <w:adjustRightInd/>
      <w:spacing w:line="0" w:lineRule="atLeast"/>
      <w:jc w:val="both"/>
      <w:textAlignment w:val="auto"/>
      <w:outlineLvl w:val="0"/>
    </w:pPr>
    <w:rPr>
      <w:rFonts w:ascii="Times New Roman" w:hAnsi="Times New Roman" w:eastAsia="宋体" w:cs="Times New Roman"/>
      <w:sz w:val="28"/>
    </w:rPr>
  </w:style>
  <w:style w:type="paragraph" w:customStyle="1" w:styleId="65">
    <w:name w:val="List Paragraph"/>
    <w:basedOn w:val="1"/>
    <w:autoRedefine/>
    <w:qFormat/>
    <w:uiPriority w:val="0"/>
    <w:pPr>
      <w:ind w:firstLine="420" w:firstLineChars="200"/>
    </w:pPr>
    <w:rPr>
      <w:rFonts w:ascii="Times New Roman" w:hAnsi="Times New Roman" w:eastAsia="宋体" w:cs="Times New Roman"/>
    </w:rPr>
  </w:style>
  <w:style w:type="paragraph" w:customStyle="1" w:styleId="6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7">
    <w:name w:val="is014"/>
    <w:basedOn w:val="1"/>
    <w:autoRedefine/>
    <w:qFormat/>
    <w:uiPriority w:val="0"/>
    <w:pPr>
      <w:pBdr>
        <w:left w:val="none" w:color="auto" w:sz="0" w:space="0"/>
      </w:pBdr>
      <w:jc w:val="left"/>
    </w:pPr>
    <w:rPr>
      <w:kern w:val="0"/>
      <w:lang w:val="en-US" w:eastAsia="zh-CN" w:bidi="ar"/>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is016"/>
    <w:basedOn w:val="1"/>
    <w:autoRedefine/>
    <w:qFormat/>
    <w:uiPriority w:val="0"/>
    <w:pPr>
      <w:pBdr>
        <w:left w:val="none" w:color="auto" w:sz="0" w:space="0"/>
      </w:pBdr>
      <w:jc w:val="left"/>
    </w:pPr>
    <w:rPr>
      <w:kern w:val="0"/>
      <w:lang w:val="en-US" w:eastAsia="zh-CN" w:bidi="ar"/>
    </w:rPr>
  </w:style>
  <w:style w:type="paragraph" w:customStyle="1" w:styleId="70">
    <w:name w:val="is010"/>
    <w:basedOn w:val="1"/>
    <w:autoRedefine/>
    <w:qFormat/>
    <w:uiPriority w:val="0"/>
    <w:pPr>
      <w:pBdr>
        <w:left w:val="none" w:color="auto" w:sz="0" w:space="0"/>
      </w:pBdr>
      <w:jc w:val="left"/>
    </w:pPr>
    <w:rPr>
      <w:kern w:val="0"/>
      <w:lang w:val="en-US" w:eastAsia="zh-CN" w:bidi="ar"/>
    </w:rPr>
  </w:style>
  <w:style w:type="paragraph" w:customStyle="1" w:styleId="7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72">
    <w:name w:val="is06"/>
    <w:basedOn w:val="1"/>
    <w:autoRedefine/>
    <w:qFormat/>
    <w:uiPriority w:val="0"/>
    <w:pPr>
      <w:pBdr>
        <w:left w:val="none" w:color="auto" w:sz="0" w:space="0"/>
      </w:pBdr>
      <w:jc w:val="left"/>
    </w:pPr>
    <w:rPr>
      <w:kern w:val="0"/>
      <w:lang w:val="en-US" w:eastAsia="zh-CN" w:bidi="ar"/>
    </w:rPr>
  </w:style>
  <w:style w:type="paragraph" w:customStyle="1" w:styleId="73">
    <w:name w:val="is08"/>
    <w:basedOn w:val="1"/>
    <w:autoRedefine/>
    <w:qFormat/>
    <w:uiPriority w:val="0"/>
    <w:pPr>
      <w:pBdr>
        <w:top w:val="none" w:color="auto" w:sz="0" w:space="0"/>
        <w:left w:val="none" w:color="auto" w:sz="0" w:space="0"/>
        <w:bottom w:val="none" w:color="auto" w:sz="0" w:space="0"/>
      </w:pBdr>
      <w:jc w:val="left"/>
    </w:pPr>
    <w:rPr>
      <w:color w:val="555555"/>
      <w:kern w:val="0"/>
      <w:sz w:val="18"/>
      <w:szCs w:val="18"/>
      <w:lang w:val="en-US" w:eastAsia="zh-CN" w:bidi="ar"/>
    </w:rPr>
  </w:style>
  <w:style w:type="paragraph" w:customStyle="1" w:styleId="74">
    <w:name w:val="p0"/>
    <w:basedOn w:val="1"/>
    <w:autoRedefine/>
    <w:qFormat/>
    <w:uiPriority w:val="0"/>
    <w:pPr>
      <w:widowControl/>
    </w:pPr>
    <w:rPr>
      <w:rFonts w:ascii="Times New Roman" w:hAnsi="Times New Roman" w:eastAsia="宋体" w:cs="Times New Roman"/>
      <w:kern w:val="0"/>
      <w:szCs w:val="21"/>
    </w:rPr>
  </w:style>
  <w:style w:type="paragraph" w:customStyle="1" w:styleId="75">
    <w:name w:val=" Char Char7"/>
    <w:basedOn w:val="1"/>
    <w:autoRedefine/>
    <w:qFormat/>
    <w:uiPriority w:val="0"/>
    <w:pPr>
      <w:spacing w:line="240" w:lineRule="auto"/>
    </w:pPr>
    <w:rPr>
      <w:rFonts w:hint="default" w:ascii="Times New Roman" w:hAnsi="Times New Roman"/>
      <w:szCs w:val="21"/>
    </w:rPr>
  </w:style>
  <w:style w:type="paragraph" w:customStyle="1" w:styleId="76">
    <w:name w:val="is04"/>
    <w:basedOn w:val="1"/>
    <w:autoRedefine/>
    <w:qFormat/>
    <w:uiPriority w:val="0"/>
    <w:pPr>
      <w:pBdr>
        <w:top w:val="none" w:color="auto" w:sz="0" w:space="0"/>
        <w:bottom w:val="none" w:color="auto" w:sz="0" w:space="0"/>
      </w:pBdr>
      <w:jc w:val="left"/>
    </w:pPr>
    <w:rPr>
      <w:kern w:val="0"/>
      <w:lang w:val="en-US" w:eastAsia="zh-CN" w:bidi="ar"/>
    </w:rPr>
  </w:style>
  <w:style w:type="paragraph" w:customStyle="1" w:styleId="77">
    <w:name w:val="is012"/>
    <w:basedOn w:val="1"/>
    <w:autoRedefine/>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78">
    <w:name w:val="is0"/>
    <w:basedOn w:val="1"/>
    <w:autoRedefine/>
    <w:qFormat/>
    <w:uiPriority w:val="0"/>
    <w:pPr>
      <w:jc w:val="left"/>
    </w:pPr>
    <w:rPr>
      <w:kern w:val="0"/>
      <w:lang w:val="en-US" w:eastAsia="zh-CN" w:bidi="ar"/>
    </w:rPr>
  </w:style>
  <w:style w:type="paragraph" w:customStyle="1" w:styleId="79">
    <w:name w:val="is02"/>
    <w:basedOn w:val="1"/>
    <w:autoRedefine/>
    <w:qFormat/>
    <w:uiPriority w:val="0"/>
    <w:pPr>
      <w:pBdr>
        <w:left w:val="none" w:color="auto" w:sz="0" w:space="0"/>
        <w:right w:val="none" w:color="auto" w:sz="0" w:space="0"/>
      </w:pBdr>
      <w:jc w:val="left"/>
    </w:pPr>
    <w:rPr>
      <w:kern w:val="0"/>
      <w:lang w:val="en-US" w:eastAsia="zh-CN" w:bidi="ar"/>
    </w:rPr>
  </w:style>
  <w:style w:type="paragraph" w:customStyle="1" w:styleId="80">
    <w:name w:val="正文文本缩进 Char Char"/>
    <w:basedOn w:val="1"/>
    <w:autoRedefine/>
    <w:qFormat/>
    <w:uiPriority w:val="0"/>
    <w:pPr>
      <w:spacing w:line="500" w:lineRule="exact"/>
      <w:ind w:left="1588" w:leftChars="832" w:firstLine="433" w:firstLineChars="196"/>
    </w:pPr>
    <w:rPr>
      <w:rFonts w:hint="default" w:ascii="Times New Roman" w:hAnsi="Times New Roman" w:cs="宋体"/>
      <w:sz w:val="24"/>
    </w:rPr>
  </w:style>
  <w:style w:type="character" w:customStyle="1" w:styleId="81">
    <w:name w:val="font21"/>
    <w:basedOn w:val="38"/>
    <w:autoRedefine/>
    <w:qFormat/>
    <w:uiPriority w:val="0"/>
    <w:rPr>
      <w:rFonts w:hint="eastAsia" w:ascii="宋体" w:hAnsi="宋体" w:eastAsia="宋体" w:cs="宋体"/>
      <w:color w:val="000000"/>
      <w:sz w:val="18"/>
      <w:szCs w:val="18"/>
      <w:u w:val="none"/>
    </w:rPr>
  </w:style>
  <w:style w:type="character" w:customStyle="1" w:styleId="82">
    <w:name w:val="标题 2 Char"/>
    <w:link w:val="3"/>
    <w:autoRedefine/>
    <w:qFormat/>
    <w:uiPriority w:val="0"/>
    <w:rPr>
      <w:rFonts w:ascii="Cambria" w:hAnsi="Cambria" w:eastAsia="宋体" w:cs="Times New Roman"/>
      <w:b/>
      <w:bCs/>
      <w:sz w:val="32"/>
      <w:szCs w:val="32"/>
    </w:rPr>
  </w:style>
  <w:style w:type="character" w:customStyle="1" w:styleId="83">
    <w:name w:val="标题 1 Char"/>
    <w:basedOn w:val="38"/>
    <w:link w:val="2"/>
    <w:qFormat/>
    <w:uiPriority w:val="0"/>
    <w:rPr>
      <w:rFonts w:ascii="Times New Roman" w:hAnsi="Times New Roman" w:eastAsia="宋体"/>
      <w:b/>
      <w:bCs/>
      <w:kern w:val="44"/>
      <w:sz w:val="32"/>
      <w:szCs w:val="44"/>
    </w:r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Body text|1"/>
    <w:basedOn w:val="1"/>
    <w:qFormat/>
    <w:uiPriority w:val="0"/>
    <w:pPr>
      <w:spacing w:line="403" w:lineRule="auto"/>
      <w:ind w:firstLine="400"/>
      <w:textAlignment w:val="baseline"/>
    </w:pPr>
    <w:rPr>
      <w:rFonts w:ascii="宋体" w:hAnsi="宋体" w:cs="宋体"/>
      <w:sz w:val="30"/>
      <w:szCs w:val="30"/>
      <w:lang w:val="zh-TW" w:eastAsia="zh-TW" w:bidi="zh-TW"/>
    </w:rPr>
  </w:style>
  <w:style w:type="character" w:customStyle="1" w:styleId="86">
    <w:name w:val="NormalCharacter"/>
    <w:semiHidden/>
    <w:qFormat/>
    <w:uiPriority w:val="0"/>
  </w:style>
  <w:style w:type="table" w:customStyle="1" w:styleId="87">
    <w:name w:val="TableGrid"/>
    <w:autoRedefine/>
    <w:qFormat/>
    <w:uiPriority w:val="0"/>
    <w:tblPr>
      <w:tblCellMar>
        <w:top w:w="0" w:type="dxa"/>
        <w:left w:w="0" w:type="dxa"/>
        <w:bottom w:w="0" w:type="dxa"/>
        <w:right w:w="0" w:type="dxa"/>
      </w:tblCellMar>
    </w:tblPr>
  </w:style>
  <w:style w:type="paragraph" w:customStyle="1" w:styleId="88">
    <w:name w:val="表格文字"/>
    <w:basedOn w:val="1"/>
    <w:autoRedefine/>
    <w:qFormat/>
    <w:uiPriority w:val="0"/>
    <w:pPr>
      <w:spacing w:before="25" w:after="25"/>
      <w:jc w:val="left"/>
    </w:pPr>
    <w:rPr>
      <w:bCs/>
      <w:spacing w:val="10"/>
      <w:kern w:val="0"/>
      <w:sz w:val="24"/>
    </w:rPr>
  </w:style>
  <w:style w:type="paragraph" w:customStyle="1" w:styleId="89">
    <w:name w:val="_Style 1"/>
    <w:basedOn w:val="1"/>
    <w:qFormat/>
    <w:uiPriority w:val="34"/>
    <w:pPr>
      <w:ind w:firstLine="420" w:firstLineChars="200"/>
    </w:pPr>
  </w:style>
  <w:style w:type="character" w:customStyle="1" w:styleId="90">
    <w:name w:val="font51"/>
    <w:basedOn w:val="38"/>
    <w:qFormat/>
    <w:uiPriority w:val="0"/>
    <w:rPr>
      <w:rFonts w:hint="eastAsia" w:ascii="宋体" w:hAnsi="宋体" w:eastAsia="宋体" w:cs="宋体"/>
      <w:b/>
      <w:color w:val="000000"/>
      <w:sz w:val="20"/>
      <w:szCs w:val="20"/>
      <w:u w:val="none"/>
    </w:rPr>
  </w:style>
  <w:style w:type="paragraph" w:customStyle="1" w:styleId="91">
    <w:name w:val="样式 首行缩进:  2 字符3"/>
    <w:basedOn w:val="1"/>
    <w:qFormat/>
    <w:uiPriority w:val="0"/>
    <w:pPr>
      <w:spacing w:line="360" w:lineRule="auto"/>
      <w:ind w:firstLine="480" w:firstLineChars="200"/>
    </w:pPr>
    <w:rPr>
      <w:rFonts w:asci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26795</Words>
  <Characters>29361</Characters>
  <Lines>149</Lines>
  <Paragraphs>42</Paragraphs>
  <TotalTime>2</TotalTime>
  <ScaleCrop>false</ScaleCrop>
  <LinksUpToDate>false</LinksUpToDate>
  <CharactersWithSpaces>31751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2019-04-10T08:26:00Z</dcterms:created>
  <dc:creator>123</dc:creator>
  <cp:lastModifiedBy>Administrator</cp:lastModifiedBy>
  <cp:lastPrinted>2024-09-29T00:55:00Z</cp:lastPrinted>
  <dcterms:modified xsi:type="dcterms:W3CDTF">2024-09-29T03:39:23Z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96B5CF772E7E4D3E8D880F71FF281010_13</vt:lpwstr>
  </property>
</Properties>
</file>