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FB716">
      <w:pPr>
        <w:pStyle w:val="18"/>
        <w:jc w:val="center"/>
        <w:rPr>
          <w:rFonts w:hint="eastAsia" w:hAnsi="宋体"/>
          <w:b/>
          <w:color w:val="auto"/>
          <w:sz w:val="52"/>
          <w:szCs w:val="52"/>
          <w:lang w:eastAsia="zh-CN"/>
        </w:rPr>
      </w:pPr>
      <w:bookmarkStart w:id="0" w:name="_Toc381880843"/>
      <w:r>
        <w:rPr>
          <w:rFonts w:hint="eastAsia" w:hAnsi="宋体"/>
          <w:b/>
          <w:color w:val="auto"/>
          <w:sz w:val="52"/>
          <w:szCs w:val="52"/>
          <w:lang w:eastAsia="zh-CN"/>
        </w:rPr>
        <w:t>邹城市钢山街道杜家庄村义和佳苑车棚建设工程</w:t>
      </w:r>
    </w:p>
    <w:p w14:paraId="2DFC204C">
      <w:pPr>
        <w:pStyle w:val="18"/>
        <w:jc w:val="center"/>
        <w:rPr>
          <w:rFonts w:hint="eastAsia" w:hAnsi="宋体"/>
          <w:b/>
          <w:color w:val="auto"/>
          <w:sz w:val="52"/>
          <w:szCs w:val="52"/>
          <w:lang w:eastAsia="zh-CN"/>
        </w:rPr>
      </w:pPr>
    </w:p>
    <w:p w14:paraId="2CC7E217">
      <w:pPr>
        <w:pStyle w:val="18"/>
        <w:jc w:val="center"/>
        <w:outlineLvl w:val="0"/>
        <w:rPr>
          <w:rFonts w:hAnsi="宋体"/>
          <w:b/>
          <w:color w:val="auto"/>
          <w:sz w:val="72"/>
          <w:szCs w:val="72"/>
        </w:rPr>
      </w:pPr>
      <w:bookmarkStart w:id="1" w:name="_Toc19227"/>
      <w:r>
        <w:rPr>
          <w:rFonts w:hint="eastAsia" w:hAnsi="宋体"/>
          <w:b/>
          <w:color w:val="auto"/>
          <w:sz w:val="72"/>
          <w:szCs w:val="72"/>
        </w:rPr>
        <w:t>竞争性磋商文件</w:t>
      </w:r>
      <w:bookmarkEnd w:id="0"/>
      <w:bookmarkEnd w:id="1"/>
    </w:p>
    <w:p w14:paraId="2D3D12F1">
      <w:pPr>
        <w:pStyle w:val="18"/>
        <w:jc w:val="center"/>
        <w:rPr>
          <w:rFonts w:hint="eastAsia" w:hAnsi="宋体" w:eastAsia="宋体"/>
          <w:b/>
          <w:color w:val="auto"/>
          <w:sz w:val="18"/>
          <w:szCs w:val="18"/>
          <w:lang w:eastAsia="zh-CN"/>
        </w:rPr>
      </w:pPr>
    </w:p>
    <w:p w14:paraId="43C55680">
      <w:pPr>
        <w:pStyle w:val="18"/>
        <w:ind w:firstLine="2872" w:firstLineChars="894"/>
        <w:outlineLvl w:val="0"/>
        <w:rPr>
          <w:rFonts w:hint="eastAsia" w:hAnsi="宋体" w:eastAsia="宋体"/>
          <w:b/>
          <w:color w:val="auto"/>
          <w:sz w:val="32"/>
          <w:lang w:val="en-US" w:eastAsia="zh-CN"/>
        </w:rPr>
      </w:pPr>
      <w:bookmarkStart w:id="2" w:name="_Toc1930"/>
      <w:r>
        <w:rPr>
          <w:rFonts w:hint="eastAsia" w:hAnsi="宋体"/>
          <w:b/>
          <w:color w:val="auto"/>
          <w:sz w:val="32"/>
        </w:rPr>
        <w:t>项目编号</w:t>
      </w:r>
      <w:bookmarkEnd w:id="2"/>
      <w:r>
        <w:rPr>
          <w:rFonts w:hint="eastAsia" w:hAnsi="宋体"/>
          <w:b/>
          <w:color w:val="auto"/>
          <w:sz w:val="32"/>
          <w:lang w:val="en-US" w:eastAsia="zh-CN"/>
        </w:rPr>
        <w:t>:</w:t>
      </w:r>
      <w:r>
        <w:rPr>
          <w:rFonts w:hint="eastAsia" w:hAnsi="宋体"/>
          <w:b/>
          <w:color w:val="auto"/>
          <w:sz w:val="32"/>
          <w:lang w:eastAsia="zh-CN"/>
        </w:rPr>
        <w:t>SDMC-GSJD2024-008</w:t>
      </w:r>
    </w:p>
    <w:p w14:paraId="5CB8D601">
      <w:pPr>
        <w:jc w:val="center"/>
        <w:rPr>
          <w:rFonts w:ascii="宋体" w:hAnsi="宋体"/>
          <w:b/>
          <w:color w:val="auto"/>
          <w:sz w:val="36"/>
          <w:szCs w:val="36"/>
        </w:rPr>
      </w:pPr>
    </w:p>
    <w:p w14:paraId="6ED48152">
      <w:pPr>
        <w:jc w:val="center"/>
        <w:rPr>
          <w:rFonts w:ascii="宋体" w:hAnsi="宋体"/>
          <w:b/>
          <w:color w:val="auto"/>
          <w:sz w:val="36"/>
          <w:szCs w:val="36"/>
        </w:rPr>
      </w:pPr>
    </w:p>
    <w:p w14:paraId="5AE4D7DC">
      <w:pPr>
        <w:jc w:val="center"/>
        <w:rPr>
          <w:rFonts w:ascii="宋体" w:hAnsi="宋体"/>
          <w:b/>
          <w:bCs/>
          <w:color w:val="auto"/>
          <w:kern w:val="16"/>
          <w:sz w:val="36"/>
          <w:szCs w:val="36"/>
        </w:rPr>
      </w:pPr>
    </w:p>
    <w:p w14:paraId="63644B83">
      <w:pPr>
        <w:pStyle w:val="10"/>
        <w:rPr>
          <w:rFonts w:ascii="宋体" w:hAnsi="宋体"/>
          <w:b/>
          <w:bCs/>
          <w:color w:val="auto"/>
          <w:kern w:val="16"/>
          <w:sz w:val="36"/>
          <w:szCs w:val="36"/>
        </w:rPr>
      </w:pPr>
    </w:p>
    <w:p w14:paraId="0511BFDE">
      <w:pPr>
        <w:rPr>
          <w:rFonts w:ascii="宋体" w:hAnsi="宋体"/>
          <w:b/>
          <w:bCs/>
          <w:color w:val="auto"/>
          <w:kern w:val="16"/>
          <w:sz w:val="36"/>
          <w:szCs w:val="36"/>
        </w:rPr>
      </w:pPr>
    </w:p>
    <w:p w14:paraId="1310C065">
      <w:pPr>
        <w:rPr>
          <w:rFonts w:ascii="宋体" w:hAnsi="宋体"/>
          <w:b/>
          <w:bCs/>
          <w:color w:val="auto"/>
          <w:kern w:val="16"/>
          <w:sz w:val="36"/>
          <w:szCs w:val="36"/>
        </w:rPr>
      </w:pPr>
    </w:p>
    <w:p w14:paraId="33AFBB1B">
      <w:pPr>
        <w:pStyle w:val="85"/>
        <w:spacing w:line="600" w:lineRule="auto"/>
        <w:ind w:firstLine="1446" w:firstLineChars="400"/>
        <w:jc w:val="both"/>
        <w:rPr>
          <w:rFonts w:hint="eastAsia" w:ascii="宋体" w:hAnsi="宋体"/>
          <w:b/>
          <w:color w:val="auto"/>
          <w:sz w:val="36"/>
          <w:szCs w:val="36"/>
        </w:rPr>
      </w:pPr>
    </w:p>
    <w:p w14:paraId="61728ACE">
      <w:pPr>
        <w:pStyle w:val="85"/>
        <w:spacing w:line="600" w:lineRule="auto"/>
        <w:ind w:firstLine="1446" w:firstLineChars="400"/>
        <w:jc w:val="both"/>
        <w:rPr>
          <w:rFonts w:hint="eastAsia" w:ascii="宋体" w:hAnsi="宋体"/>
          <w:b/>
          <w:color w:val="auto"/>
          <w:sz w:val="36"/>
          <w:szCs w:val="36"/>
        </w:rPr>
      </w:pPr>
    </w:p>
    <w:p w14:paraId="7EC2A74E">
      <w:pPr>
        <w:pStyle w:val="85"/>
        <w:spacing w:line="600" w:lineRule="auto"/>
        <w:ind w:firstLine="1446" w:firstLineChars="400"/>
        <w:jc w:val="both"/>
        <w:rPr>
          <w:rFonts w:hint="eastAsia" w:ascii="宋体" w:hAnsi="宋体"/>
          <w:b/>
          <w:color w:val="auto"/>
          <w:sz w:val="36"/>
          <w:szCs w:val="36"/>
        </w:rPr>
      </w:pPr>
    </w:p>
    <w:p w14:paraId="57485BB4">
      <w:pPr>
        <w:pStyle w:val="85"/>
        <w:spacing w:line="600" w:lineRule="auto"/>
        <w:ind w:firstLine="1446" w:firstLineChars="400"/>
        <w:jc w:val="both"/>
        <w:rPr>
          <w:rFonts w:hint="eastAsia" w:ascii="宋体" w:hAnsi="宋体"/>
          <w:b/>
          <w:color w:val="auto"/>
          <w:sz w:val="36"/>
          <w:szCs w:val="36"/>
        </w:rPr>
      </w:pPr>
    </w:p>
    <w:p w14:paraId="0F5DDC13">
      <w:pPr>
        <w:pStyle w:val="85"/>
        <w:spacing w:line="600" w:lineRule="auto"/>
        <w:ind w:firstLine="1446" w:firstLineChars="400"/>
        <w:jc w:val="both"/>
        <w:outlineLvl w:val="0"/>
        <w:rPr>
          <w:rFonts w:hint="eastAsia" w:ascii="宋体" w:hAnsi="宋体" w:eastAsia="宋体"/>
          <w:b/>
          <w:color w:val="auto"/>
          <w:sz w:val="36"/>
          <w:szCs w:val="36"/>
          <w:lang w:val="en-US" w:eastAsia="zh-CN"/>
        </w:rPr>
      </w:pPr>
      <w:bookmarkStart w:id="3" w:name="_Toc23738"/>
      <w:r>
        <w:rPr>
          <w:rFonts w:hint="eastAsia" w:ascii="宋体" w:hAnsi="宋体"/>
          <w:b/>
          <w:color w:val="auto"/>
          <w:sz w:val="36"/>
          <w:szCs w:val="36"/>
        </w:rPr>
        <w:t>采 购 人：</w:t>
      </w:r>
      <w:bookmarkEnd w:id="3"/>
      <w:r>
        <w:rPr>
          <w:rFonts w:hint="eastAsia" w:ascii="宋体" w:hAnsi="宋体"/>
          <w:b/>
          <w:color w:val="auto"/>
          <w:sz w:val="36"/>
          <w:szCs w:val="36"/>
          <w:lang w:eastAsia="zh-CN"/>
        </w:rPr>
        <w:t>邹城市钢山街道杜家庄村村民委员会</w:t>
      </w:r>
    </w:p>
    <w:p w14:paraId="0D0217CC">
      <w:pPr>
        <w:pStyle w:val="85"/>
        <w:spacing w:line="600" w:lineRule="auto"/>
        <w:ind w:firstLine="1446" w:firstLineChars="400"/>
        <w:jc w:val="both"/>
        <w:rPr>
          <w:rFonts w:hint="eastAsia" w:ascii="宋体" w:hAnsi="宋体" w:eastAsia="宋体"/>
          <w:b/>
          <w:color w:val="auto"/>
          <w:sz w:val="36"/>
          <w:szCs w:val="36"/>
          <w:lang w:eastAsia="zh-CN"/>
        </w:rPr>
      </w:pPr>
      <w:r>
        <w:rPr>
          <w:rFonts w:hint="eastAsia" w:ascii="宋体" w:hAnsi="宋体"/>
          <w:b/>
          <w:color w:val="auto"/>
          <w:sz w:val="36"/>
          <w:szCs w:val="36"/>
        </w:rPr>
        <w:t>代理机构：</w:t>
      </w:r>
      <w:r>
        <w:rPr>
          <w:rFonts w:hint="eastAsia" w:ascii="宋体" w:hAnsi="宋体"/>
          <w:b/>
          <w:color w:val="auto"/>
          <w:sz w:val="36"/>
          <w:szCs w:val="36"/>
          <w:lang w:eastAsia="zh-CN"/>
        </w:rPr>
        <w:t>山东铭宸工程项目管理咨询有限公司</w:t>
      </w:r>
    </w:p>
    <w:p w14:paraId="6A941F0C">
      <w:pPr>
        <w:tabs>
          <w:tab w:val="left" w:pos="1080"/>
        </w:tabs>
        <w:spacing w:line="600" w:lineRule="auto"/>
        <w:ind w:firstLine="1446" w:firstLineChars="400"/>
        <w:rPr>
          <w:rFonts w:hint="eastAsia" w:ascii="宋体" w:hAnsi="宋体" w:eastAsia="宋体"/>
          <w:b/>
          <w:color w:val="auto"/>
          <w:sz w:val="36"/>
          <w:szCs w:val="36"/>
          <w:lang w:eastAsia="zh-CN"/>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auto"/>
          <w:sz w:val="36"/>
          <w:szCs w:val="36"/>
        </w:rPr>
        <w:t>日    期：</w:t>
      </w:r>
      <w:r>
        <w:rPr>
          <w:rFonts w:hint="eastAsia" w:ascii="宋体" w:hAnsi="宋体"/>
          <w:b/>
          <w:color w:val="auto"/>
          <w:sz w:val="36"/>
          <w:szCs w:val="36"/>
          <w:lang w:eastAsia="zh-CN"/>
        </w:rPr>
        <w:t>二○二四年十</w:t>
      </w:r>
      <w:r>
        <w:rPr>
          <w:rFonts w:hint="eastAsia" w:ascii="宋体" w:hAnsi="宋体"/>
          <w:b/>
          <w:color w:val="auto"/>
          <w:sz w:val="36"/>
          <w:szCs w:val="36"/>
          <w:lang w:val="en-US" w:eastAsia="zh-CN"/>
        </w:rPr>
        <w:t>二</w:t>
      </w:r>
      <w:r>
        <w:rPr>
          <w:rFonts w:hint="eastAsia" w:ascii="宋体" w:hAnsi="宋体"/>
          <w:b/>
          <w:color w:val="auto"/>
          <w:sz w:val="36"/>
          <w:szCs w:val="36"/>
          <w:lang w:eastAsia="zh-CN"/>
        </w:rPr>
        <w:t>月</w:t>
      </w:r>
    </w:p>
    <w:sdt>
      <w:sdtPr>
        <w:rPr>
          <w:rFonts w:ascii="宋体" w:hAnsi="宋体" w:eastAsia="宋体" w:cs="Times New Roman"/>
          <w:color w:val="auto"/>
          <w:kern w:val="2"/>
          <w:sz w:val="21"/>
          <w:szCs w:val="24"/>
          <w:lang w:val="en-US" w:eastAsia="zh-CN" w:bidi="ar-SA"/>
        </w:rPr>
        <w:id w:val="147477112"/>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14:paraId="40FEAF89">
          <w:pPr>
            <w:spacing w:before="0" w:beforeLines="0" w:after="0" w:afterLines="0" w:line="240" w:lineRule="auto"/>
            <w:ind w:left="0" w:leftChars="0" w:right="0" w:rightChars="0" w:firstLine="0" w:firstLineChars="0"/>
            <w:jc w:val="center"/>
            <w:rPr>
              <w:b/>
              <w:bCs/>
              <w:color w:val="auto"/>
              <w:sz w:val="28"/>
              <w:szCs w:val="36"/>
            </w:rPr>
          </w:pPr>
          <w:r>
            <w:rPr>
              <w:rFonts w:ascii="宋体" w:hAnsi="宋体" w:eastAsia="宋体"/>
              <w:b/>
              <w:bCs/>
              <w:color w:val="auto"/>
              <w:sz w:val="28"/>
              <w:szCs w:val="36"/>
            </w:rPr>
            <w:t>目</w:t>
          </w:r>
          <w:r>
            <w:rPr>
              <w:rFonts w:hint="eastAsia" w:ascii="宋体" w:hAnsi="宋体" w:eastAsia="宋体"/>
              <w:b/>
              <w:bCs/>
              <w:color w:val="auto"/>
              <w:sz w:val="28"/>
              <w:szCs w:val="36"/>
              <w:lang w:val="en-US" w:eastAsia="zh-CN"/>
            </w:rPr>
            <w:t xml:space="preserve"> </w:t>
          </w:r>
          <w:r>
            <w:rPr>
              <w:rFonts w:ascii="宋体" w:hAnsi="宋体" w:eastAsia="宋体"/>
              <w:b/>
              <w:bCs/>
              <w:color w:val="auto"/>
              <w:sz w:val="28"/>
              <w:szCs w:val="36"/>
            </w:rPr>
            <w:t>录</w:t>
          </w:r>
        </w:p>
        <w:p w14:paraId="05E9238A">
          <w:pPr>
            <w:pStyle w:val="191"/>
            <w:tabs>
              <w:tab w:val="right" w:leader="dot" w:pos="9746"/>
            </w:tabs>
            <w:rPr>
              <w:color w:val="auto"/>
            </w:rPr>
          </w:pPr>
          <w:r>
            <w:rPr>
              <w:rFonts w:ascii="宋体" w:hAnsi="宋体"/>
              <w:color w:val="auto"/>
              <w:sz w:val="24"/>
            </w:rPr>
            <w:fldChar w:fldCharType="begin"/>
          </w:r>
          <w:r>
            <w:rPr>
              <w:rFonts w:ascii="宋体" w:hAnsi="宋体"/>
              <w:color w:val="auto"/>
              <w:sz w:val="24"/>
            </w:rPr>
            <w:instrText xml:space="preserve">TOC \o "1-1" \h \u </w:instrText>
          </w:r>
          <w:r>
            <w:rPr>
              <w:rFonts w:ascii="宋体" w:hAnsi="宋体"/>
              <w:color w:val="auto"/>
              <w:sz w:val="24"/>
            </w:rPr>
            <w:fldChar w:fldCharType="separate"/>
          </w:r>
        </w:p>
        <w:p w14:paraId="5F79D498">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_Toc27750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第一部分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_Toc27750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BA63B10">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_Toc17307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磋商响应方须知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_Toc17307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2AC3BD2">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_Toc20347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第三部分  磋商组织、步骤与评审方法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_Toc20347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C9B94CE">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_Toc19153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第四部分  采购内容及要求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_Toc19153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48A765A">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_Toc16799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第五部分  合同授予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_Toc16799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2743DA7">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_Toc30486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第六部分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_Toc30486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3C548A8">
          <w:pPr>
            <w:tabs>
              <w:tab w:val="left" w:pos="1080"/>
            </w:tabs>
            <w:snapToGrid w:val="0"/>
            <w:spacing w:line="720" w:lineRule="auto"/>
            <w:ind w:firstLine="3045" w:firstLineChars="1450"/>
            <w:rPr>
              <w:rFonts w:ascii="宋体" w:hAnsi="宋体"/>
              <w:color w:val="auto"/>
              <w:sz w:val="24"/>
            </w:rPr>
          </w:pPr>
          <w:r>
            <w:rPr>
              <w:rFonts w:ascii="宋体" w:hAnsi="宋体"/>
              <w:color w:val="auto"/>
            </w:rPr>
            <w:fldChar w:fldCharType="end"/>
          </w:r>
        </w:p>
      </w:sdtContent>
    </w:sdt>
    <w:p w14:paraId="48A14670">
      <w:pPr>
        <w:spacing w:line="360" w:lineRule="auto"/>
        <w:jc w:val="center"/>
        <w:outlineLvl w:val="9"/>
        <w:rPr>
          <w:rFonts w:ascii="宋体" w:hAnsi="宋体"/>
          <w:b/>
          <w:color w:val="auto"/>
          <w:sz w:val="32"/>
          <w:szCs w:val="32"/>
        </w:rPr>
      </w:pPr>
      <w:bookmarkStart w:id="4" w:name="_Toc15040"/>
    </w:p>
    <w:p w14:paraId="7207DBF6">
      <w:pPr>
        <w:spacing w:line="360" w:lineRule="auto"/>
        <w:jc w:val="center"/>
        <w:outlineLvl w:val="9"/>
        <w:rPr>
          <w:rFonts w:ascii="宋体" w:hAnsi="宋体"/>
          <w:b/>
          <w:color w:val="auto"/>
          <w:sz w:val="32"/>
          <w:szCs w:val="32"/>
        </w:rPr>
      </w:pPr>
    </w:p>
    <w:p w14:paraId="55535E10">
      <w:pPr>
        <w:spacing w:line="360" w:lineRule="auto"/>
        <w:jc w:val="center"/>
        <w:outlineLvl w:val="9"/>
        <w:rPr>
          <w:rFonts w:ascii="宋体" w:hAnsi="宋体"/>
          <w:color w:val="auto"/>
          <w:sz w:val="32"/>
          <w:szCs w:val="32"/>
        </w:rPr>
      </w:pPr>
    </w:p>
    <w:p w14:paraId="19CC65B6">
      <w:pPr>
        <w:tabs>
          <w:tab w:val="left" w:pos="6210"/>
        </w:tabs>
        <w:rPr>
          <w:rFonts w:ascii="宋体" w:hAnsi="宋体"/>
          <w:color w:val="auto"/>
          <w:sz w:val="32"/>
          <w:szCs w:val="32"/>
        </w:rPr>
        <w:sectPr>
          <w:headerReference r:id="rId7" w:type="default"/>
          <w:footerReference r:id="rId8"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auto"/>
          <w:sz w:val="32"/>
          <w:szCs w:val="32"/>
        </w:rPr>
        <w:tab/>
      </w:r>
    </w:p>
    <w:p w14:paraId="1C62FE24">
      <w:pPr>
        <w:pStyle w:val="3"/>
        <w:bidi w:val="0"/>
        <w:jc w:val="center"/>
        <w:outlineLvl w:val="0"/>
        <w:rPr>
          <w:rFonts w:hint="eastAsia" w:ascii="宋体" w:hAnsi="宋体" w:eastAsia="宋体" w:cs="宋体"/>
          <w:color w:val="auto"/>
          <w:sz w:val="24"/>
          <w:szCs w:val="24"/>
        </w:rPr>
      </w:pPr>
      <w:bookmarkStart w:id="5" w:name="_Toc27750"/>
      <w:r>
        <w:rPr>
          <w:rFonts w:hint="eastAsia" w:ascii="宋体" w:hAnsi="宋体" w:eastAsia="宋体" w:cs="宋体"/>
          <w:color w:val="auto"/>
          <w:sz w:val="24"/>
          <w:szCs w:val="24"/>
        </w:rPr>
        <w:t>第一部分  竞争性磋商公告</w:t>
      </w:r>
      <w:bookmarkEnd w:id="4"/>
      <w:bookmarkEnd w:id="5"/>
    </w:p>
    <w:p w14:paraId="0AE6A364">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hint="eastAsia" w:ascii="宋体" w:hAnsi="宋体" w:cs="Helvetica"/>
          <w:b/>
          <w:bCs/>
          <w:color w:val="auto"/>
          <w:kern w:val="0"/>
          <w:sz w:val="24"/>
          <w:lang w:val="en" w:eastAsia="zh-CN"/>
        </w:rPr>
      </w:pPr>
      <w:bookmarkStart w:id="6" w:name="_Hlk62638239"/>
      <w:r>
        <w:rPr>
          <w:rFonts w:hint="eastAsia" w:ascii="宋体" w:hAnsi="宋体" w:cs="Helvetica"/>
          <w:b/>
          <w:bCs/>
          <w:color w:val="auto"/>
          <w:kern w:val="0"/>
          <w:sz w:val="24"/>
          <w:lang w:val="en" w:eastAsia="zh-CN"/>
        </w:rPr>
        <w:t>邹城市钢山街道杜家庄村义和佳苑车棚建设工程</w:t>
      </w:r>
    </w:p>
    <w:p w14:paraId="737E155A">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auto"/>
          <w:kern w:val="0"/>
          <w:sz w:val="24"/>
          <w:lang w:val="en"/>
        </w:rPr>
      </w:pPr>
      <w:r>
        <w:rPr>
          <w:rFonts w:hint="eastAsia" w:ascii="宋体" w:hAnsi="宋体" w:cs="Helvetica"/>
          <w:b/>
          <w:bCs/>
          <w:color w:val="auto"/>
          <w:kern w:val="0"/>
          <w:sz w:val="24"/>
          <w:lang w:val="en"/>
        </w:rPr>
        <w:t>竞争性磋商公告</w:t>
      </w:r>
    </w:p>
    <w:p w14:paraId="3EFC4338">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7" w:name="_Hlk52379596"/>
      <w:r>
        <w:rPr>
          <w:rFonts w:hint="eastAsia" w:ascii="宋体" w:hAnsi="宋体" w:cs="宋体"/>
          <w:b/>
          <w:bCs/>
          <w:color w:val="auto"/>
          <w:kern w:val="0"/>
          <w:sz w:val="24"/>
        </w:rPr>
        <w:t>一、采 购 人：</w:t>
      </w:r>
      <w:r>
        <w:rPr>
          <w:rFonts w:hint="eastAsia" w:ascii="宋体" w:hAnsi="宋体" w:cs="宋体"/>
          <w:b w:val="0"/>
          <w:bCs w:val="0"/>
          <w:color w:val="auto"/>
          <w:kern w:val="0"/>
          <w:sz w:val="24"/>
          <w:lang w:eastAsia="zh-CN"/>
        </w:rPr>
        <w:t>邹城市钢山街道杜家庄村村民委员会</w:t>
      </w:r>
    </w:p>
    <w:p w14:paraId="7E5CD562">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rPr>
        <w:t>二、项目名称：</w:t>
      </w:r>
      <w:r>
        <w:rPr>
          <w:rFonts w:hint="eastAsia" w:ascii="宋体" w:hAnsi="宋体" w:cs="宋体"/>
          <w:b w:val="0"/>
          <w:bCs w:val="0"/>
          <w:color w:val="auto"/>
          <w:kern w:val="0"/>
          <w:sz w:val="24"/>
          <w:lang w:eastAsia="zh-CN"/>
        </w:rPr>
        <w:t>邹城市钢山街道杜家庄村义和佳苑车棚建设工程</w:t>
      </w:r>
    </w:p>
    <w:p w14:paraId="72089A75">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auto"/>
          <w:kern w:val="0"/>
          <w:sz w:val="24"/>
          <w:lang w:val="en-US" w:eastAsia="zh-CN"/>
        </w:rPr>
      </w:pPr>
      <w:r>
        <w:rPr>
          <w:rFonts w:hint="eastAsia" w:ascii="宋体" w:hAnsi="宋体" w:cs="宋体"/>
          <w:b/>
          <w:bCs/>
          <w:color w:val="auto"/>
          <w:kern w:val="0"/>
          <w:sz w:val="24"/>
        </w:rPr>
        <w:t>三、项目编号：</w:t>
      </w:r>
      <w:r>
        <w:rPr>
          <w:rFonts w:hint="eastAsia" w:ascii="宋体" w:hAnsi="宋体" w:cs="宋体"/>
          <w:b w:val="0"/>
          <w:bCs w:val="0"/>
          <w:color w:val="auto"/>
          <w:kern w:val="0"/>
          <w:sz w:val="24"/>
          <w:lang w:eastAsia="zh-CN"/>
        </w:rPr>
        <w:t>SDMC-GSJD2024-008</w:t>
      </w:r>
    </w:p>
    <w:p w14:paraId="2B8FFC39">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auto"/>
          <w:kern w:val="0"/>
          <w:sz w:val="24"/>
          <w:lang w:eastAsia="zh-CN"/>
        </w:rPr>
      </w:pPr>
      <w:r>
        <w:rPr>
          <w:rFonts w:hint="eastAsia" w:ascii="宋体" w:hAnsi="宋体" w:cs="宋体"/>
          <w:b/>
          <w:bCs/>
          <w:color w:val="auto"/>
          <w:kern w:val="0"/>
          <w:sz w:val="24"/>
          <w:lang w:eastAsia="zh-CN"/>
        </w:rPr>
        <w:t>四、采购内容：</w:t>
      </w:r>
    </w:p>
    <w:p w14:paraId="415938C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highlight w:val="yellow"/>
        </w:rPr>
      </w:pPr>
      <w:r>
        <w:rPr>
          <w:rFonts w:hint="eastAsia" w:ascii="宋体" w:hAnsi="宋体" w:cs="宋体"/>
          <w:color w:val="auto"/>
          <w:sz w:val="24"/>
          <w:szCs w:val="24"/>
          <w:lang w:eastAsia="zh-CN"/>
        </w:rPr>
        <w:t>邹城市钢山街道杜家庄村义和佳苑车棚建设工程</w:t>
      </w:r>
      <w:r>
        <w:rPr>
          <w:rFonts w:hint="eastAsia" w:ascii="宋体" w:hAnsi="宋体" w:cs="宋体"/>
          <w:color w:val="auto"/>
          <w:sz w:val="24"/>
          <w:szCs w:val="24"/>
          <w:highlight w:val="none"/>
          <w:lang w:eastAsia="zh-CN"/>
        </w:rPr>
        <w:t>包括图纸范围内（以施工界面划分为准）的全部内容，主要包括4#楼东、5#楼东、8#楼北、托儿所大门口、加热站西、14#楼北、18#楼北、28#楼北、30#楼北、32#楼北、34#楼南、35#楼北、36#楼北、38#楼北等14个车棚的土建、安装工程等全部内容（详见工程量清单，以工程量清单为准）。</w:t>
      </w:r>
      <w:r>
        <w:rPr>
          <w:rFonts w:hint="eastAsia" w:ascii="宋体" w:hAnsi="宋体" w:eastAsia="宋体" w:cs="宋体"/>
          <w:color w:val="auto"/>
          <w:sz w:val="24"/>
          <w:szCs w:val="24"/>
          <w:highlight w:val="none"/>
          <w:lang w:eastAsia="zh-CN"/>
        </w:rPr>
        <w:t>采购预算为</w:t>
      </w:r>
      <w:r>
        <w:rPr>
          <w:rFonts w:hint="eastAsia" w:ascii="宋体" w:hAnsi="宋体" w:cs="宋体"/>
          <w:color w:val="auto"/>
          <w:sz w:val="24"/>
          <w:szCs w:val="24"/>
          <w:highlight w:val="none"/>
          <w:lang w:eastAsia="zh-CN"/>
        </w:rPr>
        <w:t>1151570.33</w:t>
      </w:r>
      <w:r>
        <w:rPr>
          <w:rFonts w:hint="eastAsia" w:ascii="宋体" w:hAnsi="宋体" w:eastAsia="宋体" w:cs="宋体"/>
          <w:color w:val="auto"/>
          <w:sz w:val="24"/>
          <w:szCs w:val="24"/>
          <w:highlight w:val="none"/>
          <w:lang w:eastAsia="zh-CN"/>
        </w:rPr>
        <w:t>元 (详见第四章采购内容及要求)</w:t>
      </w:r>
      <w:r>
        <w:rPr>
          <w:rFonts w:hint="eastAsia" w:ascii="宋体" w:hAnsi="宋体" w:cs="宋体"/>
          <w:color w:val="auto"/>
          <w:kern w:val="0"/>
          <w:sz w:val="24"/>
          <w:highlight w:val="none"/>
          <w:shd w:val="clear" w:color="auto" w:fill="FFFFFF"/>
          <w:lang w:val="en-US" w:eastAsia="zh-CN" w:bidi="ar"/>
        </w:rPr>
        <w:t>。</w:t>
      </w:r>
    </w:p>
    <w:p w14:paraId="4A82217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五、供应商资格要求：</w:t>
      </w:r>
    </w:p>
    <w:p w14:paraId="57EBB84B">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1、具备《政府采购法》第二十二条规定的条件。</w:t>
      </w:r>
    </w:p>
    <w:p w14:paraId="09C90376">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（一）具有独立承担民事责任的能力；</w:t>
      </w:r>
    </w:p>
    <w:p w14:paraId="48191F8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14:paraId="7D291F2B">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14:paraId="33AC6D02">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14:paraId="41A4DB9A">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14:paraId="5DCD9F23">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bCs/>
          <w:color w:val="auto"/>
          <w:kern w:val="0"/>
          <w:sz w:val="24"/>
        </w:rPr>
      </w:pPr>
      <w:r>
        <w:rPr>
          <w:rFonts w:hint="eastAsia" w:ascii="宋体" w:hAnsi="宋体" w:cs="宋体"/>
          <w:bCs/>
          <w:color w:val="auto"/>
          <w:kern w:val="0"/>
          <w:sz w:val="24"/>
        </w:rPr>
        <w:t>（六）法律、行政法规规定的其他条件。</w:t>
      </w:r>
    </w:p>
    <w:p w14:paraId="2F5546AF">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宋体" w:hAnsi="宋体" w:cs="宋体"/>
          <w:i w:val="0"/>
          <w:iCs w:val="0"/>
          <w:caps w:val="0"/>
          <w:color w:val="auto"/>
          <w:spacing w:val="0"/>
          <w:sz w:val="24"/>
          <w:szCs w:val="24"/>
          <w:shd w:val="clear" w:fill="FFFFFF"/>
          <w:lang w:val="en-US" w:eastAsia="zh-CN"/>
        </w:rPr>
      </w:pPr>
      <w:r>
        <w:rPr>
          <w:rFonts w:hint="eastAsia" w:ascii="宋体" w:hAnsi="宋体" w:cs="宋体"/>
          <w:bCs/>
          <w:color w:val="auto"/>
          <w:kern w:val="0"/>
          <w:sz w:val="24"/>
          <w:lang w:val="en-US" w:eastAsia="zh-CN"/>
        </w:rPr>
        <w:t>2</w:t>
      </w:r>
      <w:r>
        <w:rPr>
          <w:rFonts w:hint="eastAsia" w:ascii="宋体" w:hAnsi="宋体" w:cs="宋体"/>
          <w:bCs/>
          <w:color w:val="auto"/>
          <w:kern w:val="0"/>
          <w:sz w:val="24"/>
        </w:rPr>
        <w:t>、</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须供应商须具备</w:t>
      </w:r>
      <w:r>
        <w:rPr>
          <w:rFonts w:hint="eastAsia" w:ascii="宋体" w:hAnsi="宋体" w:cs="宋体"/>
          <w:b/>
          <w:bCs/>
          <w:i w:val="0"/>
          <w:iCs w:val="0"/>
          <w:caps w:val="0"/>
          <w:color w:val="auto"/>
          <w:spacing w:val="0"/>
          <w:sz w:val="24"/>
          <w:szCs w:val="24"/>
          <w:u w:val="single"/>
          <w:shd w:val="clear" w:fill="FFFFFF"/>
          <w:lang w:eastAsia="zh-CN"/>
        </w:rPr>
        <w:t>建筑工程施工总承包三级（含）以上资质</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具备本单位注册的建筑工程专业贰级及以上注册建造师执业资格</w:t>
      </w:r>
      <w:r>
        <w:rPr>
          <w:rFonts w:hint="eastAsia" w:ascii="宋体" w:hAnsi="宋体" w:eastAsia="宋体" w:cs="宋体"/>
          <w:b/>
          <w:bCs/>
          <w:i w:val="0"/>
          <w:iCs w:val="0"/>
          <w:caps w:val="0"/>
          <w:color w:val="auto"/>
          <w:spacing w:val="0"/>
          <w:sz w:val="24"/>
          <w:szCs w:val="24"/>
          <w:shd w:val="clear" w:fill="FFFFFF"/>
        </w:rPr>
        <w:t>，具备</w:t>
      </w:r>
      <w:r>
        <w:rPr>
          <w:rFonts w:hint="eastAsia" w:ascii="宋体" w:hAnsi="宋体" w:eastAsia="宋体" w:cs="宋体"/>
          <w:b/>
          <w:bCs/>
          <w:i w:val="0"/>
          <w:iCs w:val="0"/>
          <w:caps w:val="0"/>
          <w:color w:val="auto"/>
          <w:spacing w:val="0"/>
          <w:sz w:val="24"/>
          <w:szCs w:val="24"/>
          <w:u w:val="single"/>
          <w:shd w:val="clear" w:fill="FFFFFF"/>
        </w:rPr>
        <w:t>有效的安全生产考核证书（B证）</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eastAsia="宋体" w:cs="宋体"/>
          <w:i w:val="0"/>
          <w:iCs w:val="0"/>
          <w:caps w:val="0"/>
          <w:color w:val="auto"/>
          <w:spacing w:val="0"/>
          <w:sz w:val="24"/>
          <w:szCs w:val="24"/>
          <w:shd w:val="clear" w:color="auto" w:fill="FFFFFF"/>
        </w:rPr>
        <w:t>。</w:t>
      </w:r>
    </w:p>
    <w:p w14:paraId="09E1330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lang w:val="en-US" w:eastAsia="zh-CN"/>
        </w:rPr>
        <w:t>3</w:t>
      </w:r>
      <w:r>
        <w:rPr>
          <w:rFonts w:hint="eastAsia" w:ascii="宋体" w:hAnsi="宋体" w:cs="宋体"/>
          <w:bCs/>
          <w:color w:val="auto"/>
          <w:kern w:val="0"/>
          <w:sz w:val="24"/>
        </w:rPr>
        <w:t>、因建设工地扬尘污染暂扣安全生产许可证的施工单位，不得参与本项目的磋商；因拖欠农民工工资，计入山东省（省级）及济宁市诚信黑榜，被限制济宁市内建设工程投标</w:t>
      </w:r>
      <w:r>
        <w:rPr>
          <w:rFonts w:hint="eastAsia" w:ascii="宋体" w:hAnsi="宋体" w:cs="宋体"/>
          <w:bCs/>
          <w:color w:val="auto"/>
          <w:kern w:val="0"/>
          <w:sz w:val="24"/>
          <w:highlight w:val="none"/>
        </w:rPr>
        <w:t>资格的施工单位，不得参与本项目的磋商。</w:t>
      </w:r>
    </w:p>
    <w:p w14:paraId="6FD4FB4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bCs w:val="0"/>
          <w:color w:val="auto"/>
          <w:kern w:val="0"/>
          <w:sz w:val="24"/>
          <w:highlight w:val="none"/>
          <w:lang w:eastAsia="zh-CN"/>
        </w:rPr>
      </w:pP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、供应商在递交响应文件时需同时提供</w:t>
      </w:r>
      <w:r>
        <w:rPr>
          <w:rFonts w:hint="eastAsia" w:ascii="宋体" w:hAnsi="宋体" w:cs="宋体"/>
          <w:b/>
          <w:bCs w:val="0"/>
          <w:color w:val="auto"/>
          <w:kern w:val="0"/>
          <w:sz w:val="24"/>
          <w:highlight w:val="none"/>
          <w:lang w:eastAsia="zh-CN"/>
        </w:rPr>
        <w:t>本单位营业执照(副本原件或加盖单位公章复印件)、资质证书（原件或加盖单位公章复印件）、安全生产许可证（副本原件或加盖单位公章复印件）、项目经理的建造师注册证（原件或加盖单位公章复印件）及建造师安全生产考核合格证B证（原件或加盖单位公章复印件）、法定代表人或授权委托人有效身份证原件及法人授权委托书原件以及竞争性磋商文件第三部分磋商组织、步骤与评审方法中要求的相关证件资料等。</w:t>
      </w:r>
    </w:p>
    <w:p w14:paraId="62D60613">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注：</w:t>
      </w:r>
      <w:r>
        <w:rPr>
          <w:rFonts w:hint="eastAsia" w:ascii="宋体" w:hAnsi="宋体" w:cs="宋体"/>
          <w:b/>
          <w:bCs/>
          <w:i w:val="0"/>
          <w:iCs w:val="0"/>
          <w:caps w:val="0"/>
          <w:color w:val="auto"/>
          <w:spacing w:val="0"/>
          <w:sz w:val="24"/>
          <w:szCs w:val="24"/>
          <w:highlight w:val="none"/>
          <w:shd w:val="clear" w:fill="FFFFFF"/>
          <w:lang w:eastAsia="zh-CN"/>
        </w:rPr>
        <w:t>供应商应按</w:t>
      </w:r>
      <w:r>
        <w:rPr>
          <w:rFonts w:hint="eastAsia" w:ascii="宋体" w:hAnsi="宋体" w:eastAsia="宋体" w:cs="宋体"/>
          <w:b/>
          <w:bCs/>
          <w:i w:val="0"/>
          <w:iCs w:val="0"/>
          <w:caps w:val="0"/>
          <w:color w:val="auto"/>
          <w:spacing w:val="0"/>
          <w:sz w:val="24"/>
          <w:szCs w:val="24"/>
          <w:highlight w:val="none"/>
          <w:shd w:val="clear" w:fill="FFFFFF"/>
        </w:rPr>
        <w:t>上述</w:t>
      </w:r>
      <w:r>
        <w:rPr>
          <w:rFonts w:hint="eastAsia" w:ascii="宋体" w:hAnsi="宋体" w:cs="宋体"/>
          <w:b/>
          <w:bCs/>
          <w:i w:val="0"/>
          <w:iCs w:val="0"/>
          <w:caps w:val="0"/>
          <w:color w:val="auto"/>
          <w:spacing w:val="0"/>
          <w:sz w:val="24"/>
          <w:szCs w:val="24"/>
          <w:highlight w:val="none"/>
          <w:shd w:val="clear" w:fill="FFFFFF"/>
          <w:lang w:eastAsia="zh-CN"/>
        </w:rPr>
        <w:t>要求提供有关</w:t>
      </w:r>
      <w:r>
        <w:rPr>
          <w:rFonts w:hint="eastAsia" w:ascii="宋体" w:hAnsi="宋体" w:eastAsia="宋体" w:cs="宋体"/>
          <w:b/>
          <w:bCs/>
          <w:i w:val="0"/>
          <w:iCs w:val="0"/>
          <w:caps w:val="0"/>
          <w:color w:val="auto"/>
          <w:spacing w:val="0"/>
          <w:sz w:val="24"/>
          <w:szCs w:val="24"/>
          <w:highlight w:val="none"/>
          <w:shd w:val="clear" w:fill="FFFFFF"/>
        </w:rPr>
        <w:t>材料、证件，</w:t>
      </w:r>
      <w:r>
        <w:rPr>
          <w:rFonts w:hint="eastAsia" w:ascii="宋体" w:hAnsi="宋体" w:cs="宋体"/>
          <w:b/>
          <w:bCs/>
          <w:i w:val="0"/>
          <w:iCs w:val="0"/>
          <w:caps w:val="0"/>
          <w:color w:val="auto"/>
          <w:spacing w:val="0"/>
          <w:sz w:val="24"/>
          <w:szCs w:val="24"/>
          <w:highlight w:val="none"/>
          <w:shd w:val="clear" w:fill="FFFFFF"/>
          <w:lang w:eastAsia="zh-CN"/>
        </w:rPr>
        <w:t>要求可以提供加盖公章复印件的材料、证件，已</w:t>
      </w:r>
      <w:r>
        <w:rPr>
          <w:rFonts w:hint="eastAsia" w:ascii="宋体" w:hAnsi="宋体" w:eastAsia="宋体" w:cs="宋体"/>
          <w:b/>
          <w:bCs/>
          <w:i w:val="0"/>
          <w:iCs w:val="0"/>
          <w:caps w:val="0"/>
          <w:color w:val="auto"/>
          <w:spacing w:val="0"/>
          <w:sz w:val="24"/>
          <w:szCs w:val="24"/>
          <w:highlight w:val="none"/>
          <w:shd w:val="clear" w:fill="FFFFFF"/>
        </w:rPr>
        <w:t>编制在响应文件中</w:t>
      </w:r>
      <w:r>
        <w:rPr>
          <w:rFonts w:hint="eastAsia" w:ascii="宋体" w:hAnsi="宋体" w:cs="宋体"/>
          <w:b/>
          <w:bCs/>
          <w:i w:val="0"/>
          <w:iCs w:val="0"/>
          <w:caps w:val="0"/>
          <w:color w:val="auto"/>
          <w:spacing w:val="0"/>
          <w:sz w:val="24"/>
          <w:szCs w:val="24"/>
          <w:highlight w:val="none"/>
          <w:shd w:val="clear" w:fill="FFFFFF"/>
          <w:lang w:eastAsia="zh-CN"/>
        </w:rPr>
        <w:t>的</w:t>
      </w:r>
      <w:r>
        <w:rPr>
          <w:rFonts w:hint="eastAsia" w:ascii="宋体" w:hAnsi="宋体" w:eastAsia="宋体" w:cs="宋体"/>
          <w:b/>
          <w:bCs/>
          <w:i w:val="0"/>
          <w:iCs w:val="0"/>
          <w:caps w:val="0"/>
          <w:color w:val="auto"/>
          <w:spacing w:val="0"/>
          <w:sz w:val="24"/>
          <w:szCs w:val="24"/>
          <w:highlight w:val="none"/>
          <w:shd w:val="clear" w:fill="FFFFFF"/>
        </w:rPr>
        <w:t>，</w:t>
      </w:r>
      <w:r>
        <w:rPr>
          <w:rFonts w:hint="eastAsia" w:ascii="宋体" w:hAnsi="宋体" w:cs="宋体"/>
          <w:b/>
          <w:bCs/>
          <w:i w:val="0"/>
          <w:iCs w:val="0"/>
          <w:caps w:val="0"/>
          <w:color w:val="auto"/>
          <w:spacing w:val="0"/>
          <w:sz w:val="24"/>
          <w:szCs w:val="24"/>
          <w:highlight w:val="none"/>
          <w:shd w:val="clear" w:fill="FFFFFF"/>
          <w:lang w:eastAsia="zh-CN"/>
        </w:rPr>
        <w:t>无需再单独提供；</w:t>
      </w:r>
      <w:r>
        <w:rPr>
          <w:rFonts w:hint="eastAsia" w:ascii="宋体" w:hAnsi="宋体" w:eastAsia="宋体" w:cs="宋体"/>
          <w:b/>
          <w:bCs/>
          <w:i w:val="0"/>
          <w:iCs w:val="0"/>
          <w:caps w:val="0"/>
          <w:color w:val="auto"/>
          <w:spacing w:val="0"/>
          <w:sz w:val="24"/>
          <w:szCs w:val="24"/>
          <w:highlight w:val="none"/>
          <w:shd w:val="clear" w:fill="FFFFFF"/>
        </w:rPr>
        <w:t>若供应商未将</w:t>
      </w:r>
      <w:r>
        <w:rPr>
          <w:rFonts w:hint="eastAsia" w:ascii="宋体" w:hAnsi="宋体" w:cs="宋体"/>
          <w:b/>
          <w:bCs/>
          <w:i w:val="0"/>
          <w:iCs w:val="0"/>
          <w:caps w:val="0"/>
          <w:color w:val="auto"/>
          <w:spacing w:val="0"/>
          <w:sz w:val="24"/>
          <w:szCs w:val="24"/>
          <w:highlight w:val="none"/>
          <w:shd w:val="clear" w:fill="FFFFFF"/>
          <w:lang w:eastAsia="zh-CN"/>
        </w:rPr>
        <w:t>相关材料、证件的</w:t>
      </w:r>
      <w:r>
        <w:rPr>
          <w:rFonts w:hint="eastAsia" w:ascii="宋体" w:hAnsi="宋体" w:eastAsia="宋体" w:cs="宋体"/>
          <w:b/>
          <w:bCs/>
          <w:i w:val="0"/>
          <w:iCs w:val="0"/>
          <w:caps w:val="0"/>
          <w:color w:val="auto"/>
          <w:spacing w:val="0"/>
          <w:sz w:val="24"/>
          <w:szCs w:val="24"/>
          <w:highlight w:val="none"/>
          <w:shd w:val="clear" w:fill="FFFFFF"/>
        </w:rPr>
        <w:t>复印件</w:t>
      </w:r>
      <w:r>
        <w:rPr>
          <w:rFonts w:hint="eastAsia" w:ascii="宋体" w:hAnsi="宋体" w:cs="宋体"/>
          <w:b/>
          <w:bCs/>
          <w:i w:val="0"/>
          <w:iCs w:val="0"/>
          <w:caps w:val="0"/>
          <w:color w:val="auto"/>
          <w:spacing w:val="0"/>
          <w:sz w:val="24"/>
          <w:szCs w:val="24"/>
          <w:highlight w:val="none"/>
          <w:shd w:val="clear" w:fill="FFFFFF"/>
          <w:lang w:eastAsia="zh-CN"/>
        </w:rPr>
        <w:t>（加盖）</w:t>
      </w:r>
      <w:r>
        <w:rPr>
          <w:rFonts w:hint="eastAsia" w:ascii="宋体" w:hAnsi="宋体" w:eastAsia="宋体" w:cs="宋体"/>
          <w:b/>
          <w:bCs/>
          <w:i w:val="0"/>
          <w:iCs w:val="0"/>
          <w:caps w:val="0"/>
          <w:color w:val="auto"/>
          <w:spacing w:val="0"/>
          <w:sz w:val="24"/>
          <w:szCs w:val="24"/>
          <w:highlight w:val="none"/>
          <w:shd w:val="clear" w:fill="FFFFFF"/>
        </w:rPr>
        <w:t>编制在响应文件中，则涉及资格等无效磋商响应文件情形的，将</w:t>
      </w:r>
      <w:r>
        <w:rPr>
          <w:rFonts w:hint="eastAsia" w:ascii="宋体" w:hAnsi="宋体" w:cs="宋体"/>
          <w:b/>
          <w:bCs/>
          <w:i w:val="0"/>
          <w:iCs w:val="0"/>
          <w:caps w:val="0"/>
          <w:color w:val="auto"/>
          <w:spacing w:val="0"/>
          <w:sz w:val="24"/>
          <w:szCs w:val="24"/>
          <w:highlight w:val="none"/>
          <w:shd w:val="clear" w:fill="FFFFFF"/>
          <w:lang w:eastAsia="zh-CN"/>
        </w:rPr>
        <w:t>按照无效响应处理</w:t>
      </w:r>
      <w:r>
        <w:rPr>
          <w:rFonts w:hint="eastAsia" w:ascii="宋体" w:hAnsi="宋体" w:eastAsia="宋体" w:cs="宋体"/>
          <w:b/>
          <w:bCs/>
          <w:i w:val="0"/>
          <w:iCs w:val="0"/>
          <w:caps w:val="0"/>
          <w:color w:val="auto"/>
          <w:spacing w:val="0"/>
          <w:sz w:val="24"/>
          <w:szCs w:val="24"/>
          <w:highlight w:val="none"/>
          <w:shd w:val="clear" w:fill="FFFFFF"/>
        </w:rPr>
        <w:t>，且不因</w:t>
      </w:r>
      <w:r>
        <w:rPr>
          <w:rFonts w:hint="eastAsia" w:ascii="宋体" w:hAnsi="宋体" w:cs="宋体"/>
          <w:b/>
          <w:bCs/>
          <w:i w:val="0"/>
          <w:iCs w:val="0"/>
          <w:caps w:val="0"/>
          <w:color w:val="auto"/>
          <w:spacing w:val="0"/>
          <w:sz w:val="24"/>
          <w:szCs w:val="24"/>
          <w:highlight w:val="none"/>
          <w:shd w:val="clear" w:fill="FFFFFF"/>
          <w:lang w:eastAsia="zh-CN"/>
        </w:rPr>
        <w:t>单独提供了有关材料、证件</w:t>
      </w:r>
      <w:r>
        <w:rPr>
          <w:rFonts w:hint="eastAsia" w:ascii="宋体" w:hAnsi="宋体" w:eastAsia="宋体" w:cs="宋体"/>
          <w:b/>
          <w:bCs/>
          <w:i w:val="0"/>
          <w:iCs w:val="0"/>
          <w:caps w:val="0"/>
          <w:color w:val="auto"/>
          <w:spacing w:val="0"/>
          <w:sz w:val="24"/>
          <w:szCs w:val="24"/>
          <w:highlight w:val="none"/>
          <w:shd w:val="clear" w:fill="FFFFFF"/>
        </w:rPr>
        <w:t>而改变。供应商在磋商时未按上述要求提供证明材料的，按无效响应文件处理或按评审办法规定不予认可。</w:t>
      </w:r>
    </w:p>
    <w:p w14:paraId="03700E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、本次竞争性磋商不接受联合体</w:t>
      </w:r>
      <w:r>
        <w:rPr>
          <w:rFonts w:hint="eastAsia" w:ascii="宋体" w:hAnsi="宋体" w:cs="宋体"/>
          <w:color w:val="auto"/>
          <w:kern w:val="0"/>
          <w:sz w:val="24"/>
          <w:highlight w:val="none"/>
        </w:rPr>
        <w:t>。</w:t>
      </w:r>
    </w:p>
    <w:bookmarkEnd w:id="6"/>
    <w:bookmarkEnd w:id="7"/>
    <w:p w14:paraId="3880D547">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六、磋商文件的获取：</w:t>
      </w:r>
    </w:p>
    <w:p w14:paraId="1C19E1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1、时间：</w:t>
      </w:r>
      <w:r>
        <w:rPr>
          <w:rFonts w:hint="eastAsia" w:ascii="宋体" w:hAnsi="宋体" w:cs="宋体"/>
          <w:color w:val="auto"/>
          <w:sz w:val="24"/>
          <w:szCs w:val="24"/>
          <w:highlight w:val="none"/>
          <w:lang w:eastAsia="zh-CN"/>
        </w:rPr>
        <w:t>2024年12月</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日至2024年12月1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日09时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lang w:eastAsia="zh-CN"/>
        </w:rPr>
        <w:t>分</w:t>
      </w:r>
    </w:p>
    <w:p w14:paraId="3628FC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2、地点：邹城市外宣网(http://w.mencius.gov.cn/)。</w:t>
      </w:r>
    </w:p>
    <w:p w14:paraId="6B2479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3、方式：登录邹城市外宣网(http://w.mencius.gov.cn/)直接点击公告下方附件下载竞争性磋商文件。</w:t>
      </w:r>
    </w:p>
    <w:p w14:paraId="576787C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lang w:eastAsia="zh-CN"/>
        </w:rPr>
        <w:t>七、磋商响应文件的递交：</w:t>
      </w:r>
    </w:p>
    <w:p w14:paraId="08F838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eastAsia="zh-CN"/>
        </w:rPr>
        <w:t>邹城市钢山街道杜家庄村村民委员会</w:t>
      </w:r>
      <w:r>
        <w:rPr>
          <w:rFonts w:hint="eastAsia" w:ascii="宋体" w:hAnsi="宋体" w:eastAsia="宋体" w:cs="宋体"/>
          <w:color w:val="auto"/>
          <w:sz w:val="24"/>
          <w:szCs w:val="24"/>
          <w:highlight w:val="none"/>
          <w:lang w:eastAsia="zh-CN"/>
        </w:rPr>
        <w:t>会于</w:t>
      </w:r>
      <w:r>
        <w:rPr>
          <w:rFonts w:hint="eastAsia" w:ascii="宋体" w:hAnsi="宋体" w:cs="宋体"/>
          <w:color w:val="auto"/>
          <w:sz w:val="24"/>
          <w:szCs w:val="24"/>
          <w:highlight w:val="none"/>
          <w:lang w:eastAsia="zh-CN"/>
        </w:rPr>
        <w:t>2024年12月1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日09时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lang w:eastAsia="zh-CN"/>
        </w:rPr>
        <w:t>分</w:t>
      </w:r>
      <w:r>
        <w:rPr>
          <w:rFonts w:hint="eastAsia" w:ascii="宋体" w:hAnsi="宋体" w:eastAsia="宋体" w:cs="宋体"/>
          <w:color w:val="auto"/>
          <w:sz w:val="24"/>
          <w:szCs w:val="24"/>
          <w:highlight w:val="none"/>
          <w:lang w:eastAsia="zh-CN"/>
        </w:rPr>
        <w:t>磋商开始前在</w:t>
      </w:r>
      <w:r>
        <w:rPr>
          <w:rFonts w:hint="eastAsia" w:ascii="宋体" w:hAnsi="宋体" w:cs="宋体"/>
          <w:color w:val="auto"/>
          <w:sz w:val="24"/>
          <w:szCs w:val="24"/>
          <w:highlight w:val="none"/>
          <w:lang w:eastAsia="zh-CN"/>
        </w:rPr>
        <w:t>邹城市钢山街道公共资源交易中心开标室</w:t>
      </w:r>
      <w:r>
        <w:rPr>
          <w:rFonts w:hint="eastAsia" w:ascii="宋体" w:hAnsi="宋体" w:eastAsia="宋体" w:cs="宋体"/>
          <w:color w:val="auto"/>
          <w:sz w:val="24"/>
          <w:szCs w:val="24"/>
          <w:highlight w:val="none"/>
          <w:lang w:eastAsia="zh-CN"/>
        </w:rPr>
        <w:t>受理供应商磋商响应文件的递交；</w:t>
      </w:r>
    </w:p>
    <w:p w14:paraId="503398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2、逾期送达或未送达指定地点的磋商响应文件，采购人不予受理。</w:t>
      </w:r>
    </w:p>
    <w:p w14:paraId="0A6A529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lang w:eastAsia="zh-CN"/>
        </w:rPr>
        <w:t>八、磋商时间与地点：</w:t>
      </w:r>
    </w:p>
    <w:p w14:paraId="07934A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w:t>
      </w:r>
      <w:r>
        <w:rPr>
          <w:rFonts w:hint="eastAsia" w:ascii="宋体" w:hAnsi="宋体" w:cs="宋体"/>
          <w:color w:val="auto"/>
          <w:sz w:val="24"/>
          <w:szCs w:val="24"/>
          <w:highlight w:val="none"/>
          <w:lang w:eastAsia="zh-CN"/>
        </w:rPr>
        <w:t>2024年12月1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日09时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lang w:eastAsia="zh-CN"/>
        </w:rPr>
        <w:t>分</w:t>
      </w:r>
      <w:r>
        <w:rPr>
          <w:rFonts w:hint="eastAsia" w:ascii="宋体" w:hAnsi="宋体" w:eastAsia="宋体" w:cs="宋体"/>
          <w:color w:val="auto"/>
          <w:sz w:val="24"/>
          <w:szCs w:val="24"/>
          <w:highlight w:val="none"/>
          <w:lang w:eastAsia="zh-CN"/>
        </w:rPr>
        <w:t>。</w:t>
      </w:r>
    </w:p>
    <w:p w14:paraId="254DE7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地点：</w:t>
      </w:r>
      <w:r>
        <w:rPr>
          <w:rFonts w:hint="eastAsia" w:ascii="宋体" w:hAnsi="宋体" w:cs="宋体"/>
          <w:color w:val="auto"/>
          <w:sz w:val="24"/>
          <w:szCs w:val="24"/>
          <w:highlight w:val="none"/>
          <w:lang w:eastAsia="zh-CN"/>
        </w:rPr>
        <w:t>邹城市钢山街道公共资源交易中心开标室</w:t>
      </w:r>
      <w:r>
        <w:rPr>
          <w:rFonts w:hint="eastAsia" w:ascii="宋体" w:hAnsi="宋体" w:eastAsia="宋体" w:cs="宋体"/>
          <w:color w:val="auto"/>
          <w:sz w:val="24"/>
          <w:szCs w:val="24"/>
          <w:highlight w:val="none"/>
          <w:lang w:eastAsia="zh-CN"/>
        </w:rPr>
        <w:t>。</w:t>
      </w:r>
    </w:p>
    <w:p w14:paraId="0167F99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lang w:eastAsia="zh-CN"/>
        </w:rPr>
        <w:t>九、联系方式：</w:t>
      </w:r>
    </w:p>
    <w:p w14:paraId="522F11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 购 人：</w:t>
      </w:r>
      <w:r>
        <w:rPr>
          <w:rFonts w:hint="eastAsia" w:ascii="宋体" w:hAnsi="宋体" w:cs="宋体"/>
          <w:color w:val="auto"/>
          <w:sz w:val="24"/>
          <w:szCs w:val="24"/>
          <w:highlight w:val="none"/>
          <w:lang w:eastAsia="zh-CN"/>
        </w:rPr>
        <w:t>邹城市钢山街道杜家庄村村民委员会</w:t>
      </w:r>
    </w:p>
    <w:p w14:paraId="1BAF9C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w:t>
      </w:r>
      <w:r>
        <w:rPr>
          <w:rFonts w:hint="eastAsia" w:ascii="宋体" w:hAnsi="宋体" w:cs="宋体"/>
          <w:color w:val="auto"/>
          <w:sz w:val="24"/>
          <w:szCs w:val="24"/>
          <w:highlight w:val="none"/>
          <w:lang w:eastAsia="zh-CN"/>
        </w:rPr>
        <w:t>邹城市钢山街道杜家庄村</w:t>
      </w:r>
    </w:p>
    <w:p w14:paraId="0E8DBE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w:t>
      </w:r>
      <w:r>
        <w:rPr>
          <w:rFonts w:hint="eastAsia" w:ascii="宋体" w:hAnsi="宋体" w:cs="宋体"/>
          <w:color w:val="auto"/>
          <w:sz w:val="24"/>
          <w:szCs w:val="24"/>
          <w:highlight w:val="none"/>
          <w:lang w:eastAsia="zh-CN"/>
        </w:rPr>
        <w:t>苏主任</w:t>
      </w:r>
    </w:p>
    <w:p w14:paraId="159698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cs="宋体"/>
          <w:color w:val="auto"/>
          <w:sz w:val="24"/>
          <w:szCs w:val="24"/>
          <w:highlight w:val="none"/>
          <w:lang w:val="en-US" w:eastAsia="zh-CN"/>
        </w:rPr>
        <w:t>15154756081</w:t>
      </w:r>
    </w:p>
    <w:p w14:paraId="6D37D3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代理机构：</w:t>
      </w:r>
      <w:r>
        <w:rPr>
          <w:rFonts w:hint="eastAsia" w:ascii="宋体" w:hAnsi="宋体" w:cs="宋体"/>
          <w:color w:val="auto"/>
          <w:sz w:val="24"/>
          <w:szCs w:val="24"/>
          <w:highlight w:val="none"/>
          <w:lang w:eastAsia="zh-CN"/>
        </w:rPr>
        <w:t>山东铭宸工程项目管理咨询有限公司</w:t>
      </w:r>
    </w:p>
    <w:p w14:paraId="6AB2BF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w:t>
      </w:r>
      <w:r>
        <w:rPr>
          <w:rFonts w:hint="eastAsia" w:ascii="宋体" w:hAnsi="宋体" w:cs="宋体"/>
          <w:color w:val="auto"/>
          <w:sz w:val="24"/>
          <w:szCs w:val="24"/>
          <w:highlight w:val="none"/>
          <w:lang w:eastAsia="zh-CN"/>
        </w:rPr>
        <w:t>邹城市西外环世纪花苑门头房</w:t>
      </w:r>
    </w:p>
    <w:p w14:paraId="32425E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w:t>
      </w:r>
      <w:r>
        <w:rPr>
          <w:rFonts w:hint="eastAsia" w:ascii="宋体" w:hAnsi="宋体" w:cs="宋体"/>
          <w:color w:val="auto"/>
          <w:sz w:val="24"/>
          <w:szCs w:val="24"/>
          <w:highlight w:val="none"/>
          <w:lang w:eastAsia="zh-CN"/>
        </w:rPr>
        <w:t>张工</w:t>
      </w:r>
    </w:p>
    <w:p w14:paraId="642FF4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cs="宋体"/>
          <w:color w:val="auto"/>
          <w:sz w:val="24"/>
          <w:szCs w:val="24"/>
          <w:highlight w:val="none"/>
          <w:lang w:val="en-US" w:eastAsia="zh-CN"/>
        </w:rPr>
        <w:t>18105478615</w:t>
      </w:r>
      <w:r>
        <w:rPr>
          <w:rFonts w:hint="eastAsia" w:ascii="宋体" w:hAnsi="宋体" w:eastAsia="宋体" w:cs="宋体"/>
          <w:color w:val="auto"/>
          <w:sz w:val="24"/>
          <w:szCs w:val="24"/>
          <w:highlight w:val="none"/>
          <w:lang w:val="en-US" w:eastAsia="zh-CN"/>
        </w:rPr>
        <w:t xml:space="preserve">    </w:t>
      </w:r>
    </w:p>
    <w:p w14:paraId="46CBE1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电子邮箱：</w:t>
      </w:r>
      <w:r>
        <w:rPr>
          <w:rFonts w:hint="eastAsia" w:ascii="宋体" w:hAnsi="宋体" w:cs="宋体"/>
          <w:color w:val="auto"/>
          <w:sz w:val="24"/>
          <w:szCs w:val="24"/>
          <w:highlight w:val="none"/>
          <w:lang w:val="en-US" w:eastAsia="zh-CN"/>
        </w:rPr>
        <w:t>sdmczxgs@163.com</w:t>
      </w:r>
    </w:p>
    <w:p w14:paraId="380C09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十、重要说明</w:t>
      </w:r>
    </w:p>
    <w:p w14:paraId="593C01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1、施工期间的安全问题、地方关系或个体关系由施工单位自行解决。</w:t>
      </w:r>
    </w:p>
    <w:p w14:paraId="36D7EB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2、竞争性磋商文件等相关资料一经在邹城外宣网 (http://w.mencius.gov.cn/）发布，视作已发放给所有潜在供应商 (发布时间即为发出磋商文件的时间)，各供应商应随时关注邹城市外宣网下载电子版磋商文件，否则所造成的一切后果由供应商自负。</w:t>
      </w:r>
    </w:p>
    <w:p w14:paraId="76E287E0">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本项目如有必要澄清和修改需要发布变更公告的，将在本网站及时发布。请各潜在供应商及时关注相关信息。同时，依据相关法律法规规定，变更公告一旦发布即视为以</w:t>
      </w:r>
      <w:r>
        <w:rPr>
          <w:rFonts w:hint="eastAsia" w:ascii="宋体" w:hAnsi="宋体" w:eastAsia="宋体" w:cs="宋体"/>
          <w:color w:val="auto"/>
          <w:sz w:val="24"/>
          <w:szCs w:val="24"/>
          <w:highlight w:val="none"/>
          <w:shd w:val="clear" w:color="auto" w:fill="FFFFFF"/>
        </w:rPr>
        <w:t>书面形式通知所有潜在供应商。</w:t>
      </w:r>
    </w:p>
    <w:p w14:paraId="789865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14:paraId="34E8B4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邹城市钢山街道杜家庄村村民委员会</w:t>
      </w:r>
    </w:p>
    <w:p w14:paraId="43DB7F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山东铭宸工程项目管理咨询有限公司</w:t>
      </w:r>
      <w:r>
        <w:rPr>
          <w:rFonts w:hint="eastAsia" w:ascii="宋体" w:hAnsi="宋体" w:eastAsia="宋体" w:cs="宋体"/>
          <w:color w:val="auto"/>
          <w:sz w:val="24"/>
          <w:szCs w:val="24"/>
          <w:highlight w:val="none"/>
          <w:lang w:eastAsia="zh-CN"/>
        </w:rPr>
        <w:t xml:space="preserve"> </w:t>
      </w:r>
    </w:p>
    <w:p w14:paraId="1F7490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ascii="宋体" w:hAnsi="宋体" w:cs="Helvetica"/>
          <w:color w:val="auto"/>
          <w:kern w:val="0"/>
          <w:sz w:val="24"/>
          <w:highlight w:val="none"/>
          <w:lang w:val="e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发布时间：</w:t>
      </w:r>
      <w:r>
        <w:rPr>
          <w:rFonts w:hint="eastAsia" w:ascii="宋体" w:hAnsi="宋体" w:cs="宋体"/>
          <w:color w:val="auto"/>
          <w:sz w:val="24"/>
          <w:szCs w:val="24"/>
          <w:highlight w:val="none"/>
          <w:lang w:eastAsia="zh-CN"/>
        </w:rPr>
        <w:t>2024年12月</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日</w:t>
      </w:r>
    </w:p>
    <w:p w14:paraId="58314EB2">
      <w:pPr>
        <w:rPr>
          <w:rFonts w:hint="eastAsia" w:ascii="宋体" w:hAnsi="宋体" w:eastAsia="宋体" w:cs="宋体"/>
          <w:color w:val="auto"/>
          <w:sz w:val="24"/>
          <w:szCs w:val="24"/>
          <w:highlight w:val="none"/>
          <w:lang w:eastAsia="zh-CN"/>
        </w:rPr>
      </w:pPr>
      <w:bookmarkStart w:id="8" w:name="_Toc474"/>
      <w:bookmarkStart w:id="9" w:name="_Toc17307"/>
      <w:r>
        <w:rPr>
          <w:rFonts w:hint="eastAsia" w:ascii="宋体" w:hAnsi="宋体" w:eastAsia="宋体" w:cs="宋体"/>
          <w:color w:val="auto"/>
          <w:sz w:val="24"/>
          <w:szCs w:val="24"/>
          <w:highlight w:val="none"/>
          <w:lang w:eastAsia="zh-CN"/>
        </w:rPr>
        <w:br w:type="page"/>
      </w:r>
    </w:p>
    <w:p w14:paraId="7714E92B">
      <w:pPr>
        <w:pStyle w:val="3"/>
        <w:bidi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bookmarkEnd w:id="8"/>
      <w:bookmarkEnd w:id="9"/>
    </w:p>
    <w:tbl>
      <w:tblPr>
        <w:tblStyle w:val="39"/>
        <w:tblpPr w:leftFromText="180" w:rightFromText="180" w:vertAnchor="text" w:horzAnchor="page" w:tblpX="1369"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6"/>
        <w:gridCol w:w="6753"/>
      </w:tblGrid>
      <w:tr w14:paraId="0978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3D858D7E">
            <w:pPr>
              <w:spacing w:line="440" w:lineRule="exact"/>
              <w:jc w:val="center"/>
              <w:rPr>
                <w:rFonts w:hint="eastAsia" w:ascii="宋体" w:hAnsi="宋体" w:eastAsia="宋体" w:cs="宋体"/>
                <w:color w:val="auto"/>
                <w:sz w:val="24"/>
                <w:szCs w:val="24"/>
              </w:rPr>
            </w:pPr>
            <w:r>
              <w:rPr>
                <w:rFonts w:hint="eastAsia" w:ascii="宋体" w:hAnsi="宋体" w:cs="宋体"/>
                <w:b/>
                <w:color w:val="auto"/>
                <w:sz w:val="24"/>
                <w:szCs w:val="24"/>
                <w:highlight w:val="none"/>
                <w:lang w:val="en-US" w:eastAsia="zh-CN"/>
              </w:rPr>
              <w:t xml:space="preserve">  </w:t>
            </w:r>
            <w:r>
              <w:rPr>
                <w:rFonts w:hint="eastAsia" w:ascii="宋体" w:hAnsi="宋体" w:eastAsia="宋体" w:cs="宋体"/>
                <w:color w:val="auto"/>
                <w:sz w:val="24"/>
                <w:szCs w:val="24"/>
              </w:rPr>
              <w:t>项号</w:t>
            </w:r>
          </w:p>
        </w:tc>
        <w:tc>
          <w:tcPr>
            <w:tcW w:w="1716" w:type="dxa"/>
            <w:noWrap w:val="0"/>
            <w:vAlign w:val="center"/>
          </w:tcPr>
          <w:p w14:paraId="30FF3A1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53" w:type="dxa"/>
            <w:noWrap w:val="0"/>
            <w:vAlign w:val="center"/>
          </w:tcPr>
          <w:p w14:paraId="7433DDF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14:paraId="5853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9" w:type="dxa"/>
            <w:noWrap w:val="0"/>
            <w:vAlign w:val="center"/>
          </w:tcPr>
          <w:p w14:paraId="52DC460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16" w:type="dxa"/>
            <w:noWrap w:val="0"/>
            <w:vAlign w:val="center"/>
          </w:tcPr>
          <w:p w14:paraId="07D59CC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53" w:type="dxa"/>
            <w:noWrap w:val="0"/>
            <w:vAlign w:val="center"/>
          </w:tcPr>
          <w:p w14:paraId="76ABBE73">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邹城市钢山街道杜家庄村义和佳苑车棚建设工程</w:t>
            </w:r>
          </w:p>
        </w:tc>
      </w:tr>
      <w:tr w14:paraId="656D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9" w:type="dxa"/>
            <w:noWrap w:val="0"/>
            <w:vAlign w:val="center"/>
          </w:tcPr>
          <w:p w14:paraId="1EBAD86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16" w:type="dxa"/>
            <w:noWrap w:val="0"/>
            <w:vAlign w:val="center"/>
          </w:tcPr>
          <w:p w14:paraId="22EBBE89">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53" w:type="dxa"/>
            <w:noWrap w:val="0"/>
            <w:vAlign w:val="center"/>
          </w:tcPr>
          <w:p w14:paraId="56A828C3">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SDMC-GSJD2024-008</w:t>
            </w:r>
          </w:p>
        </w:tc>
      </w:tr>
      <w:tr w14:paraId="4D75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AEDB8D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16" w:type="dxa"/>
            <w:noWrap w:val="0"/>
            <w:vAlign w:val="center"/>
          </w:tcPr>
          <w:p w14:paraId="69C0310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753" w:type="dxa"/>
            <w:noWrap w:val="0"/>
            <w:vAlign w:val="center"/>
          </w:tcPr>
          <w:p w14:paraId="12681643">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邹城市钢山街道杜家庄村义和佳苑内</w:t>
            </w:r>
          </w:p>
        </w:tc>
      </w:tr>
      <w:tr w14:paraId="20AC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1165C50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16" w:type="dxa"/>
            <w:noWrap w:val="0"/>
            <w:vAlign w:val="center"/>
          </w:tcPr>
          <w:p w14:paraId="68211ADF">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753" w:type="dxa"/>
            <w:noWrap w:val="0"/>
            <w:vAlign w:val="center"/>
          </w:tcPr>
          <w:p w14:paraId="7A374A45">
            <w:pPr>
              <w:spacing w:line="440" w:lineRule="exact"/>
              <w:ind w:firstLine="480"/>
              <w:jc w:val="both"/>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100日历天</w:t>
            </w:r>
          </w:p>
          <w:p w14:paraId="745D81E3">
            <w:pPr>
              <w:pStyle w:val="10"/>
              <w:ind w:firstLine="480"/>
              <w:rPr>
                <w:rFonts w:hint="eastAsia"/>
                <w:lang w:val="en-US" w:eastAsia="zh-CN"/>
              </w:rPr>
            </w:pPr>
            <w:r>
              <w:rPr>
                <w:rFonts w:hint="eastAsia" w:ascii="宋体" w:hAnsi="宋体" w:cs="宋体"/>
                <w:color w:val="auto"/>
                <w:sz w:val="24"/>
                <w:szCs w:val="24"/>
                <w:lang w:val="en-US" w:eastAsia="zh-CN"/>
              </w:rPr>
              <w:t>注：实际开工日期以发包人签署的开工指令为准；竣工日期以发包人及监理等五方共同书面确认的全部工程竣工验收通过日期为准。承包人须根据发包人进度要求进行施工，除发包人书面调整外，无论何种原因，竣工日期不变。以上工期总日历天数的约定已考虑施工期间的节假日、以及城市创卫、环保扬尘治理、冬雨季施工、施工现场场地条件和环境条件、农忙及恶劣气候（包括但不限于大风、沙尘、冰雹、持续高温等）、疫情、政府部门政治性会议或其他事件对施工的限制、设计变更导致工程量的增加或工程的返工工期等因素（一次性设计变更超过合同价款的5%并经发包人书面签证的除外）</w:t>
            </w:r>
          </w:p>
        </w:tc>
      </w:tr>
      <w:tr w14:paraId="174D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9" w:type="dxa"/>
            <w:noWrap w:val="0"/>
            <w:vAlign w:val="center"/>
          </w:tcPr>
          <w:p w14:paraId="59C4530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16" w:type="dxa"/>
            <w:noWrap w:val="0"/>
            <w:vAlign w:val="center"/>
          </w:tcPr>
          <w:p w14:paraId="1D0CC881">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缺陷责任期</w:t>
            </w:r>
          </w:p>
        </w:tc>
        <w:tc>
          <w:tcPr>
            <w:tcW w:w="6753" w:type="dxa"/>
            <w:noWrap w:val="0"/>
            <w:vAlign w:val="center"/>
          </w:tcPr>
          <w:p w14:paraId="1098EE4B">
            <w:pPr>
              <w:spacing w:line="440" w:lineRule="exact"/>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两年</w:t>
            </w:r>
          </w:p>
        </w:tc>
      </w:tr>
      <w:tr w14:paraId="1097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58E1FE1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16" w:type="dxa"/>
            <w:noWrap w:val="0"/>
            <w:vAlign w:val="center"/>
          </w:tcPr>
          <w:p w14:paraId="174DBC0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53" w:type="dxa"/>
            <w:noWrap w:val="0"/>
            <w:vAlign w:val="center"/>
          </w:tcPr>
          <w:p w14:paraId="47C65517">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14:paraId="00B4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909" w:type="dxa"/>
            <w:noWrap w:val="0"/>
            <w:vAlign w:val="center"/>
          </w:tcPr>
          <w:p w14:paraId="487A5C4D">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716" w:type="dxa"/>
            <w:noWrap w:val="0"/>
            <w:vAlign w:val="center"/>
          </w:tcPr>
          <w:p w14:paraId="5CB14C95">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753" w:type="dxa"/>
            <w:noWrap w:val="0"/>
            <w:vAlign w:val="center"/>
          </w:tcPr>
          <w:p w14:paraId="23FCFA23">
            <w:pPr>
              <w:keepNext w:val="0"/>
              <w:keepLines w:val="0"/>
              <w:pageBreakBefore w:val="0"/>
              <w:widowControl w:val="0"/>
              <w:tabs>
                <w:tab w:val="left" w:pos="315"/>
              </w:tabs>
              <w:kinsoku/>
              <w:wordWrap/>
              <w:overflowPunct/>
              <w:topLinePunct w:val="0"/>
              <w:autoSpaceDE/>
              <w:autoSpaceDN/>
              <w:bidi w:val="0"/>
              <w:adjustRightInd/>
              <w:snapToGrid/>
              <w:spacing w:line="520" w:lineRule="exact"/>
              <w:ind w:firstLine="482" w:firstLineChars="200"/>
              <w:textAlignment w:val="auto"/>
              <w:rPr>
                <w:rFonts w:hint="default"/>
                <w:lang w:val="en-US" w:eastAsia="zh-CN"/>
              </w:rPr>
            </w:pPr>
            <w:r>
              <w:rPr>
                <w:rFonts w:hint="eastAsia" w:ascii="宋体" w:hAnsi="宋体" w:cs="宋体"/>
                <w:b/>
                <w:bCs w:val="0"/>
                <w:color w:val="auto"/>
                <w:sz w:val="24"/>
                <w:highlight w:val="none"/>
                <w:lang w:val="en-US" w:eastAsia="zh-CN"/>
              </w:rPr>
              <w:t>本项目无预付资金，工程竣工验收合格工程结算审核完成后付至审定金额的10%，剩余部分七年内付清。（工程最终结算造价以审计部门审定的造价为准）</w:t>
            </w:r>
          </w:p>
        </w:tc>
      </w:tr>
      <w:tr w14:paraId="1D63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615677B">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1716" w:type="dxa"/>
            <w:noWrap w:val="0"/>
            <w:vAlign w:val="center"/>
          </w:tcPr>
          <w:p w14:paraId="21AB25E8">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753" w:type="dxa"/>
            <w:noWrap w:val="0"/>
            <w:vAlign w:val="center"/>
          </w:tcPr>
          <w:p w14:paraId="48C0CA0C">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w:t>
            </w:r>
            <w:r>
              <w:rPr>
                <w:rFonts w:hint="eastAsia" w:ascii="宋体" w:hAnsi="宋体" w:cs="宋体"/>
                <w:b/>
                <w:color w:val="auto"/>
                <w:sz w:val="24"/>
                <w:szCs w:val="24"/>
                <w:lang w:eastAsia="zh-CN"/>
              </w:rPr>
              <w:t>供应商应具备的条件</w:t>
            </w:r>
          </w:p>
        </w:tc>
      </w:tr>
      <w:tr w14:paraId="7DDE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72A71CC7">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716" w:type="dxa"/>
            <w:noWrap w:val="0"/>
            <w:vAlign w:val="center"/>
          </w:tcPr>
          <w:p w14:paraId="1657B0B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53" w:type="dxa"/>
            <w:noWrap w:val="0"/>
            <w:vAlign w:val="center"/>
          </w:tcPr>
          <w:p w14:paraId="17AB8F6E">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14:paraId="310B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48B26B2">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p>
        </w:tc>
        <w:tc>
          <w:tcPr>
            <w:tcW w:w="1716" w:type="dxa"/>
            <w:noWrap w:val="0"/>
            <w:vAlign w:val="center"/>
          </w:tcPr>
          <w:p w14:paraId="5D2F90F8">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753" w:type="dxa"/>
            <w:noWrap w:val="0"/>
            <w:vAlign w:val="center"/>
          </w:tcPr>
          <w:p w14:paraId="3287A536">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14:paraId="2D89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0D399EB">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p>
        </w:tc>
        <w:tc>
          <w:tcPr>
            <w:tcW w:w="1716" w:type="dxa"/>
            <w:noWrap w:val="0"/>
            <w:vAlign w:val="center"/>
          </w:tcPr>
          <w:p w14:paraId="6A1788C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53" w:type="dxa"/>
            <w:noWrap w:val="0"/>
            <w:vAlign w:val="center"/>
          </w:tcPr>
          <w:p w14:paraId="1E8BDA46">
            <w:pPr>
              <w:spacing w:line="44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val="0"/>
                <w:kern w:val="0"/>
                <w:sz w:val="24"/>
                <w:szCs w:val="24"/>
                <w:highlight w:val="none"/>
              </w:rPr>
              <w:t>根据《山东省财政厅关于取消政府采购投标保证金等有关事项的通知》（鲁财采〔2019〕40 号），本项目不收取</w:t>
            </w:r>
            <w:r>
              <w:rPr>
                <w:rFonts w:hint="eastAsia" w:ascii="宋体" w:hAnsi="宋体" w:eastAsia="宋体" w:cs="宋体"/>
                <w:b/>
                <w:bCs w:val="0"/>
                <w:kern w:val="0"/>
                <w:sz w:val="24"/>
                <w:szCs w:val="24"/>
                <w:highlight w:val="none"/>
                <w:lang w:val="en-US" w:eastAsia="zh-CN"/>
              </w:rPr>
              <w:t>磋商</w:t>
            </w:r>
            <w:r>
              <w:rPr>
                <w:rFonts w:hint="eastAsia" w:ascii="宋体" w:hAnsi="宋体" w:eastAsia="宋体" w:cs="宋体"/>
                <w:b/>
                <w:bCs w:val="0"/>
                <w:kern w:val="0"/>
                <w:sz w:val="24"/>
                <w:szCs w:val="24"/>
                <w:highlight w:val="none"/>
              </w:rPr>
              <w:t>保证金。</w:t>
            </w:r>
          </w:p>
        </w:tc>
      </w:tr>
      <w:tr w14:paraId="3D26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AB6FDE4">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1716" w:type="dxa"/>
            <w:noWrap w:val="0"/>
            <w:vAlign w:val="center"/>
          </w:tcPr>
          <w:p w14:paraId="1868981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753" w:type="dxa"/>
            <w:noWrap w:val="0"/>
            <w:vAlign w:val="center"/>
          </w:tcPr>
          <w:p w14:paraId="72B4773C">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cs="宋体"/>
                <w:color w:val="auto"/>
                <w:sz w:val="24"/>
                <w:szCs w:val="24"/>
                <w:lang w:val="en-US" w:eastAsia="zh-CN"/>
              </w:rPr>
              <w:t>四</w:t>
            </w:r>
            <w:r>
              <w:rPr>
                <w:rFonts w:hint="eastAsia" w:ascii="宋体" w:hAnsi="宋体" w:eastAsia="宋体" w:cs="宋体"/>
                <w:color w:val="auto"/>
                <w:sz w:val="24"/>
                <w:szCs w:val="24"/>
              </w:rPr>
              <w:t>份</w:t>
            </w:r>
          </w:p>
        </w:tc>
      </w:tr>
      <w:tr w14:paraId="0E3F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30C8E66">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1716" w:type="dxa"/>
            <w:noWrap w:val="0"/>
            <w:vAlign w:val="center"/>
          </w:tcPr>
          <w:p w14:paraId="4EE73579">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753" w:type="dxa"/>
            <w:noWrap w:val="0"/>
            <w:vAlign w:val="center"/>
          </w:tcPr>
          <w:p w14:paraId="4D3A1400">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14:paraId="1807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2F956BB">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1716" w:type="dxa"/>
            <w:noWrap w:val="0"/>
            <w:vAlign w:val="center"/>
          </w:tcPr>
          <w:p w14:paraId="2C7803A9">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753" w:type="dxa"/>
            <w:noWrap w:val="0"/>
            <w:vAlign w:val="center"/>
          </w:tcPr>
          <w:p w14:paraId="7680F2DF">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14:paraId="6A2A4CF7">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cs="宋体"/>
                <w:bCs/>
                <w:color w:val="auto"/>
                <w:sz w:val="24"/>
                <w:szCs w:val="24"/>
                <w:lang w:eastAsia="zh-CN"/>
              </w:rPr>
              <w:t>五</w:t>
            </w:r>
            <w:r>
              <w:rPr>
                <w:rFonts w:hint="eastAsia" w:ascii="宋体" w:hAnsi="宋体" w:eastAsia="宋体" w:cs="宋体"/>
                <w:bCs/>
                <w:color w:val="auto"/>
                <w:sz w:val="24"/>
                <w:szCs w:val="24"/>
              </w:rPr>
              <w:t>份，一份正本和</w:t>
            </w:r>
            <w:r>
              <w:rPr>
                <w:rFonts w:hint="eastAsia" w:ascii="宋体" w:hAnsi="宋体" w:cs="宋体"/>
                <w:bCs/>
                <w:color w:val="auto"/>
                <w:sz w:val="24"/>
                <w:szCs w:val="24"/>
                <w:lang w:eastAsia="zh-CN"/>
              </w:rPr>
              <w:t>四</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tc>
      </w:tr>
      <w:tr w14:paraId="0D99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18A03BD4">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p>
        </w:tc>
        <w:tc>
          <w:tcPr>
            <w:tcW w:w="1716" w:type="dxa"/>
            <w:noWrap w:val="0"/>
            <w:vAlign w:val="center"/>
          </w:tcPr>
          <w:p w14:paraId="44B6C2E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753" w:type="dxa"/>
            <w:noWrap w:val="0"/>
            <w:vAlign w:val="center"/>
          </w:tcPr>
          <w:p w14:paraId="03E5181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w:t>
            </w:r>
            <w:r>
              <w:rPr>
                <w:rFonts w:hint="eastAsia" w:ascii="宋体" w:hAnsi="宋体" w:cs="宋体"/>
                <w:color w:val="auto"/>
                <w:sz w:val="24"/>
                <w:szCs w:val="24"/>
                <w:highlight w:val="none"/>
                <w:lang w:eastAsia="zh-CN"/>
              </w:rPr>
              <w:t>邹城市钢山街道公共资源交易中心开标室</w:t>
            </w:r>
          </w:p>
          <w:p w14:paraId="1CC327F7">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highlight w:val="none"/>
                <w:lang w:eastAsia="zh-CN"/>
              </w:rPr>
              <w:t>2024年12月1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日09时</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0分</w:t>
            </w:r>
          </w:p>
        </w:tc>
      </w:tr>
      <w:tr w14:paraId="4A50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C603E4F">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p>
        </w:tc>
        <w:tc>
          <w:tcPr>
            <w:tcW w:w="1716" w:type="dxa"/>
            <w:noWrap w:val="0"/>
            <w:vAlign w:val="center"/>
          </w:tcPr>
          <w:p w14:paraId="654990A0">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753" w:type="dxa"/>
            <w:noWrap w:val="0"/>
            <w:vAlign w:val="center"/>
          </w:tcPr>
          <w:p w14:paraId="3B2F6175">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eastAsia="zh-CN"/>
              </w:rPr>
              <w:t>2024年12月1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日09时</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0分</w:t>
            </w:r>
          </w:p>
          <w:p w14:paraId="6B57C84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邹城市钢山街道公共资源交易中心开标室</w:t>
            </w:r>
          </w:p>
        </w:tc>
      </w:tr>
      <w:tr w14:paraId="4FD4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0E94BE7">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p>
        </w:tc>
        <w:tc>
          <w:tcPr>
            <w:tcW w:w="1716" w:type="dxa"/>
            <w:noWrap w:val="0"/>
            <w:vAlign w:val="center"/>
          </w:tcPr>
          <w:p w14:paraId="5B17CDE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53" w:type="dxa"/>
            <w:noWrap w:val="0"/>
            <w:vAlign w:val="center"/>
          </w:tcPr>
          <w:p w14:paraId="306F42D5">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14:paraId="4ADBBB73">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14:paraId="0306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1042722">
            <w:pPr>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p>
        </w:tc>
        <w:tc>
          <w:tcPr>
            <w:tcW w:w="1716" w:type="dxa"/>
            <w:noWrap w:val="0"/>
            <w:vAlign w:val="center"/>
          </w:tcPr>
          <w:p w14:paraId="3A8B05D6">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753" w:type="dxa"/>
            <w:noWrap w:val="0"/>
            <w:vAlign w:val="center"/>
          </w:tcPr>
          <w:p w14:paraId="5076494D">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14:paraId="3B47DE9E">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2、本次采购代理费由成交供应商支付，</w:t>
            </w:r>
            <w:r>
              <w:rPr>
                <w:rFonts w:hint="eastAsia" w:ascii="宋体" w:hAnsi="宋体" w:cs="宋体"/>
                <w:color w:val="auto"/>
                <w:sz w:val="24"/>
                <w:szCs w:val="24"/>
                <w:highlight w:val="none"/>
                <w:lang w:eastAsia="zh-CN"/>
              </w:rPr>
              <w:t>采购代理费为</w:t>
            </w:r>
            <w:r>
              <w:rPr>
                <w:rFonts w:hint="eastAsia" w:ascii="宋体" w:hAnsi="宋体" w:cs="宋体"/>
                <w:color w:val="auto"/>
                <w:sz w:val="24"/>
                <w:szCs w:val="24"/>
                <w:highlight w:val="none"/>
                <w:lang w:val="en-US" w:eastAsia="zh-CN"/>
              </w:rPr>
              <w:t>11060.00，</w:t>
            </w:r>
            <w:r>
              <w:rPr>
                <w:rFonts w:hint="eastAsia" w:ascii="宋体" w:hAnsi="宋体" w:eastAsia="宋体" w:cs="宋体"/>
                <w:color w:val="auto"/>
                <w:sz w:val="24"/>
                <w:szCs w:val="24"/>
                <w:highlight w:val="none"/>
              </w:rPr>
              <w:t>成交通知书发出前，成交人从其账户一次性汇入代理机构指定账户。</w:t>
            </w:r>
          </w:p>
          <w:p w14:paraId="38518D69">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3、本项目评审费3900.00元，</w:t>
            </w:r>
            <w:r>
              <w:rPr>
                <w:rFonts w:hint="eastAsia" w:ascii="宋体" w:hAnsi="宋体" w:eastAsia="宋体" w:cs="宋体"/>
                <w:color w:val="auto"/>
                <w:sz w:val="24"/>
                <w:szCs w:val="24"/>
                <w:highlight w:val="none"/>
              </w:rPr>
              <w:t>成交通知书发出前，成交人从其账户一次性汇入代理机构指定账户。</w:t>
            </w:r>
          </w:p>
        </w:tc>
      </w:tr>
      <w:tr w14:paraId="4E4C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63F532B2">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1716" w:type="dxa"/>
            <w:noWrap w:val="0"/>
            <w:vAlign w:val="center"/>
          </w:tcPr>
          <w:p w14:paraId="66937945">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753" w:type="dxa"/>
            <w:noWrap w:val="0"/>
            <w:vAlign w:val="center"/>
          </w:tcPr>
          <w:p w14:paraId="2B536E1C">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1151570.33</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p w14:paraId="69E240B4">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采购预算价是采购人对采购项目期望的最高限价，供应商两次报价均不得超出采购预算（控制价）且最终报价不得超出初次报价，如若超出按无效响应处理。</w:t>
            </w:r>
          </w:p>
        </w:tc>
      </w:tr>
      <w:tr w14:paraId="062D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Merge w:val="restart"/>
            <w:noWrap w:val="0"/>
            <w:vAlign w:val="center"/>
          </w:tcPr>
          <w:p w14:paraId="7EBE9941">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p>
        </w:tc>
        <w:tc>
          <w:tcPr>
            <w:tcW w:w="1716" w:type="dxa"/>
            <w:noWrap w:val="0"/>
            <w:vAlign w:val="center"/>
          </w:tcPr>
          <w:p w14:paraId="11F87CF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53" w:type="dxa"/>
            <w:noWrap w:val="0"/>
            <w:vAlign w:val="center"/>
          </w:tcPr>
          <w:p w14:paraId="7C640FFE">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14:paraId="63A8703E">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14:paraId="4E87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vMerge w:val="continue"/>
            <w:noWrap w:val="0"/>
            <w:vAlign w:val="center"/>
          </w:tcPr>
          <w:p w14:paraId="195A5599">
            <w:pPr>
              <w:spacing w:line="440" w:lineRule="exact"/>
              <w:jc w:val="center"/>
              <w:rPr>
                <w:rFonts w:hint="eastAsia" w:ascii="宋体" w:hAnsi="宋体" w:eastAsia="宋体" w:cs="宋体"/>
                <w:color w:val="auto"/>
                <w:sz w:val="24"/>
                <w:szCs w:val="24"/>
              </w:rPr>
            </w:pPr>
          </w:p>
        </w:tc>
        <w:tc>
          <w:tcPr>
            <w:tcW w:w="1716" w:type="dxa"/>
            <w:noWrap w:val="0"/>
            <w:vAlign w:val="center"/>
          </w:tcPr>
          <w:p w14:paraId="0E5E283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53" w:type="dxa"/>
            <w:noWrap w:val="0"/>
            <w:vAlign w:val="center"/>
          </w:tcPr>
          <w:p w14:paraId="2CE3EAD5">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质疑：参加磋商的供应商认为磋商文件、磋商过程和成交结果使自己的合法权益受到损害的，有权依法向采购人或采购代理机构提出质疑。所有质疑以书面形式递交，同时发邮件至</w:t>
            </w:r>
            <w:r>
              <w:rPr>
                <w:rFonts w:hint="eastAsia" w:ascii="宋体" w:hAnsi="宋体" w:cs="宋体"/>
                <w:color w:val="auto"/>
                <w:sz w:val="24"/>
                <w:szCs w:val="24"/>
                <w:highlight w:val="none"/>
                <w:lang w:val="en-US" w:eastAsia="zh-CN"/>
              </w:rPr>
              <w:t>sdmczxgs@163.com</w:t>
            </w:r>
            <w:r>
              <w:rPr>
                <w:rFonts w:hint="eastAsia" w:ascii="宋体" w:hAnsi="宋体" w:eastAsia="宋体" w:cs="宋体"/>
                <w:color w:val="auto"/>
                <w:sz w:val="24"/>
                <w:szCs w:val="24"/>
                <w:highlight w:val="none"/>
              </w:rPr>
              <w:t>。</w:t>
            </w:r>
          </w:p>
        </w:tc>
      </w:tr>
      <w:tr w14:paraId="39D7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noWrap w:val="0"/>
            <w:vAlign w:val="center"/>
          </w:tcPr>
          <w:p w14:paraId="670AE129">
            <w:pPr>
              <w:spacing w:line="440" w:lineRule="exact"/>
              <w:jc w:val="center"/>
              <w:rPr>
                <w:rFonts w:hint="default"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21</w:t>
            </w:r>
          </w:p>
        </w:tc>
        <w:tc>
          <w:tcPr>
            <w:tcW w:w="1716" w:type="dxa"/>
            <w:noWrap w:val="0"/>
            <w:vAlign w:val="center"/>
          </w:tcPr>
          <w:p w14:paraId="4E9E2709">
            <w:pPr>
              <w:spacing w:line="440" w:lineRule="exact"/>
              <w:jc w:val="center"/>
              <w:rPr>
                <w:rFonts w:hint="default"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禁止违法分包</w:t>
            </w:r>
          </w:p>
        </w:tc>
        <w:tc>
          <w:tcPr>
            <w:tcW w:w="6753" w:type="dxa"/>
            <w:noWrap w:val="0"/>
            <w:vAlign w:val="center"/>
          </w:tcPr>
          <w:p w14:paraId="3DF7D4FF">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禁止中标单位将承包的工程进行转包、违法分包，禁止中标单位转让、出借企业资质证书或者以其他方式允许他人经本企业名义承揽本工程，如发现上述情况，发包人有权终止合同，承包人赔偿因此给发包人造成的一切经济损失，并承担法律责任。</w:t>
            </w:r>
          </w:p>
        </w:tc>
      </w:tr>
    </w:tbl>
    <w:p w14:paraId="2CE0C12C">
      <w:pPr>
        <w:numPr>
          <w:ilvl w:val="0"/>
          <w:numId w:val="0"/>
        </w:numPr>
        <w:jc w:val="both"/>
        <w:rPr>
          <w:rFonts w:hint="eastAsia" w:ascii="宋体" w:hAnsi="宋体" w:eastAsia="宋体" w:cs="宋体"/>
          <w:b w:val="0"/>
          <w:bCs/>
          <w:color w:val="auto"/>
          <w:kern w:val="0"/>
          <w:sz w:val="24"/>
          <w:szCs w:val="24"/>
          <w:highlight w:val="none"/>
        </w:rPr>
      </w:pPr>
    </w:p>
    <w:p w14:paraId="4D3F8B42">
      <w:pPr>
        <w:numPr>
          <w:ilvl w:val="0"/>
          <w:numId w:val="0"/>
        </w:numPr>
        <w:jc w:val="center"/>
        <w:rPr>
          <w:rFonts w:hint="eastAsia" w:ascii="宋体" w:hAnsi="宋体" w:eastAsia="宋体" w:cs="宋体"/>
          <w:b/>
          <w:color w:val="auto"/>
          <w:kern w:val="0"/>
          <w:sz w:val="24"/>
          <w:szCs w:val="24"/>
          <w:highlight w:val="none"/>
        </w:rPr>
      </w:pPr>
    </w:p>
    <w:p w14:paraId="7C2CE5B8">
      <w:pPr>
        <w:rPr>
          <w:rFonts w:hint="eastAsia"/>
        </w:rPr>
      </w:pPr>
      <w:r>
        <w:rPr>
          <w:rFonts w:hint="eastAsia" w:ascii="宋体" w:hAnsi="宋体" w:eastAsia="宋体" w:cs="宋体"/>
          <w:b/>
          <w:color w:val="auto"/>
          <w:kern w:val="0"/>
          <w:sz w:val="24"/>
          <w:szCs w:val="24"/>
          <w:highlight w:val="none"/>
        </w:rPr>
        <w:br w:type="page"/>
      </w:r>
    </w:p>
    <w:p w14:paraId="6C9CD595">
      <w:pPr>
        <w:rPr>
          <w:rFonts w:hint="eastAsia" w:ascii="宋体" w:hAnsi="宋体" w:eastAsia="宋体" w:cs="宋体"/>
          <w:b/>
          <w:color w:val="auto"/>
          <w:kern w:val="0"/>
          <w:sz w:val="24"/>
          <w:szCs w:val="24"/>
          <w:highlight w:val="none"/>
        </w:rPr>
      </w:pPr>
    </w:p>
    <w:p w14:paraId="707E8265">
      <w:pPr>
        <w:numPr>
          <w:ilvl w:val="0"/>
          <w:numId w:val="0"/>
        </w:numPr>
        <w:jc w:val="center"/>
        <w:rPr>
          <w:color w:val="auto"/>
        </w:rPr>
      </w:pPr>
      <w:r>
        <w:rPr>
          <w:rFonts w:hint="eastAsia" w:ascii="宋体" w:hAnsi="宋体" w:eastAsia="宋体" w:cs="宋体"/>
          <w:b/>
          <w:color w:val="auto"/>
          <w:kern w:val="0"/>
          <w:sz w:val="24"/>
          <w:szCs w:val="24"/>
          <w:highlight w:val="none"/>
        </w:rPr>
        <w:t>二、磋商响应方须知</w:t>
      </w:r>
    </w:p>
    <w:p w14:paraId="54881F77">
      <w:pPr>
        <w:tabs>
          <w:tab w:val="left" w:pos="315"/>
        </w:tabs>
        <w:spacing w:line="360" w:lineRule="auto"/>
        <w:ind w:firstLine="482" w:firstLineChars="200"/>
        <w:rPr>
          <w:rFonts w:ascii="宋体" w:hAnsi="宋体"/>
          <w:b/>
          <w:color w:val="auto"/>
          <w:sz w:val="24"/>
        </w:rPr>
      </w:pPr>
      <w:r>
        <w:rPr>
          <w:rFonts w:ascii="宋体" w:hAnsi="宋体"/>
          <w:b/>
          <w:color w:val="auto"/>
          <w:sz w:val="24"/>
        </w:rPr>
        <w:t>一、适用范围</w:t>
      </w:r>
      <w:r>
        <w:rPr>
          <w:rFonts w:hint="eastAsia" w:ascii="宋体" w:hAnsi="宋体"/>
          <w:b/>
          <w:color w:val="auto"/>
          <w:sz w:val="24"/>
        </w:rPr>
        <w:t>：</w:t>
      </w:r>
    </w:p>
    <w:p w14:paraId="66057B82">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本磋商文件仅适用于</w:t>
      </w:r>
      <w:r>
        <w:rPr>
          <w:rFonts w:hint="eastAsia" w:ascii="宋体" w:hAnsi="宋体"/>
          <w:color w:val="auto"/>
          <w:sz w:val="24"/>
          <w:lang w:eastAsia="zh-CN"/>
        </w:rPr>
        <w:t>邹城市钢山街道杜家庄村义和佳苑车棚建设工程</w:t>
      </w:r>
      <w:r>
        <w:rPr>
          <w:rFonts w:hint="eastAsia" w:ascii="宋体" w:hAnsi="宋体"/>
          <w:color w:val="auto"/>
          <w:sz w:val="24"/>
        </w:rPr>
        <w:t>。</w:t>
      </w:r>
    </w:p>
    <w:p w14:paraId="7AF710A3">
      <w:pPr>
        <w:tabs>
          <w:tab w:val="left" w:pos="315"/>
        </w:tabs>
        <w:spacing w:line="360" w:lineRule="auto"/>
        <w:ind w:firstLine="482" w:firstLineChars="200"/>
        <w:rPr>
          <w:rFonts w:ascii="宋体" w:hAnsi="宋体"/>
          <w:b/>
          <w:color w:val="auto"/>
          <w:sz w:val="24"/>
        </w:rPr>
      </w:pPr>
      <w:r>
        <w:rPr>
          <w:rFonts w:ascii="宋体" w:hAnsi="宋体"/>
          <w:b/>
          <w:color w:val="auto"/>
          <w:sz w:val="24"/>
        </w:rPr>
        <w:t>二、定义</w:t>
      </w:r>
      <w:r>
        <w:rPr>
          <w:rFonts w:hint="eastAsia" w:ascii="宋体" w:hAnsi="宋体"/>
          <w:b/>
          <w:color w:val="auto"/>
          <w:sz w:val="24"/>
        </w:rPr>
        <w:t>：</w:t>
      </w:r>
    </w:p>
    <w:p w14:paraId="03769EB8">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1、“采 购 人”系指：</w:t>
      </w:r>
      <w:r>
        <w:rPr>
          <w:rFonts w:hint="eastAsia" w:ascii="宋体" w:hAnsi="宋体" w:cs="Arial Unicode MS"/>
          <w:color w:val="auto"/>
          <w:sz w:val="24"/>
          <w:lang w:eastAsia="zh-CN"/>
        </w:rPr>
        <w:t>邹城市钢山街道杜家庄村村民委员会</w:t>
      </w:r>
      <w:r>
        <w:rPr>
          <w:rFonts w:hint="eastAsia" w:ascii="宋体" w:hAnsi="宋体" w:cs="Arial Unicode MS"/>
          <w:color w:val="auto"/>
          <w:sz w:val="24"/>
        </w:rPr>
        <w:t>；</w:t>
      </w:r>
    </w:p>
    <w:p w14:paraId="5119EB93">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2、“代理机构”系指：</w:t>
      </w:r>
      <w:r>
        <w:rPr>
          <w:rFonts w:hint="eastAsia" w:ascii="宋体" w:hAnsi="宋体" w:cs="Arial Unicode MS"/>
          <w:color w:val="auto"/>
          <w:sz w:val="24"/>
          <w:lang w:eastAsia="zh-CN"/>
        </w:rPr>
        <w:t>山东铭宸工程项目管理咨询有限公司</w:t>
      </w:r>
      <w:r>
        <w:rPr>
          <w:rFonts w:hint="eastAsia" w:ascii="宋体" w:hAnsi="宋体" w:cs="Arial Unicode MS"/>
          <w:color w:val="auto"/>
          <w:sz w:val="24"/>
        </w:rPr>
        <w:t>；</w:t>
      </w:r>
    </w:p>
    <w:p w14:paraId="65C3D672">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3、“响应供应商”系指参与</w:t>
      </w:r>
      <w:r>
        <w:rPr>
          <w:rFonts w:hint="eastAsia" w:ascii="宋体" w:hAnsi="宋体" w:cs="Courier New"/>
          <w:color w:val="auto"/>
          <w:sz w:val="24"/>
        </w:rPr>
        <w:t>磋商</w:t>
      </w:r>
      <w:r>
        <w:rPr>
          <w:rFonts w:hint="eastAsia" w:ascii="宋体" w:hAnsi="宋体" w:cs="Arial Unicode MS"/>
          <w:color w:val="auto"/>
          <w:sz w:val="24"/>
        </w:rPr>
        <w:t>并向采购人提交</w:t>
      </w:r>
      <w:r>
        <w:rPr>
          <w:rFonts w:hint="eastAsia" w:ascii="宋体" w:hAnsi="宋体" w:cs="Courier New"/>
          <w:color w:val="auto"/>
          <w:sz w:val="24"/>
        </w:rPr>
        <w:t>磋商</w:t>
      </w:r>
      <w:r>
        <w:rPr>
          <w:rFonts w:hint="eastAsia" w:ascii="宋体" w:hAnsi="宋体" w:cs="Arial Unicode MS"/>
          <w:color w:val="auto"/>
          <w:sz w:val="24"/>
        </w:rPr>
        <w:t>响应文件的单位；</w:t>
      </w:r>
    </w:p>
    <w:p w14:paraId="43A35B35">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4、“成交供应商”系指经法定程序确定并授予合同的响应供应商。</w:t>
      </w:r>
    </w:p>
    <w:p w14:paraId="44ABF3C1">
      <w:pPr>
        <w:tabs>
          <w:tab w:val="left" w:pos="315"/>
        </w:tabs>
        <w:spacing w:line="360" w:lineRule="auto"/>
        <w:ind w:firstLine="482" w:firstLineChars="200"/>
        <w:rPr>
          <w:rFonts w:ascii="宋体" w:hAnsi="宋体"/>
          <w:b/>
          <w:color w:val="auto"/>
          <w:sz w:val="24"/>
        </w:rPr>
      </w:pPr>
      <w:r>
        <w:rPr>
          <w:rFonts w:ascii="宋体" w:hAnsi="宋体"/>
          <w:b/>
          <w:color w:val="auto"/>
          <w:sz w:val="24"/>
        </w:rPr>
        <w:t>三、</w:t>
      </w:r>
      <w:r>
        <w:rPr>
          <w:rFonts w:hint="eastAsia" w:ascii="宋体" w:hAnsi="宋体"/>
          <w:b/>
          <w:color w:val="auto"/>
          <w:sz w:val="24"/>
        </w:rPr>
        <w:t>供应商</w:t>
      </w:r>
      <w:r>
        <w:rPr>
          <w:rFonts w:ascii="宋体" w:hAnsi="宋体"/>
          <w:b/>
          <w:color w:val="auto"/>
          <w:sz w:val="24"/>
        </w:rPr>
        <w:t>应具备的条件</w:t>
      </w:r>
      <w:r>
        <w:rPr>
          <w:rFonts w:hint="eastAsia" w:ascii="宋体" w:hAnsi="宋体"/>
          <w:b/>
          <w:color w:val="auto"/>
          <w:sz w:val="24"/>
        </w:rPr>
        <w:t>：</w:t>
      </w:r>
    </w:p>
    <w:p w14:paraId="339B1796">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1、具备《政府采购法》第二十二条规定的条件。</w:t>
      </w:r>
    </w:p>
    <w:p w14:paraId="5F6051D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（一）具有独立承担民事责任的能力；</w:t>
      </w:r>
    </w:p>
    <w:p w14:paraId="556F16DF">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（二）具有良好的商业信誉和健全的财务会计制度；</w:t>
      </w:r>
    </w:p>
    <w:p w14:paraId="0494FB86">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（三）具有履行合同所必需的货物和专业技术能力；</w:t>
      </w:r>
    </w:p>
    <w:p w14:paraId="079FFC99">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（四）有依法缴纳税收和社会保障资金的良好记录；</w:t>
      </w:r>
    </w:p>
    <w:p w14:paraId="13F72988">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（五）参加政府采购活动前三年内，在经营活动中没有重大违法记录；</w:t>
      </w:r>
    </w:p>
    <w:p w14:paraId="25E54901">
      <w:pPr>
        <w:widowControl/>
        <w:shd w:val="clear" w:color="auto" w:fill="FFFFFF"/>
        <w:spacing w:line="360" w:lineRule="auto"/>
        <w:ind w:firstLine="480"/>
        <w:jc w:val="left"/>
        <w:rPr>
          <w:rFonts w:hint="eastAsia" w:ascii="宋体" w:hAnsi="宋体" w:cs="黑体"/>
          <w:color w:val="auto"/>
          <w:kern w:val="0"/>
          <w:sz w:val="24"/>
        </w:rPr>
      </w:pPr>
      <w:r>
        <w:rPr>
          <w:rFonts w:hint="eastAsia" w:ascii="宋体" w:hAnsi="宋体" w:cs="黑体"/>
          <w:color w:val="auto"/>
          <w:kern w:val="0"/>
          <w:sz w:val="24"/>
        </w:rPr>
        <w:t>（六）法律、行政法规规定的其他条件。</w:t>
      </w:r>
    </w:p>
    <w:p w14:paraId="6404C0B7">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cs="宋体"/>
          <w:bCs/>
          <w:color w:val="auto"/>
          <w:kern w:val="0"/>
          <w:sz w:val="24"/>
          <w:lang w:val="en-US" w:eastAsia="zh-CN"/>
        </w:rPr>
        <w:t>2</w:t>
      </w:r>
      <w:r>
        <w:rPr>
          <w:rFonts w:hint="eastAsia" w:ascii="宋体" w:hAnsi="宋体" w:cs="宋体"/>
          <w:bCs/>
          <w:color w:val="auto"/>
          <w:kern w:val="0"/>
          <w:sz w:val="24"/>
        </w:rPr>
        <w:t>、</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建筑工程施工总承包三级（含）以上资质</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具备本单位注册的建筑工程专业贰级及以上注册建造师执业资格</w:t>
      </w:r>
      <w:r>
        <w:rPr>
          <w:rFonts w:hint="eastAsia" w:ascii="宋体" w:hAnsi="宋体" w:eastAsia="宋体" w:cs="宋体"/>
          <w:b/>
          <w:bCs/>
          <w:i w:val="0"/>
          <w:iCs w:val="0"/>
          <w:caps w:val="0"/>
          <w:color w:val="auto"/>
          <w:spacing w:val="0"/>
          <w:sz w:val="24"/>
          <w:szCs w:val="24"/>
          <w:shd w:val="clear" w:fill="FFFFFF"/>
        </w:rPr>
        <w:t>，具备</w:t>
      </w:r>
      <w:r>
        <w:rPr>
          <w:rFonts w:hint="eastAsia" w:ascii="宋体" w:hAnsi="宋体" w:eastAsia="宋体" w:cs="宋体"/>
          <w:b/>
          <w:bCs/>
          <w:i w:val="0"/>
          <w:iCs w:val="0"/>
          <w:caps w:val="0"/>
          <w:color w:val="auto"/>
          <w:spacing w:val="0"/>
          <w:sz w:val="24"/>
          <w:szCs w:val="24"/>
          <w:u w:val="single"/>
          <w:shd w:val="clear" w:fill="FFFFFF"/>
        </w:rPr>
        <w:t>有效的安全生产考核证书（B证）</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eastAsia="宋体" w:cs="宋体"/>
          <w:i w:val="0"/>
          <w:iCs w:val="0"/>
          <w:caps w:val="0"/>
          <w:color w:val="auto"/>
          <w:spacing w:val="0"/>
          <w:sz w:val="24"/>
          <w:szCs w:val="24"/>
          <w:shd w:val="clear" w:color="auto" w:fill="FFFFFF"/>
        </w:rPr>
        <w:t>。</w:t>
      </w:r>
    </w:p>
    <w:p w14:paraId="73BFEBFB">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ascii="微软雅黑" w:hAnsi="微软雅黑" w:eastAsia="微软雅黑" w:cs="微软雅黑"/>
          <w:i w:val="0"/>
          <w:iCs w:val="0"/>
          <w:caps w:val="0"/>
          <w:color w:val="auto"/>
          <w:spacing w:val="0"/>
          <w:sz w:val="24"/>
          <w:szCs w:val="24"/>
        </w:rPr>
      </w:pPr>
      <w:r>
        <w:rPr>
          <w:rFonts w:hint="eastAsia" w:ascii="宋体"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因建设工地扬尘污染暂扣安全生产许可证的施工单位，不得参与本项目的磋商；因拖欠农民工工资，计入山东省（省级）及济宁市诚信黑榜，被限制济宁市内建设工程投标资格的施工单位，不得参与本项目的磋商。</w:t>
      </w:r>
    </w:p>
    <w:p w14:paraId="41964113">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bCs w:val="0"/>
          <w:color w:val="auto"/>
          <w:kern w:val="0"/>
          <w:sz w:val="24"/>
          <w:lang w:eastAsia="zh-CN"/>
        </w:rPr>
      </w:pPr>
      <w:r>
        <w:rPr>
          <w:rFonts w:hint="eastAsia" w:ascii="宋体" w:hAnsi="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bCs/>
          <w:color w:val="auto"/>
          <w:kern w:val="0"/>
          <w:sz w:val="24"/>
        </w:rPr>
        <w:t>供应商在递交响应文件时需同时提供</w:t>
      </w:r>
      <w:r>
        <w:rPr>
          <w:rFonts w:hint="eastAsia" w:ascii="宋体" w:hAnsi="宋体" w:cs="宋体"/>
          <w:b/>
          <w:bCs w:val="0"/>
          <w:color w:val="auto"/>
          <w:kern w:val="0"/>
          <w:sz w:val="24"/>
          <w:lang w:eastAsia="zh-CN"/>
        </w:rPr>
        <w:t>本单位营业执照(副本原件或加盖单位公章复印件)、资质证书（原件或加盖单位公章复印件）、安全生产许可证（副本原件或加盖单位公章复印件）、项目经理的建造师注册证（原件或加盖单位公章复印件）及建造师安全生产考核合格证B证（原件或加盖单位公章复印件）、法定代表人或授权委托人有效身份证原件及法人授权委托书原件以及竞争性磋商文件第三部分磋商组织、步骤与评审方法中要求的相关证件资料等。</w:t>
      </w:r>
    </w:p>
    <w:p w14:paraId="45FA967E">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w:t>
      </w:r>
      <w:r>
        <w:rPr>
          <w:rFonts w:hint="eastAsia" w:ascii="宋体" w:hAnsi="宋体" w:cs="宋体"/>
          <w:b/>
          <w:bCs/>
          <w:i w:val="0"/>
          <w:iCs w:val="0"/>
          <w:caps w:val="0"/>
          <w:color w:val="auto"/>
          <w:spacing w:val="0"/>
          <w:sz w:val="24"/>
          <w:szCs w:val="24"/>
          <w:shd w:val="clear" w:fill="FFFFFF"/>
          <w:lang w:eastAsia="zh-CN"/>
        </w:rPr>
        <w:t>供应商应按</w:t>
      </w:r>
      <w:r>
        <w:rPr>
          <w:rFonts w:hint="eastAsia" w:ascii="宋体" w:hAnsi="宋体" w:eastAsia="宋体" w:cs="宋体"/>
          <w:b/>
          <w:bCs/>
          <w:i w:val="0"/>
          <w:iCs w:val="0"/>
          <w:caps w:val="0"/>
          <w:color w:val="auto"/>
          <w:spacing w:val="0"/>
          <w:sz w:val="24"/>
          <w:szCs w:val="24"/>
          <w:shd w:val="clear" w:fill="FFFFFF"/>
        </w:rPr>
        <w:t>上述</w:t>
      </w:r>
      <w:r>
        <w:rPr>
          <w:rFonts w:hint="eastAsia" w:ascii="宋体" w:hAnsi="宋体" w:cs="宋体"/>
          <w:b/>
          <w:bCs/>
          <w:i w:val="0"/>
          <w:iCs w:val="0"/>
          <w:caps w:val="0"/>
          <w:color w:val="auto"/>
          <w:spacing w:val="0"/>
          <w:sz w:val="24"/>
          <w:szCs w:val="24"/>
          <w:shd w:val="clear" w:fill="FFFFFF"/>
          <w:lang w:eastAsia="zh-CN"/>
        </w:rPr>
        <w:t>要求提供有关</w:t>
      </w:r>
      <w:r>
        <w:rPr>
          <w:rFonts w:hint="eastAsia" w:ascii="宋体" w:hAnsi="宋体" w:eastAsia="宋体" w:cs="宋体"/>
          <w:b/>
          <w:bCs/>
          <w:i w:val="0"/>
          <w:iCs w:val="0"/>
          <w:caps w:val="0"/>
          <w:color w:val="auto"/>
          <w:spacing w:val="0"/>
          <w:sz w:val="24"/>
          <w:szCs w:val="24"/>
          <w:shd w:val="clear" w:fill="FFFFFF"/>
        </w:rPr>
        <w:t>材料、证件，</w:t>
      </w:r>
      <w:r>
        <w:rPr>
          <w:rFonts w:hint="eastAsia" w:ascii="宋体" w:hAnsi="宋体" w:cs="宋体"/>
          <w:b/>
          <w:bCs/>
          <w:i w:val="0"/>
          <w:iCs w:val="0"/>
          <w:caps w:val="0"/>
          <w:color w:val="auto"/>
          <w:spacing w:val="0"/>
          <w:sz w:val="24"/>
          <w:szCs w:val="24"/>
          <w:shd w:val="clear" w:fill="FFFFFF"/>
          <w:lang w:eastAsia="zh-CN"/>
        </w:rPr>
        <w:t>要求可以提供加盖公章复印件的材料、证件，已</w:t>
      </w:r>
      <w:r>
        <w:rPr>
          <w:rFonts w:hint="eastAsia" w:ascii="宋体" w:hAnsi="宋体" w:eastAsia="宋体" w:cs="宋体"/>
          <w:b/>
          <w:bCs/>
          <w:i w:val="0"/>
          <w:iCs w:val="0"/>
          <w:caps w:val="0"/>
          <w:color w:val="auto"/>
          <w:spacing w:val="0"/>
          <w:sz w:val="24"/>
          <w:szCs w:val="24"/>
          <w:shd w:val="clear" w:fill="FFFFFF"/>
        </w:rPr>
        <w:t>编制在响应文件中</w:t>
      </w:r>
      <w:r>
        <w:rPr>
          <w:rFonts w:hint="eastAsia" w:ascii="宋体" w:hAnsi="宋体" w:cs="宋体"/>
          <w:b/>
          <w:bCs/>
          <w:i w:val="0"/>
          <w:iCs w:val="0"/>
          <w:caps w:val="0"/>
          <w:color w:val="auto"/>
          <w:spacing w:val="0"/>
          <w:sz w:val="24"/>
          <w:szCs w:val="24"/>
          <w:shd w:val="clear" w:fill="FFFFFF"/>
          <w:lang w:eastAsia="zh-CN"/>
        </w:rPr>
        <w:t>的</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cs="宋体"/>
          <w:b/>
          <w:bCs/>
          <w:i w:val="0"/>
          <w:iCs w:val="0"/>
          <w:caps w:val="0"/>
          <w:color w:val="auto"/>
          <w:spacing w:val="0"/>
          <w:sz w:val="24"/>
          <w:szCs w:val="24"/>
          <w:shd w:val="clear" w:fill="FFFFFF"/>
          <w:lang w:eastAsia="zh-CN"/>
        </w:rPr>
        <w:t>无需再单独提供；</w:t>
      </w:r>
      <w:r>
        <w:rPr>
          <w:rFonts w:hint="eastAsia" w:ascii="宋体" w:hAnsi="宋体" w:eastAsia="宋体" w:cs="宋体"/>
          <w:b/>
          <w:bCs/>
          <w:i w:val="0"/>
          <w:iCs w:val="0"/>
          <w:caps w:val="0"/>
          <w:color w:val="auto"/>
          <w:spacing w:val="0"/>
          <w:sz w:val="24"/>
          <w:szCs w:val="24"/>
          <w:shd w:val="clear" w:fill="FFFFFF"/>
        </w:rPr>
        <w:t>若供应商未将</w:t>
      </w:r>
      <w:r>
        <w:rPr>
          <w:rFonts w:hint="eastAsia" w:ascii="宋体" w:hAnsi="宋体" w:cs="宋体"/>
          <w:b/>
          <w:bCs/>
          <w:i w:val="0"/>
          <w:iCs w:val="0"/>
          <w:caps w:val="0"/>
          <w:color w:val="auto"/>
          <w:spacing w:val="0"/>
          <w:sz w:val="24"/>
          <w:szCs w:val="24"/>
          <w:shd w:val="clear" w:fill="FFFFFF"/>
          <w:lang w:eastAsia="zh-CN"/>
        </w:rPr>
        <w:t>相关材料、证件的</w:t>
      </w:r>
      <w:r>
        <w:rPr>
          <w:rFonts w:hint="eastAsia" w:ascii="宋体" w:hAnsi="宋体" w:eastAsia="宋体" w:cs="宋体"/>
          <w:b/>
          <w:bCs/>
          <w:i w:val="0"/>
          <w:iCs w:val="0"/>
          <w:caps w:val="0"/>
          <w:color w:val="auto"/>
          <w:spacing w:val="0"/>
          <w:sz w:val="24"/>
          <w:szCs w:val="24"/>
          <w:shd w:val="clear" w:fill="FFFFFF"/>
        </w:rPr>
        <w:t>复印件</w:t>
      </w:r>
      <w:r>
        <w:rPr>
          <w:rFonts w:hint="eastAsia" w:ascii="宋体" w:hAnsi="宋体" w:cs="宋体"/>
          <w:b/>
          <w:bCs/>
          <w:i w:val="0"/>
          <w:iCs w:val="0"/>
          <w:caps w:val="0"/>
          <w:color w:val="auto"/>
          <w:spacing w:val="0"/>
          <w:sz w:val="24"/>
          <w:szCs w:val="24"/>
          <w:shd w:val="clear" w:fill="FFFFFF"/>
          <w:lang w:eastAsia="zh-CN"/>
        </w:rPr>
        <w:t>（加盖）</w:t>
      </w:r>
      <w:r>
        <w:rPr>
          <w:rFonts w:hint="eastAsia" w:ascii="宋体" w:hAnsi="宋体" w:eastAsia="宋体" w:cs="宋体"/>
          <w:b/>
          <w:bCs/>
          <w:i w:val="0"/>
          <w:iCs w:val="0"/>
          <w:caps w:val="0"/>
          <w:color w:val="auto"/>
          <w:spacing w:val="0"/>
          <w:sz w:val="24"/>
          <w:szCs w:val="24"/>
          <w:shd w:val="clear" w:fill="FFFFFF"/>
        </w:rPr>
        <w:t>编制在响应文件中，则涉及资格等无效磋商响应文件情形的，将</w:t>
      </w:r>
      <w:r>
        <w:rPr>
          <w:rFonts w:hint="eastAsia" w:ascii="宋体" w:hAnsi="宋体" w:eastAsia="宋体" w:cs="宋体"/>
          <w:b/>
          <w:bCs/>
          <w:i w:val="0"/>
          <w:iCs w:val="0"/>
          <w:caps w:val="0"/>
          <w:color w:val="auto"/>
          <w:spacing w:val="0"/>
          <w:sz w:val="24"/>
          <w:szCs w:val="24"/>
          <w:shd w:val="clear" w:fill="FFFFFF"/>
          <w:lang w:eastAsia="zh-CN"/>
        </w:rPr>
        <w:t>按照无效响应处理</w:t>
      </w:r>
      <w:r>
        <w:rPr>
          <w:rFonts w:hint="eastAsia" w:ascii="宋体" w:hAnsi="宋体" w:eastAsia="宋体" w:cs="宋体"/>
          <w:b/>
          <w:bCs/>
          <w:i w:val="0"/>
          <w:iCs w:val="0"/>
          <w:caps w:val="0"/>
          <w:color w:val="auto"/>
          <w:spacing w:val="0"/>
          <w:sz w:val="24"/>
          <w:szCs w:val="24"/>
          <w:shd w:val="clear" w:fill="FFFFFF"/>
        </w:rPr>
        <w:t>，且不因</w:t>
      </w:r>
      <w:r>
        <w:rPr>
          <w:rFonts w:hint="eastAsia" w:ascii="宋体" w:hAnsi="宋体" w:eastAsia="宋体" w:cs="宋体"/>
          <w:b/>
          <w:bCs/>
          <w:i w:val="0"/>
          <w:iCs w:val="0"/>
          <w:caps w:val="0"/>
          <w:color w:val="auto"/>
          <w:spacing w:val="0"/>
          <w:sz w:val="24"/>
          <w:szCs w:val="24"/>
          <w:shd w:val="clear" w:fill="FFFFFF"/>
          <w:lang w:eastAsia="zh-CN"/>
        </w:rPr>
        <w:t>单独提供了有关材料、证件</w:t>
      </w:r>
      <w:r>
        <w:rPr>
          <w:rFonts w:hint="eastAsia" w:ascii="宋体" w:hAnsi="宋体" w:eastAsia="宋体" w:cs="宋体"/>
          <w:b/>
          <w:bCs/>
          <w:i w:val="0"/>
          <w:iCs w:val="0"/>
          <w:caps w:val="0"/>
          <w:color w:val="auto"/>
          <w:spacing w:val="0"/>
          <w:sz w:val="24"/>
          <w:szCs w:val="24"/>
          <w:shd w:val="clear" w:fill="FFFFFF"/>
        </w:rPr>
        <w:t>而改变。供应商在磋商时未按上述要求提供证明材料的，按无效响应文件处理或按评审办法规定不予认可。</w:t>
      </w:r>
    </w:p>
    <w:p w14:paraId="32842654">
      <w:pPr>
        <w:widowControl/>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、本次竞争性磋商不接受联合体</w:t>
      </w:r>
      <w:r>
        <w:rPr>
          <w:rFonts w:hint="eastAsia" w:ascii="宋体" w:hAnsi="宋体" w:cs="宋体"/>
          <w:color w:val="auto"/>
          <w:kern w:val="0"/>
          <w:sz w:val="24"/>
        </w:rPr>
        <w:t>。</w:t>
      </w:r>
    </w:p>
    <w:p w14:paraId="32E0E9E1">
      <w:pPr>
        <w:spacing w:line="360" w:lineRule="auto"/>
        <w:ind w:firstLine="482" w:firstLineChars="200"/>
        <w:rPr>
          <w:rFonts w:ascii="宋体" w:hAnsi="宋体" w:cs="Arial Unicode MS"/>
          <w:b/>
          <w:color w:val="auto"/>
          <w:sz w:val="24"/>
        </w:rPr>
      </w:pPr>
      <w:r>
        <w:rPr>
          <w:rFonts w:ascii="宋体" w:hAnsi="宋体" w:cs="Arial Unicode MS"/>
          <w:b/>
          <w:color w:val="auto"/>
          <w:sz w:val="24"/>
        </w:rPr>
        <w:t>四、</w:t>
      </w:r>
      <w:r>
        <w:rPr>
          <w:rFonts w:hint="eastAsia" w:ascii="宋体" w:hAnsi="宋体" w:cs="Arial Unicode MS"/>
          <w:b/>
          <w:color w:val="auto"/>
          <w:sz w:val="24"/>
        </w:rPr>
        <w:t>竞争性磋商文件：</w:t>
      </w:r>
    </w:p>
    <w:p w14:paraId="6B2F3B4A">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本竞争性</w:t>
      </w:r>
      <w:r>
        <w:rPr>
          <w:rFonts w:hint="eastAsia" w:ascii="宋体" w:hAnsi="宋体" w:cs="黑体"/>
          <w:color w:val="auto"/>
          <w:kern w:val="0"/>
          <w:sz w:val="24"/>
        </w:rPr>
        <w:t>磋商</w:t>
      </w:r>
      <w:r>
        <w:rPr>
          <w:rFonts w:hint="eastAsia" w:ascii="宋体" w:hAnsi="宋体"/>
          <w:color w:val="auto"/>
          <w:sz w:val="24"/>
        </w:rPr>
        <w:t>文件由以下内容组成：</w:t>
      </w:r>
    </w:p>
    <w:p w14:paraId="60DB0FE7">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1、</w:t>
      </w:r>
      <w:r>
        <w:rPr>
          <w:rFonts w:hint="eastAsia" w:ascii="宋体" w:hAnsi="宋体" w:cs="黑体"/>
          <w:color w:val="auto"/>
          <w:kern w:val="0"/>
          <w:sz w:val="24"/>
        </w:rPr>
        <w:t>竞争性</w:t>
      </w:r>
      <w:r>
        <w:rPr>
          <w:rFonts w:hint="eastAsia" w:ascii="宋体" w:hAnsi="宋体"/>
          <w:color w:val="auto"/>
          <w:sz w:val="24"/>
        </w:rPr>
        <w:t>磋商公告；</w:t>
      </w:r>
    </w:p>
    <w:p w14:paraId="3C3CD1A7">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2、磋商响应方须知；</w:t>
      </w:r>
    </w:p>
    <w:p w14:paraId="4EA64F80">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3、磋商组织、步骤与评审方法；</w:t>
      </w:r>
    </w:p>
    <w:p w14:paraId="2AED793B">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4、采购内容及要求；</w:t>
      </w:r>
    </w:p>
    <w:p w14:paraId="004189DA">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5、合同授予；</w:t>
      </w:r>
    </w:p>
    <w:p w14:paraId="451DE041">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6、响应文件格式。</w:t>
      </w:r>
    </w:p>
    <w:p w14:paraId="5ADA3E0E">
      <w:pPr>
        <w:spacing w:line="360" w:lineRule="auto"/>
        <w:ind w:firstLine="482" w:firstLineChars="200"/>
        <w:rPr>
          <w:rFonts w:ascii="宋体" w:hAnsi="宋体" w:cs="Arial Unicode MS"/>
          <w:b/>
          <w:color w:val="auto"/>
          <w:sz w:val="24"/>
        </w:rPr>
      </w:pPr>
      <w:r>
        <w:rPr>
          <w:rFonts w:hint="eastAsia" w:ascii="宋体" w:hAnsi="宋体" w:cs="Arial Unicode MS"/>
          <w:b/>
          <w:color w:val="auto"/>
          <w:sz w:val="24"/>
        </w:rPr>
        <w:t>五、磋商</w:t>
      </w:r>
      <w:r>
        <w:rPr>
          <w:rFonts w:ascii="宋体" w:hAnsi="宋体" w:cs="Arial Unicode MS"/>
          <w:b/>
          <w:color w:val="auto"/>
          <w:sz w:val="24"/>
        </w:rPr>
        <w:t>文件的质疑、澄清或修改</w:t>
      </w:r>
      <w:r>
        <w:rPr>
          <w:rFonts w:hint="eastAsia" w:ascii="宋体" w:hAnsi="宋体" w:cs="Arial Unicode MS"/>
          <w:b/>
          <w:color w:val="auto"/>
          <w:sz w:val="24"/>
        </w:rPr>
        <w:t>：</w:t>
      </w:r>
    </w:p>
    <w:p w14:paraId="7F990320">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1、各潜在供应商对磋商文件内容如有疑问，必须于磋商开始前五个日历日将疑问以书面形式送至采购人或电子邮件形式发至</w:t>
      </w:r>
      <w:r>
        <w:rPr>
          <w:rFonts w:hint="eastAsia" w:ascii="宋体" w:hAnsi="宋体" w:cs="宋体"/>
          <w:color w:val="auto"/>
          <w:sz w:val="24"/>
          <w:lang w:eastAsia="zh-CN"/>
        </w:rPr>
        <w:t>sdmczxgs@163.com</w:t>
      </w:r>
      <w:r>
        <w:rPr>
          <w:rFonts w:hint="eastAsia" w:ascii="宋体" w:hAnsi="宋体" w:cs="宋体"/>
          <w:color w:val="auto"/>
          <w:sz w:val="24"/>
        </w:rPr>
        <w:t>；</w:t>
      </w:r>
    </w:p>
    <w:p w14:paraId="269E2082">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14:paraId="7A05DFA1">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14:paraId="0A68B5F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4、磋商文件的澄清或修改均以最后发布的内容为准。当磋商文件的澄清、修改、补充等在同一内容的表述不一致时，以最后发布的内容为准。</w:t>
      </w:r>
    </w:p>
    <w:p w14:paraId="6144BDA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auto"/>
          <w:sz w:val="24"/>
        </w:rPr>
      </w:pPr>
      <w:r>
        <w:rPr>
          <w:rFonts w:hint="eastAsia" w:ascii="宋体" w:hAnsi="宋体" w:cs="Arial Unicode MS"/>
          <w:b/>
          <w:color w:val="auto"/>
          <w:sz w:val="24"/>
        </w:rPr>
        <w:t>六</w:t>
      </w:r>
      <w:r>
        <w:rPr>
          <w:rFonts w:ascii="宋体" w:hAnsi="宋体" w:cs="Arial Unicode MS"/>
          <w:b/>
          <w:color w:val="auto"/>
          <w:sz w:val="24"/>
        </w:rPr>
        <w:t>、</w:t>
      </w:r>
      <w:r>
        <w:rPr>
          <w:rFonts w:hint="eastAsia" w:ascii="宋体" w:hAnsi="宋体" w:cs="Arial Unicode MS"/>
          <w:b/>
          <w:color w:val="auto"/>
          <w:sz w:val="24"/>
        </w:rPr>
        <w:t>磋商响应</w:t>
      </w:r>
      <w:r>
        <w:rPr>
          <w:rFonts w:ascii="宋体" w:hAnsi="宋体" w:cs="Arial Unicode MS"/>
          <w:b/>
          <w:color w:val="auto"/>
          <w:sz w:val="24"/>
        </w:rPr>
        <w:t>文件的编写及递交</w:t>
      </w:r>
      <w:r>
        <w:rPr>
          <w:rFonts w:hint="eastAsia" w:ascii="宋体" w:hAnsi="宋体" w:cs="Arial Unicode MS"/>
          <w:b/>
          <w:color w:val="auto"/>
          <w:sz w:val="24"/>
        </w:rPr>
        <w:t>：</w:t>
      </w:r>
    </w:p>
    <w:p w14:paraId="2D9A990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供应商应按</w:t>
      </w:r>
      <w:r>
        <w:rPr>
          <w:rFonts w:hint="eastAsia" w:ascii="宋体" w:hAnsi="宋体" w:cs="Courier New"/>
          <w:color w:val="auto"/>
          <w:sz w:val="24"/>
        </w:rPr>
        <w:t>磋商</w:t>
      </w:r>
      <w:r>
        <w:rPr>
          <w:rFonts w:hint="eastAsia" w:ascii="宋体" w:hAnsi="宋体"/>
          <w:color w:val="auto"/>
          <w:sz w:val="24"/>
        </w:rPr>
        <w:t>文件的要求准备</w:t>
      </w:r>
      <w:r>
        <w:rPr>
          <w:rFonts w:hint="eastAsia" w:ascii="宋体" w:hAnsi="宋体" w:cs="Courier New"/>
          <w:color w:val="auto"/>
          <w:sz w:val="24"/>
        </w:rPr>
        <w:t>磋商</w:t>
      </w:r>
      <w:r>
        <w:rPr>
          <w:rFonts w:hint="eastAsia" w:ascii="宋体" w:hAnsi="宋体"/>
          <w:color w:val="auto"/>
          <w:sz w:val="24"/>
        </w:rPr>
        <w:t>响应文件，并保证所提供全部资料的真实性、准确性及完整性，并对</w:t>
      </w:r>
      <w:r>
        <w:rPr>
          <w:rFonts w:hint="eastAsia" w:ascii="宋体" w:hAnsi="宋体" w:cs="Courier New"/>
          <w:color w:val="auto"/>
          <w:sz w:val="24"/>
        </w:rPr>
        <w:t>磋商</w:t>
      </w:r>
      <w:r>
        <w:rPr>
          <w:rFonts w:hint="eastAsia" w:ascii="宋体" w:hAnsi="宋体"/>
          <w:color w:val="auto"/>
          <w:sz w:val="24"/>
        </w:rPr>
        <w:t>文件做出实质性响应。</w:t>
      </w:r>
    </w:p>
    <w:p w14:paraId="089174E3">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auto"/>
          <w:kern w:val="0"/>
          <w:sz w:val="24"/>
        </w:rPr>
      </w:pPr>
      <w:r>
        <w:rPr>
          <w:rFonts w:hint="eastAsia" w:ascii="宋体" w:hAnsi="宋体" w:cs="黑体"/>
          <w:b/>
          <w:bCs/>
          <w:color w:val="auto"/>
          <w:kern w:val="0"/>
          <w:sz w:val="24"/>
        </w:rPr>
        <w:t>磋商响应文件的组成：</w:t>
      </w:r>
    </w:p>
    <w:p w14:paraId="61EFC340">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14:paraId="3D36BE5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14:paraId="4D13D9C7">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14:paraId="394A19A5">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14:paraId="4D077399">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14:paraId="3172B6EE">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14:paraId="3DB28E0C">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14:paraId="5D88886A">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14:paraId="673165A2">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14:paraId="25CF7FC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cs="黑体"/>
          <w:b/>
          <w:color w:val="auto"/>
          <w:kern w:val="0"/>
          <w:sz w:val="24"/>
        </w:rPr>
        <w:t>（二）磋商响应文件的装订、密封和标记：</w:t>
      </w:r>
    </w:p>
    <w:p w14:paraId="5C07449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auto"/>
          <w:kern w:val="0"/>
          <w:sz w:val="24"/>
        </w:rPr>
      </w:pPr>
      <w:r>
        <w:rPr>
          <w:rFonts w:hint="eastAsia" w:ascii="宋体" w:hAnsi="宋体" w:cs="黑体"/>
          <w:b w:val="0"/>
          <w:bCs/>
          <w:color w:val="auto"/>
          <w:kern w:val="0"/>
          <w:sz w:val="24"/>
        </w:rPr>
        <w:t>1、磋商响应文件需加盖磋商响应方公章并装订成册；</w:t>
      </w:r>
    </w:p>
    <w:p w14:paraId="6DFB77A1">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2、供应商应准备磋商响应文件</w:t>
      </w:r>
      <w:r>
        <w:rPr>
          <w:rFonts w:hint="eastAsia" w:ascii="宋体" w:hAnsi="宋体" w:cs="黑体"/>
          <w:b w:val="0"/>
          <w:bCs/>
          <w:color w:val="auto"/>
          <w:kern w:val="0"/>
          <w:sz w:val="24"/>
          <w:lang w:eastAsia="zh-CN"/>
        </w:rPr>
        <w:t>五</w:t>
      </w:r>
      <w:r>
        <w:rPr>
          <w:rFonts w:hint="eastAsia" w:ascii="宋体" w:hAnsi="宋体" w:cs="黑体"/>
          <w:b w:val="0"/>
          <w:bCs/>
          <w:color w:val="auto"/>
          <w:kern w:val="0"/>
          <w:sz w:val="24"/>
        </w:rPr>
        <w:t>份，一份正本和</w:t>
      </w:r>
      <w:r>
        <w:rPr>
          <w:rFonts w:hint="eastAsia" w:ascii="宋体" w:hAnsi="宋体" w:cs="黑体"/>
          <w:b w:val="0"/>
          <w:bCs/>
          <w:color w:val="auto"/>
          <w:kern w:val="0"/>
          <w:sz w:val="24"/>
          <w:lang w:eastAsia="zh-CN"/>
        </w:rPr>
        <w:t>四</w:t>
      </w:r>
      <w:r>
        <w:rPr>
          <w:rFonts w:hint="eastAsia" w:ascii="宋体" w:hAnsi="宋体" w:cs="黑体"/>
          <w:b w:val="0"/>
          <w:bCs/>
          <w:color w:val="auto"/>
          <w:kern w:val="0"/>
          <w:sz w:val="24"/>
        </w:rPr>
        <w:t>份副本。在每一份磋商响应文件上要明确注明“正本”或“副本”字样，一旦正本和副本有差异，以正本为准；</w:t>
      </w:r>
    </w:p>
    <w:p w14:paraId="75D51B2F">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3、响应供应商应将磋商响应文件密封，并在封口处加盖磋商响应方公章或由法定代表人（或委托代理人）签字（或签章），未按本条要求密封的磋商响应文件将有权被拒绝接收。</w:t>
      </w:r>
    </w:p>
    <w:p w14:paraId="284C91EE">
      <w:pPr>
        <w:widowControl/>
        <w:shd w:val="clear" w:color="auto" w:fill="FFFFFF"/>
        <w:spacing w:line="360" w:lineRule="auto"/>
        <w:ind w:firstLine="480"/>
        <w:jc w:val="left"/>
        <w:rPr>
          <w:rFonts w:ascii="宋体" w:hAnsi="宋体" w:cs="黑体"/>
          <w:b/>
          <w:color w:val="auto"/>
          <w:kern w:val="0"/>
          <w:sz w:val="24"/>
        </w:rPr>
      </w:pPr>
      <w:r>
        <w:rPr>
          <w:rFonts w:hint="eastAsia" w:ascii="宋体" w:hAnsi="宋体" w:cs="黑体"/>
          <w:b/>
          <w:color w:val="auto"/>
          <w:kern w:val="0"/>
          <w:sz w:val="24"/>
        </w:rPr>
        <w:t>（三）磋商响应文件的递交：</w:t>
      </w:r>
    </w:p>
    <w:p w14:paraId="4D23542E">
      <w:pPr>
        <w:widowControl/>
        <w:shd w:val="clear" w:color="auto" w:fill="FFFFFF"/>
        <w:spacing w:line="440" w:lineRule="exact"/>
        <w:ind w:firstLine="480"/>
        <w:jc w:val="left"/>
        <w:rPr>
          <w:rFonts w:ascii="宋体" w:hAnsi="宋体" w:cs="宋体"/>
          <w:b/>
          <w:color w:val="auto"/>
          <w:kern w:val="0"/>
          <w:sz w:val="24"/>
          <w:highlight w:val="yellow"/>
        </w:rPr>
      </w:pPr>
      <w:r>
        <w:rPr>
          <w:rFonts w:hint="eastAsia" w:ascii="宋体" w:hAnsi="宋体" w:cs="宋体"/>
          <w:b/>
          <w:color w:val="auto"/>
          <w:kern w:val="0"/>
          <w:sz w:val="24"/>
        </w:rPr>
        <w:t>1.磋商响应文件</w:t>
      </w:r>
      <w:r>
        <w:rPr>
          <w:rFonts w:hint="eastAsia" w:ascii="宋体" w:hAnsi="宋体" w:cs="宋体"/>
          <w:b/>
          <w:color w:val="auto"/>
          <w:kern w:val="0"/>
          <w:sz w:val="24"/>
          <w:lang w:val="en-US" w:eastAsia="zh-CN"/>
        </w:rPr>
        <w:t>递交</w:t>
      </w:r>
      <w:r>
        <w:rPr>
          <w:rFonts w:hint="eastAsia" w:ascii="宋体" w:hAnsi="宋体" w:cs="宋体"/>
          <w:b/>
          <w:color w:val="auto"/>
          <w:kern w:val="0"/>
          <w:sz w:val="24"/>
        </w:rPr>
        <w:t xml:space="preserve">时间: </w:t>
      </w:r>
      <w:r>
        <w:rPr>
          <w:rFonts w:hint="eastAsia" w:ascii="宋体" w:hAnsi="宋体" w:cs="宋体"/>
          <w:b/>
          <w:color w:val="auto"/>
          <w:kern w:val="0"/>
          <w:sz w:val="24"/>
          <w:highlight w:val="none"/>
          <w:lang w:eastAsia="zh-CN"/>
        </w:rPr>
        <w:t>2024年12月1</w:t>
      </w:r>
      <w:r>
        <w:rPr>
          <w:rFonts w:hint="eastAsia" w:ascii="宋体" w:hAnsi="宋体" w:cs="宋体"/>
          <w:b/>
          <w:color w:val="auto"/>
          <w:kern w:val="0"/>
          <w:sz w:val="24"/>
          <w:highlight w:val="none"/>
          <w:lang w:val="en-US" w:eastAsia="zh-CN"/>
        </w:rPr>
        <w:t>7</w:t>
      </w:r>
      <w:r>
        <w:rPr>
          <w:rFonts w:hint="eastAsia" w:ascii="宋体" w:hAnsi="宋体" w:cs="宋体"/>
          <w:b/>
          <w:color w:val="auto"/>
          <w:kern w:val="0"/>
          <w:sz w:val="24"/>
          <w:highlight w:val="none"/>
          <w:lang w:eastAsia="zh-CN"/>
        </w:rPr>
        <w:t>日09时</w:t>
      </w:r>
      <w:r>
        <w:rPr>
          <w:rFonts w:hint="eastAsia" w:ascii="宋体" w:hAnsi="宋体" w:cs="宋体"/>
          <w:b/>
          <w:color w:val="auto"/>
          <w:kern w:val="0"/>
          <w:sz w:val="24"/>
          <w:highlight w:val="none"/>
          <w:lang w:val="en-US" w:eastAsia="zh-CN"/>
        </w:rPr>
        <w:t>0</w:t>
      </w:r>
      <w:r>
        <w:rPr>
          <w:rFonts w:hint="eastAsia" w:ascii="宋体" w:hAnsi="宋体" w:cs="宋体"/>
          <w:b/>
          <w:color w:val="auto"/>
          <w:kern w:val="0"/>
          <w:sz w:val="24"/>
          <w:highlight w:val="none"/>
          <w:lang w:eastAsia="zh-CN"/>
        </w:rPr>
        <w:t>0分</w:t>
      </w:r>
      <w:r>
        <w:rPr>
          <w:rFonts w:hint="eastAsia" w:ascii="宋体" w:hAnsi="宋体" w:cs="宋体"/>
          <w:b/>
          <w:color w:val="auto"/>
          <w:kern w:val="0"/>
          <w:sz w:val="24"/>
          <w:highlight w:val="none"/>
        </w:rPr>
        <w:t>前递交至</w:t>
      </w:r>
      <w:r>
        <w:rPr>
          <w:rFonts w:hint="eastAsia" w:ascii="宋体" w:hAnsi="宋体" w:cs="宋体"/>
          <w:b/>
          <w:color w:val="auto"/>
          <w:kern w:val="0"/>
          <w:sz w:val="24"/>
          <w:highlight w:val="none"/>
          <w:lang w:eastAsia="zh-CN"/>
        </w:rPr>
        <w:t>邹城市钢山街道公共资源交易中心开标室</w:t>
      </w:r>
      <w:r>
        <w:rPr>
          <w:rFonts w:hint="eastAsia" w:ascii="宋体" w:hAnsi="宋体" w:cs="宋体"/>
          <w:b/>
          <w:color w:val="auto"/>
          <w:kern w:val="0"/>
          <w:sz w:val="24"/>
          <w:highlight w:val="none"/>
        </w:rPr>
        <w:t>。</w:t>
      </w:r>
    </w:p>
    <w:p w14:paraId="598B2D7F">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2、递交磋商响应文件时，供应商如出现以下情况，磋商响应文件将有权被拒绝。</w:t>
      </w:r>
    </w:p>
    <w:p w14:paraId="312000E6">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（1）逾期送达或未送达指定地点的磋商响应文件。</w:t>
      </w:r>
    </w:p>
    <w:p w14:paraId="31290F7E">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（2）供应商以传真、电子邮件方式递交磋商响应文件。</w:t>
      </w:r>
    </w:p>
    <w:p w14:paraId="3A489CF2">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3、对供应商的磋商响应文件、材料不予退还。</w:t>
      </w:r>
    </w:p>
    <w:p w14:paraId="78393DDA">
      <w:pPr>
        <w:widowControl/>
        <w:shd w:val="clear" w:color="auto" w:fill="FFFFFF"/>
        <w:spacing w:line="360" w:lineRule="auto"/>
        <w:ind w:firstLine="482"/>
        <w:jc w:val="left"/>
        <w:rPr>
          <w:rFonts w:ascii="宋体" w:hAnsi="宋体" w:cs="黑体"/>
          <w:b/>
          <w:color w:val="auto"/>
          <w:kern w:val="0"/>
          <w:sz w:val="24"/>
        </w:rPr>
      </w:pPr>
      <w:r>
        <w:rPr>
          <w:rFonts w:hint="eastAsia" w:ascii="宋体" w:hAnsi="宋体" w:cs="黑体"/>
          <w:b/>
          <w:color w:val="auto"/>
          <w:kern w:val="0"/>
          <w:sz w:val="24"/>
        </w:rPr>
        <w:t>（四）报价要求：</w:t>
      </w:r>
    </w:p>
    <w:p w14:paraId="6F7AC297">
      <w:pPr>
        <w:widowControl/>
        <w:shd w:val="clear" w:color="auto" w:fill="FFFFFF"/>
        <w:spacing w:line="360" w:lineRule="auto"/>
        <w:ind w:firstLine="480"/>
        <w:jc w:val="left"/>
        <w:rPr>
          <w:rFonts w:hint="eastAsia" w:ascii="宋体" w:hAnsi="宋体" w:cs="黑体"/>
          <w:b/>
          <w:bCs/>
          <w:color w:val="auto"/>
          <w:kern w:val="0"/>
          <w:sz w:val="24"/>
        </w:rPr>
      </w:pPr>
      <w:r>
        <w:rPr>
          <w:rFonts w:hint="eastAsia" w:ascii="宋体" w:hAnsi="宋体" w:cs="黑体"/>
          <w:b/>
          <w:bCs/>
          <w:color w:val="auto"/>
          <w:kern w:val="0"/>
          <w:sz w:val="24"/>
        </w:rPr>
        <w:t>1、本项目采用固定含税全费用综合单价合同形式。</w:t>
      </w:r>
    </w:p>
    <w:p w14:paraId="1A7D824D">
      <w:pPr>
        <w:widowControl/>
        <w:shd w:val="clear" w:color="auto" w:fill="FFFFFF"/>
        <w:spacing w:line="360" w:lineRule="auto"/>
        <w:ind w:firstLine="480"/>
        <w:jc w:val="left"/>
        <w:rPr>
          <w:rFonts w:ascii="宋体" w:hAnsi="宋体" w:cs="黑体"/>
          <w:b/>
          <w:bCs/>
          <w:color w:val="auto"/>
          <w:kern w:val="0"/>
          <w:sz w:val="24"/>
        </w:rPr>
      </w:pPr>
      <w:r>
        <w:rPr>
          <w:rFonts w:hint="eastAsia" w:ascii="宋体" w:hAnsi="宋体" w:cs="黑体"/>
          <w:b/>
          <w:bCs/>
          <w:color w:val="auto"/>
          <w:kern w:val="0"/>
          <w:sz w:val="24"/>
        </w:rPr>
        <w:t>各</w:t>
      </w:r>
      <w:r>
        <w:rPr>
          <w:rFonts w:hint="eastAsia" w:ascii="宋体" w:hAnsi="宋体" w:cs="黑体"/>
          <w:b/>
          <w:bCs/>
          <w:color w:val="auto"/>
          <w:kern w:val="0"/>
          <w:sz w:val="24"/>
          <w:lang w:eastAsia="zh-CN"/>
        </w:rPr>
        <w:t>供应商</w:t>
      </w:r>
      <w:r>
        <w:rPr>
          <w:rFonts w:hint="eastAsia" w:ascii="宋体" w:hAnsi="宋体" w:cs="黑体"/>
          <w:b/>
          <w:bCs/>
          <w:color w:val="auto"/>
          <w:kern w:val="0"/>
          <w:sz w:val="24"/>
        </w:rPr>
        <w:t>应根据</w:t>
      </w:r>
      <w:r>
        <w:rPr>
          <w:rFonts w:hint="eastAsia" w:ascii="宋体" w:hAnsi="宋体" w:cs="黑体"/>
          <w:b/>
          <w:bCs/>
          <w:color w:val="auto"/>
          <w:kern w:val="0"/>
          <w:sz w:val="24"/>
          <w:lang w:eastAsia="zh-CN"/>
        </w:rPr>
        <w:t>采购文件</w:t>
      </w:r>
      <w:r>
        <w:rPr>
          <w:rFonts w:hint="eastAsia" w:ascii="宋体" w:hAnsi="宋体" w:cs="黑体"/>
          <w:b/>
          <w:bCs/>
          <w:color w:val="auto"/>
          <w:kern w:val="0"/>
          <w:sz w:val="24"/>
        </w:rPr>
        <w:t>给定的工程量清单逐项填报单价和合价，并以此汇总计算总价，供应商的报价包括施工设备、劳务、材料（含辅材）、安装、运输、维护、保险（含劳动保险等）、管理费、</w:t>
      </w:r>
      <w:r>
        <w:rPr>
          <w:rFonts w:hint="eastAsia" w:ascii="宋体" w:hAnsi="宋体" w:cs="黑体"/>
          <w:b/>
          <w:bCs/>
          <w:color w:val="auto"/>
          <w:kern w:val="0"/>
          <w:sz w:val="24"/>
          <w:lang w:eastAsia="zh-CN"/>
        </w:rPr>
        <w:t>利润及税金、</w:t>
      </w:r>
      <w:r>
        <w:rPr>
          <w:rFonts w:hint="eastAsia" w:ascii="宋体" w:hAnsi="宋体" w:cs="黑体"/>
          <w:b/>
          <w:bCs/>
          <w:color w:val="auto"/>
          <w:kern w:val="0"/>
          <w:sz w:val="24"/>
        </w:rPr>
        <w:t>安全文明施工费、规费、调试费、措施费、扬尘治理、安全、工期、质量、垃圾清理及外运、分批次进出场产生的费用（不因现场情况机械进出多少次，只计算一次机械进出场费用）、二次搬运费、材料的保管费、检验费、验收费、总包配合费用、社群关系协调费、意外伤害、伤亡事故、政策性文件规定、不明地质变化及合同实施期内包含的所有风险、责任等各项应有费用，并考虑所有风险及包含律师费、诉讼费、保全费、公告费、鉴定费、交通食宿费、预期的市场价格的涨跌引起的费用、政策性文件规定以及施工期间政策调整而发生的风险、在限定的工期内完成施工项目及整项工程并达到合同约定的质量标准所需要的费用、</w:t>
      </w:r>
      <w:r>
        <w:rPr>
          <w:rFonts w:hint="eastAsia" w:ascii="宋体" w:hAnsi="宋体" w:cs="黑体"/>
          <w:b/>
          <w:bCs/>
          <w:color w:val="auto"/>
          <w:kern w:val="0"/>
          <w:sz w:val="24"/>
          <w:lang w:eastAsia="zh-CN"/>
        </w:rPr>
        <w:t>隐含的为完成该项目而必须发生的费用（包括发包人分包的给水系统、热力系统、强电、强电系统、燃气系统等各项施工中的配合及预留的接口闭合等相关费用）</w:t>
      </w:r>
      <w:r>
        <w:rPr>
          <w:rFonts w:hint="eastAsia" w:ascii="宋体" w:hAnsi="宋体" w:cs="黑体"/>
          <w:b/>
          <w:bCs/>
          <w:color w:val="auto"/>
          <w:kern w:val="0"/>
          <w:sz w:val="24"/>
        </w:rPr>
        <w:t>、在合同实施期间不因市场变化因素而变动。除固定含税全费用综合单价外，承包人无权再向发包人主张任何价款及费用。</w:t>
      </w:r>
    </w:p>
    <w:p w14:paraId="057DC238">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2、报价时考虑可调以外的材料价格上涨等一切风险因素。</w:t>
      </w:r>
    </w:p>
    <w:p w14:paraId="2E306E1D">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3、</w:t>
      </w:r>
      <w:r>
        <w:rPr>
          <w:rFonts w:hint="eastAsia" w:ascii="宋体" w:hAnsi="宋体" w:cs="Arial"/>
          <w:color w:val="auto"/>
          <w:kern w:val="0"/>
          <w:sz w:val="24"/>
        </w:rPr>
        <w:t>施工期间与周边地方关系的协调由成交单位自行处理，产生的任何费用自行承担</w:t>
      </w:r>
      <w:r>
        <w:rPr>
          <w:rFonts w:hint="eastAsia" w:ascii="宋体" w:hAnsi="宋体"/>
          <w:color w:val="auto"/>
          <w:sz w:val="24"/>
        </w:rPr>
        <w:t>。</w:t>
      </w:r>
    </w:p>
    <w:p w14:paraId="1B1752BB">
      <w:pPr>
        <w:spacing w:line="560" w:lineRule="exact"/>
        <w:ind w:firstLine="482" w:firstLineChars="200"/>
        <w:rPr>
          <w:rFonts w:hint="eastAsia" w:ascii="宋体" w:hAnsi="宋体" w:cs="黑体"/>
          <w:b/>
          <w:bCs/>
          <w:color w:val="auto"/>
          <w:kern w:val="0"/>
          <w:sz w:val="24"/>
          <w:lang w:eastAsia="zh-CN"/>
        </w:rPr>
      </w:pPr>
      <w:r>
        <w:rPr>
          <w:rFonts w:hint="eastAsia" w:ascii="宋体" w:hAnsi="宋体" w:eastAsia="宋体" w:cs="宋体"/>
          <w:b/>
          <w:color w:val="auto"/>
          <w:sz w:val="24"/>
          <w:szCs w:val="24"/>
        </w:rPr>
        <w:t>4、本次</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文件</w:t>
      </w:r>
      <w:r>
        <w:rPr>
          <w:rFonts w:hint="eastAsia" w:ascii="宋体" w:hAnsi="宋体" w:cs="宋体"/>
          <w:b/>
          <w:color w:val="auto"/>
          <w:sz w:val="24"/>
          <w:szCs w:val="24"/>
          <w:lang w:eastAsia="zh-CN"/>
        </w:rPr>
        <w:t>给定的工程量清单</w:t>
      </w:r>
      <w:r>
        <w:rPr>
          <w:rFonts w:hint="eastAsia" w:ascii="宋体" w:hAnsi="宋体" w:eastAsia="宋体" w:cs="宋体"/>
          <w:b/>
          <w:color w:val="auto"/>
          <w:sz w:val="24"/>
          <w:szCs w:val="24"/>
        </w:rPr>
        <w:t>格式</w:t>
      </w:r>
      <w:r>
        <w:rPr>
          <w:rFonts w:hint="eastAsia" w:ascii="宋体" w:hAnsi="宋体" w:cs="黑体"/>
          <w:b/>
          <w:bCs/>
          <w:color w:val="auto"/>
          <w:kern w:val="0"/>
          <w:sz w:val="24"/>
        </w:rPr>
        <w:t>逐项填报固定含税全费用综合单价和合价，并以此汇总计算</w:t>
      </w:r>
      <w:r>
        <w:rPr>
          <w:rFonts w:hint="eastAsia" w:ascii="宋体" w:hAnsi="宋体" w:cs="黑体"/>
          <w:b/>
          <w:bCs/>
          <w:color w:val="auto"/>
          <w:kern w:val="0"/>
          <w:sz w:val="24"/>
          <w:lang w:eastAsia="zh-CN"/>
        </w:rPr>
        <w:t>初次报价</w:t>
      </w:r>
      <w:r>
        <w:rPr>
          <w:rFonts w:hint="eastAsia" w:ascii="宋体" w:hAnsi="宋体" w:cs="黑体"/>
          <w:b/>
          <w:bCs/>
          <w:color w:val="auto"/>
          <w:kern w:val="0"/>
          <w:sz w:val="24"/>
        </w:rPr>
        <w:t>总价</w:t>
      </w:r>
      <w:r>
        <w:rPr>
          <w:rFonts w:hint="eastAsia" w:ascii="宋体" w:hAnsi="宋体" w:cs="黑体"/>
          <w:b/>
          <w:bCs/>
          <w:color w:val="auto"/>
          <w:kern w:val="0"/>
          <w:sz w:val="24"/>
          <w:lang w:eastAsia="zh-CN"/>
        </w:rPr>
        <w:t>。</w:t>
      </w:r>
    </w:p>
    <w:p w14:paraId="1E70E42C">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最终报价为竞争性</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后递交，最终报价只报总价，分项明细报价按最终报价与初次报价的比率，同比例下调。供应商两次报价均不得超出采购预算（控制价）且最终报价不得超出初次报价，如若超出按无效响应处理。</w:t>
      </w:r>
    </w:p>
    <w:p w14:paraId="6446F7AD">
      <w:pPr>
        <w:spacing w:line="560" w:lineRule="exact"/>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5、报价币种为人民币，如果报价表大写金额与小写金额不一致，以大写的金额为准。</w:t>
      </w:r>
    </w:p>
    <w:p w14:paraId="6C4DE5BD">
      <w:pPr>
        <w:widowControl/>
        <w:shd w:val="clear" w:color="auto" w:fill="FFFFFF"/>
        <w:spacing w:line="360" w:lineRule="auto"/>
        <w:ind w:firstLine="480"/>
        <w:jc w:val="left"/>
        <w:rPr>
          <w:rFonts w:hint="default" w:ascii="宋体" w:hAnsi="宋体" w:eastAsia="宋体" w:cs="黑体"/>
          <w:b/>
          <w:color w:val="auto"/>
          <w:kern w:val="0"/>
          <w:sz w:val="24"/>
          <w:highlight w:val="none"/>
          <w:u w:val="single"/>
          <w:lang w:val="en-US" w:eastAsia="zh-CN"/>
        </w:rPr>
      </w:pPr>
      <w:r>
        <w:rPr>
          <w:rFonts w:hint="eastAsia" w:ascii="宋体" w:hAnsi="宋体"/>
          <w:b/>
          <w:color w:val="auto"/>
          <w:sz w:val="24"/>
          <w:highlight w:val="none"/>
          <w:lang w:val="en-US" w:eastAsia="zh-CN"/>
        </w:rPr>
        <w:t>6</w:t>
      </w:r>
      <w:r>
        <w:rPr>
          <w:rFonts w:hint="eastAsia" w:ascii="宋体" w:hAnsi="宋体"/>
          <w:b/>
          <w:color w:val="auto"/>
          <w:sz w:val="24"/>
          <w:highlight w:val="none"/>
        </w:rPr>
        <w:t>、</w:t>
      </w:r>
      <w:r>
        <w:rPr>
          <w:rFonts w:hint="eastAsia" w:ascii="宋体" w:hAnsi="宋体" w:cs="黑体"/>
          <w:b/>
          <w:bCs/>
          <w:color w:val="auto"/>
          <w:kern w:val="0"/>
          <w:sz w:val="24"/>
          <w:highlight w:val="none"/>
        </w:rPr>
        <w:t>采购预算为</w:t>
      </w:r>
      <w:r>
        <w:rPr>
          <w:rFonts w:hint="eastAsia" w:ascii="宋体" w:hAnsi="宋体" w:cs="黑体"/>
          <w:b/>
          <w:bCs/>
          <w:color w:val="auto"/>
          <w:kern w:val="0"/>
          <w:sz w:val="24"/>
          <w:highlight w:val="none"/>
          <w:lang w:eastAsia="zh-CN"/>
        </w:rPr>
        <w:t>1151570.33</w:t>
      </w:r>
      <w:r>
        <w:rPr>
          <w:rFonts w:hint="eastAsia" w:ascii="宋体" w:hAnsi="宋体" w:cs="黑体"/>
          <w:b/>
          <w:bCs/>
          <w:color w:val="auto"/>
          <w:kern w:val="0"/>
          <w:sz w:val="24"/>
          <w:highlight w:val="none"/>
        </w:rPr>
        <w:t>元</w:t>
      </w:r>
      <w:r>
        <w:rPr>
          <w:rFonts w:hint="eastAsia" w:ascii="宋体" w:hAnsi="宋体" w:cs="黑体"/>
          <w:b/>
          <w:bCs/>
          <w:color w:val="auto"/>
          <w:kern w:val="0"/>
          <w:sz w:val="24"/>
          <w:highlight w:val="none"/>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val="en-US" w:eastAsia="zh-CN"/>
        </w:rPr>
        <w:t xml:space="preserve">壹佰壹拾伍万壹仟伍佰柒拾元叁角叁分 </w:t>
      </w:r>
    </w:p>
    <w:p w14:paraId="3749A7C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w:t>
      </w:r>
      <w:r>
        <w:rPr>
          <w:rFonts w:hint="eastAsia" w:ascii="宋体" w:hAnsi="宋体"/>
          <w:color w:val="auto"/>
          <w:sz w:val="24"/>
        </w:rPr>
        <w:t>采购人不组织踏勘现场，供应商踏勘现场发生的费用自理，供应商自行负责在踏勘现场中所发生的人员伤亡和财产损失。</w:t>
      </w:r>
    </w:p>
    <w:p w14:paraId="0D13D434">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七</w:t>
      </w:r>
      <w:r>
        <w:rPr>
          <w:rFonts w:ascii="宋体" w:hAnsi="宋体"/>
          <w:b/>
          <w:bCs/>
          <w:color w:val="auto"/>
          <w:sz w:val="24"/>
        </w:rPr>
        <w:t>、</w:t>
      </w:r>
      <w:r>
        <w:rPr>
          <w:rFonts w:hint="eastAsia" w:ascii="宋体" w:hAnsi="宋体"/>
          <w:b/>
          <w:bCs/>
          <w:color w:val="auto"/>
          <w:sz w:val="24"/>
        </w:rPr>
        <w:t>磋商</w:t>
      </w:r>
      <w:r>
        <w:rPr>
          <w:rFonts w:ascii="宋体" w:hAnsi="宋体"/>
          <w:b/>
          <w:bCs/>
          <w:color w:val="auto"/>
          <w:sz w:val="24"/>
        </w:rPr>
        <w:t>有效期</w:t>
      </w:r>
      <w:r>
        <w:rPr>
          <w:rFonts w:hint="eastAsia" w:ascii="宋体" w:hAnsi="宋体"/>
          <w:b/>
          <w:bCs/>
          <w:color w:val="auto"/>
          <w:sz w:val="24"/>
        </w:rPr>
        <w:t>：</w:t>
      </w:r>
    </w:p>
    <w:p w14:paraId="7F91EDD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自递交</w:t>
      </w:r>
      <w:r>
        <w:rPr>
          <w:rFonts w:hint="eastAsia" w:ascii="宋体" w:hAnsi="宋体" w:cs="Courier New"/>
          <w:color w:val="auto"/>
          <w:sz w:val="24"/>
        </w:rPr>
        <w:t>磋商</w:t>
      </w:r>
      <w:r>
        <w:rPr>
          <w:rFonts w:hint="eastAsia" w:ascii="宋体" w:hAnsi="宋体"/>
          <w:color w:val="auto"/>
          <w:sz w:val="24"/>
        </w:rPr>
        <w:t>响应文件</w:t>
      </w:r>
      <w:r>
        <w:rPr>
          <w:rFonts w:ascii="宋体" w:hAnsi="宋体"/>
          <w:color w:val="auto"/>
          <w:sz w:val="24"/>
        </w:rPr>
        <w:t>截止之日</w:t>
      </w:r>
      <w:r>
        <w:rPr>
          <w:rFonts w:hint="eastAsia" w:ascii="宋体" w:hAnsi="宋体"/>
          <w:color w:val="auto"/>
          <w:sz w:val="24"/>
        </w:rPr>
        <w:t>起60个日历日。</w:t>
      </w:r>
    </w:p>
    <w:p w14:paraId="42CBD656">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八</w:t>
      </w:r>
      <w:r>
        <w:rPr>
          <w:rFonts w:ascii="宋体" w:hAnsi="宋体"/>
          <w:b/>
          <w:color w:val="auto"/>
          <w:sz w:val="24"/>
        </w:rPr>
        <w:t>、</w:t>
      </w:r>
      <w:r>
        <w:rPr>
          <w:rFonts w:hint="eastAsia" w:ascii="宋体" w:hAnsi="宋体"/>
          <w:b/>
          <w:color w:val="auto"/>
          <w:sz w:val="24"/>
        </w:rPr>
        <w:t>磋商</w:t>
      </w:r>
      <w:r>
        <w:rPr>
          <w:rFonts w:ascii="宋体" w:hAnsi="宋体"/>
          <w:b/>
          <w:color w:val="auto"/>
          <w:sz w:val="24"/>
        </w:rPr>
        <w:t>费用</w:t>
      </w:r>
      <w:r>
        <w:rPr>
          <w:rFonts w:hint="eastAsia" w:ascii="宋体" w:hAnsi="宋体"/>
          <w:b/>
          <w:color w:val="auto"/>
          <w:sz w:val="24"/>
        </w:rPr>
        <w:t>：</w:t>
      </w:r>
    </w:p>
    <w:p w14:paraId="17E56D0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sz w:val="24"/>
        </w:rPr>
      </w:pPr>
      <w:r>
        <w:rPr>
          <w:rFonts w:hint="eastAsia" w:ascii="宋体" w:hAnsi="宋体"/>
          <w:b w:val="0"/>
          <w:bCs w:val="0"/>
          <w:color w:val="auto"/>
          <w:sz w:val="24"/>
        </w:rPr>
        <w:t>1、无论报价过程中的方法和结果如何，各磋商响应方自行承担所有参与磋商的有关费用。</w:t>
      </w:r>
    </w:p>
    <w:p w14:paraId="35960B8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val="0"/>
          <w:color w:val="auto"/>
          <w:sz w:val="24"/>
          <w:highlight w:val="yellow"/>
        </w:rPr>
      </w:pPr>
      <w:r>
        <w:rPr>
          <w:rFonts w:hint="eastAsia" w:ascii="宋体" w:hAnsi="宋体"/>
          <w:b w:val="0"/>
          <w:bCs w:val="0"/>
          <w:color w:val="auto"/>
          <w:sz w:val="24"/>
        </w:rPr>
        <w:t>2</w:t>
      </w:r>
      <w:r>
        <w:rPr>
          <w:rFonts w:hint="eastAsia" w:ascii="宋体" w:hAnsi="宋体"/>
          <w:b w:val="0"/>
          <w:bCs w:val="0"/>
          <w:color w:val="auto"/>
          <w:sz w:val="24"/>
          <w:highlight w:val="none"/>
        </w:rPr>
        <w:t>、本次采购代理费由成交供应商支付，</w:t>
      </w:r>
      <w:r>
        <w:rPr>
          <w:rFonts w:hint="eastAsia" w:ascii="宋体" w:hAnsi="宋体"/>
          <w:b w:val="0"/>
          <w:bCs w:val="0"/>
          <w:color w:val="auto"/>
          <w:sz w:val="24"/>
          <w:highlight w:val="none"/>
          <w:lang w:eastAsia="zh-CN"/>
        </w:rPr>
        <w:t>采购代理费为</w:t>
      </w:r>
      <w:r>
        <w:rPr>
          <w:rFonts w:hint="eastAsia" w:ascii="宋体" w:hAnsi="宋体"/>
          <w:b w:val="0"/>
          <w:bCs w:val="0"/>
          <w:color w:val="auto"/>
          <w:sz w:val="24"/>
          <w:highlight w:val="none"/>
          <w:lang w:val="en-US" w:eastAsia="zh-CN"/>
        </w:rPr>
        <w:t>11060.00，</w:t>
      </w:r>
      <w:r>
        <w:rPr>
          <w:rFonts w:hint="eastAsia" w:ascii="宋体" w:hAnsi="宋体"/>
          <w:b w:val="0"/>
          <w:bCs w:val="0"/>
          <w:color w:val="auto"/>
          <w:sz w:val="24"/>
          <w:highlight w:val="none"/>
        </w:rPr>
        <w:t>成交通知书发出前，成交人从其账户一次性汇入代理机构指定账户。</w:t>
      </w:r>
    </w:p>
    <w:p w14:paraId="49EE010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bCs/>
          <w:color w:val="auto"/>
          <w:sz w:val="24"/>
          <w:highlight w:val="none"/>
        </w:rPr>
      </w:pPr>
      <w:r>
        <w:rPr>
          <w:rFonts w:hint="eastAsia" w:ascii="宋体" w:hAnsi="宋体"/>
          <w:b w:val="0"/>
          <w:bCs w:val="0"/>
          <w:color w:val="auto"/>
          <w:sz w:val="24"/>
          <w:highlight w:val="none"/>
          <w:lang w:val="en-US" w:eastAsia="zh-CN"/>
        </w:rPr>
        <w:t>3、本项目代收评审费3900.00元，</w:t>
      </w:r>
      <w:r>
        <w:rPr>
          <w:rFonts w:hint="eastAsia" w:ascii="宋体" w:hAnsi="宋体"/>
          <w:b w:val="0"/>
          <w:bCs w:val="0"/>
          <w:color w:val="auto"/>
          <w:sz w:val="24"/>
          <w:highlight w:val="none"/>
        </w:rPr>
        <w:t>成交通知书发出前，成交人从其账户一次性汇入代理机构指定账户。</w:t>
      </w:r>
    </w:p>
    <w:p w14:paraId="225C60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auto"/>
          <w:sz w:val="24"/>
        </w:rPr>
      </w:pPr>
      <w:r>
        <w:rPr>
          <w:rFonts w:hint="eastAsia" w:ascii="宋体" w:hAnsi="宋体"/>
          <w:b/>
          <w:bCs/>
          <w:color w:val="auto"/>
          <w:sz w:val="24"/>
        </w:rPr>
        <w:t>由成交供应商在领取成交通知书前一次性缴纳至本项目代理机构。</w:t>
      </w:r>
    </w:p>
    <w:p w14:paraId="67B2D6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highlight w:val="none"/>
        </w:rPr>
      </w:pPr>
      <w:r>
        <w:rPr>
          <w:rFonts w:hint="eastAsia" w:ascii="宋体" w:hAnsi="宋体" w:cs="黑体"/>
          <w:b/>
          <w:color w:val="auto"/>
          <w:kern w:val="0"/>
          <w:sz w:val="24"/>
          <w:highlight w:val="none"/>
        </w:rPr>
        <w:t>3、</w:t>
      </w:r>
      <w:r>
        <w:rPr>
          <w:rFonts w:hint="eastAsia" w:ascii="宋体" w:hAnsi="宋体" w:cs="黑体"/>
          <w:b/>
          <w:bCs/>
          <w:color w:val="auto"/>
          <w:kern w:val="0"/>
          <w:sz w:val="24"/>
          <w:highlight w:val="none"/>
        </w:rPr>
        <w:t>履约保证金：</w:t>
      </w:r>
      <w:r>
        <w:rPr>
          <w:rFonts w:hint="eastAsia" w:ascii="宋体" w:hAnsi="宋体" w:cs="黑体"/>
          <w:b/>
          <w:color w:val="auto"/>
          <w:kern w:val="0"/>
          <w:sz w:val="24"/>
          <w:highlight w:val="none"/>
        </w:rPr>
        <w:t>本项目不收取履约保证金。</w:t>
      </w:r>
    </w:p>
    <w:p w14:paraId="26C2EC3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auto"/>
          <w:sz w:val="24"/>
          <w:highlight w:val="yellow"/>
          <w:lang w:val="en-US" w:eastAsia="zh-CN"/>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r>
        <w:rPr>
          <w:rFonts w:hint="eastAsia" w:ascii="宋体" w:hAnsi="宋体" w:cs="宋体"/>
          <w:bCs/>
          <w:color w:val="auto"/>
          <w:sz w:val="24"/>
          <w:highlight w:val="none"/>
          <w:lang w:val="en-US" w:eastAsia="zh-CN"/>
        </w:rPr>
        <w:t>本项目无预付资金，工程竣工验收合格工程结算审核完成后付至审定金额的10%，剩余部分七年内付清。（工程最终结算造价以审计部门审定的造价为准）</w:t>
      </w:r>
      <w:r>
        <w:rPr>
          <w:rFonts w:hint="eastAsia" w:ascii="宋体" w:hAnsi="宋体"/>
          <w:b/>
          <w:color w:val="auto"/>
          <w:sz w:val="24"/>
          <w:highlight w:val="none"/>
          <w:lang w:val="en-US" w:eastAsia="zh-CN"/>
        </w:rPr>
        <w:t xml:space="preserve">       </w:t>
      </w:r>
    </w:p>
    <w:p w14:paraId="731B4E1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auto"/>
          <w:sz w:val="24"/>
        </w:rPr>
      </w:pPr>
      <w:r>
        <w:rPr>
          <w:rFonts w:hint="eastAsia" w:ascii="宋体" w:hAnsi="宋体"/>
          <w:b/>
          <w:color w:val="auto"/>
          <w:sz w:val="24"/>
        </w:rPr>
        <w:t>十、磋商</w:t>
      </w:r>
      <w:r>
        <w:rPr>
          <w:rFonts w:ascii="宋体" w:hAnsi="宋体"/>
          <w:b/>
          <w:color w:val="auto"/>
          <w:sz w:val="24"/>
        </w:rPr>
        <w:t>保证金</w:t>
      </w:r>
      <w:r>
        <w:rPr>
          <w:rFonts w:hint="eastAsia" w:ascii="宋体" w:hAnsi="宋体"/>
          <w:b/>
          <w:color w:val="auto"/>
          <w:sz w:val="24"/>
        </w:rPr>
        <w:t>：</w:t>
      </w:r>
    </w:p>
    <w:p w14:paraId="7196A59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auto"/>
          <w:sz w:val="24"/>
        </w:rPr>
      </w:pPr>
      <w:r>
        <w:rPr>
          <w:rFonts w:hint="eastAsia" w:ascii="宋体" w:hAnsi="宋体"/>
          <w:b/>
          <w:bCs/>
          <w:color w:val="auto"/>
          <w:sz w:val="24"/>
        </w:rPr>
        <w:t>根据《山东省财政厅关于取消政府采购投标保证金等有关事项的通知》（鲁财采〔2019〕40 号），本项目不收取</w:t>
      </w:r>
      <w:r>
        <w:rPr>
          <w:rFonts w:hint="eastAsia" w:ascii="宋体" w:hAnsi="宋体"/>
          <w:b/>
          <w:bCs/>
          <w:color w:val="auto"/>
          <w:sz w:val="24"/>
          <w:lang w:val="en-US" w:eastAsia="zh-CN"/>
        </w:rPr>
        <w:t>磋商</w:t>
      </w:r>
      <w:r>
        <w:rPr>
          <w:rFonts w:hint="eastAsia" w:ascii="宋体" w:hAnsi="宋体"/>
          <w:b/>
          <w:bCs/>
          <w:color w:val="auto"/>
          <w:sz w:val="24"/>
        </w:rPr>
        <w:t>保证金。</w:t>
      </w:r>
    </w:p>
    <w:p w14:paraId="3B70DF91">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十一</w:t>
      </w:r>
      <w:r>
        <w:rPr>
          <w:rFonts w:ascii="宋体" w:hAnsi="宋体"/>
          <w:b/>
          <w:color w:val="auto"/>
          <w:sz w:val="24"/>
        </w:rPr>
        <w:t>、无效</w:t>
      </w:r>
      <w:r>
        <w:rPr>
          <w:rFonts w:hint="eastAsia" w:ascii="宋体" w:hAnsi="宋体"/>
          <w:b/>
          <w:color w:val="auto"/>
          <w:sz w:val="24"/>
        </w:rPr>
        <w:t>磋商</w:t>
      </w:r>
      <w:r>
        <w:rPr>
          <w:rFonts w:ascii="宋体" w:hAnsi="宋体"/>
          <w:b/>
          <w:color w:val="auto"/>
          <w:sz w:val="24"/>
        </w:rPr>
        <w:t>响应文件</w:t>
      </w:r>
      <w:r>
        <w:rPr>
          <w:rFonts w:hint="eastAsia" w:ascii="宋体" w:hAnsi="宋体"/>
          <w:b/>
          <w:color w:val="auto"/>
          <w:sz w:val="24"/>
        </w:rPr>
        <w:t>：</w:t>
      </w:r>
    </w:p>
    <w:p w14:paraId="1B4C694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凡具有下列情形之一的，作无效</w:t>
      </w:r>
      <w:r>
        <w:rPr>
          <w:rFonts w:hint="eastAsia" w:ascii="宋体" w:hAnsi="宋体" w:cs="Courier New"/>
          <w:color w:val="auto"/>
          <w:sz w:val="24"/>
        </w:rPr>
        <w:t>磋商</w:t>
      </w:r>
      <w:r>
        <w:rPr>
          <w:rFonts w:hint="eastAsia" w:ascii="宋体" w:hAnsi="宋体"/>
          <w:color w:val="auto"/>
          <w:sz w:val="24"/>
        </w:rPr>
        <w:t>响应文件：</w:t>
      </w:r>
    </w:p>
    <w:p w14:paraId="21BCAEBA">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1、资格证明文件不全或无效的,或者不符合采购文件标明的资格要求的；</w:t>
      </w:r>
    </w:p>
    <w:p w14:paraId="431F614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、提供的有关资格、资质证明文件不真实,提供虚假报价材料的；</w:t>
      </w:r>
    </w:p>
    <w:p w14:paraId="2C85CB87">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、供应商未按磋商文件格式规定盖章、签字的；</w:t>
      </w:r>
    </w:p>
    <w:p w14:paraId="6314F8A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、工期、质量等不满足磋商文件要求的；</w:t>
      </w:r>
    </w:p>
    <w:p w14:paraId="38028FA3">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、磋商响应方的初次报价或最终报价超过采购预算的,或者最终报价超出初次报价的；</w:t>
      </w:r>
    </w:p>
    <w:p w14:paraId="2730A60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、不响应或者擅自改变采购文件要求或者响应文件有采购人不能接受的附加条件的；</w:t>
      </w:r>
    </w:p>
    <w:p w14:paraId="29F89B1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、磋商响应方串通报价的；</w:t>
      </w:r>
    </w:p>
    <w:p w14:paraId="6540BE4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、磋商响应方向采购人、采购代理机构、评审专家提供不正当利益的；</w:t>
      </w:r>
    </w:p>
    <w:p w14:paraId="284C28A5">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、不同磋商响应方的响应文件由同一单位或者个人编制的；</w:t>
      </w:r>
    </w:p>
    <w:p w14:paraId="3349AD23">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、不同磋商响应方委托同一单位或者个人办理磋商事宜；</w:t>
      </w:r>
    </w:p>
    <w:p w14:paraId="7F97F306">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、不同响应供应商的</w:t>
      </w:r>
      <w:r>
        <w:rPr>
          <w:rFonts w:hint="eastAsia" w:ascii="宋体" w:hAnsi="宋体" w:cs="宋体"/>
          <w:color w:val="auto"/>
          <w:sz w:val="24"/>
          <w:lang w:eastAsia="zh-CN"/>
        </w:rPr>
        <w:t>响应</w:t>
      </w:r>
      <w:r>
        <w:rPr>
          <w:rFonts w:hint="eastAsia" w:ascii="宋体" w:hAnsi="宋体" w:cs="宋体"/>
          <w:color w:val="auto"/>
          <w:sz w:val="24"/>
        </w:rPr>
        <w:t>文件载明的项目管理成员为同一人；</w:t>
      </w:r>
    </w:p>
    <w:p w14:paraId="2A70227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、法律、法规规定的其他情况。</w:t>
      </w:r>
    </w:p>
    <w:p w14:paraId="7FA67FD5">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十二、建设工地扬尘污染防治</w:t>
      </w:r>
    </w:p>
    <w:p w14:paraId="37A1C670">
      <w:pPr>
        <w:tabs>
          <w:tab w:val="left" w:pos="315"/>
        </w:tabs>
        <w:spacing w:line="540" w:lineRule="exact"/>
        <w:ind w:firstLine="482" w:firstLineChars="200"/>
        <w:rPr>
          <w:rFonts w:hint="eastAsia" w:ascii="宋体" w:hAnsi="宋体" w:cs="Times New Roman"/>
          <w:b/>
          <w:color w:val="auto"/>
          <w:sz w:val="24"/>
          <w:highlight w:val="none"/>
        </w:rPr>
      </w:pPr>
      <w:r>
        <w:rPr>
          <w:rFonts w:hint="eastAsia" w:ascii="宋体" w:hAnsi="宋体" w:cs="Times New Roman"/>
          <w:b/>
          <w:color w:val="auto"/>
          <w:sz w:val="24"/>
          <w:highlight w:val="none"/>
        </w:rPr>
        <w:t>执行《济宁市建筑工地扬尘治理工作导则》（ 二〇二〇年十一月济宁市住房和城乡建筑局发布）。</w:t>
      </w:r>
    </w:p>
    <w:p w14:paraId="13E96529">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十三、严禁在施工现场搅拌砂浆、混凝土的通知</w:t>
      </w:r>
    </w:p>
    <w:p w14:paraId="60C50825">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14:paraId="1B124366">
      <w:pPr>
        <w:tabs>
          <w:tab w:val="left" w:pos="315"/>
        </w:tabs>
        <w:spacing w:line="5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根据济建【2007】103号及邹建字【2007】35号规定城市区内禁止现场搅拌混凝土，使用商品混凝土，本项目供应商报价时应按商品混凝土进行报价。</w:t>
      </w:r>
    </w:p>
    <w:p w14:paraId="77D3CBA0">
      <w:pPr>
        <w:tabs>
          <w:tab w:val="left" w:pos="315"/>
        </w:tabs>
        <w:spacing w:line="540" w:lineRule="exact"/>
        <w:ind w:firstLine="482" w:firstLineChars="200"/>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十四、本项目禁止成交供应商将承包的工程进行转包、违法分包。</w:t>
      </w:r>
    </w:p>
    <w:p w14:paraId="13EE731D">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w:t>
      </w:r>
      <w:r>
        <w:rPr>
          <w:rFonts w:hint="eastAsia" w:ascii="宋体" w:hAnsi="宋体"/>
          <w:b/>
          <w:color w:val="auto"/>
          <w:sz w:val="24"/>
          <w:lang w:val="en-US" w:eastAsia="zh-CN"/>
        </w:rPr>
        <w:t>五</w:t>
      </w:r>
      <w:r>
        <w:rPr>
          <w:rFonts w:hint="eastAsia" w:ascii="宋体" w:hAnsi="宋体"/>
          <w:b/>
          <w:color w:val="auto"/>
          <w:sz w:val="24"/>
        </w:rPr>
        <w:t>、质疑和投诉：</w:t>
      </w:r>
    </w:p>
    <w:p w14:paraId="67357BE4">
      <w:pPr>
        <w:widowControl/>
        <w:shd w:val="clear" w:color="auto" w:fill="FFFFFF"/>
        <w:spacing w:line="540" w:lineRule="exact"/>
        <w:ind w:firstLine="482"/>
        <w:jc w:val="left"/>
        <w:rPr>
          <w:rFonts w:ascii="宋体" w:hAnsi="宋体" w:cs="黑体"/>
          <w:color w:val="auto"/>
          <w:kern w:val="0"/>
          <w:sz w:val="24"/>
        </w:rPr>
      </w:pPr>
      <w:r>
        <w:rPr>
          <w:rFonts w:hint="eastAsia" w:ascii="宋体" w:hAnsi="宋体" w:cs="黑体"/>
          <w:color w:val="auto"/>
          <w:kern w:val="0"/>
          <w:sz w:val="24"/>
        </w:rPr>
        <w:t>质疑：参加磋商的供应商认为采购文件、采购过程和成交结果使自己的合法权益受到损害的，有权依法向采购人或采购代理机构提出质疑。</w:t>
      </w:r>
    </w:p>
    <w:p w14:paraId="789E3096">
      <w:pPr>
        <w:spacing w:line="540" w:lineRule="exact"/>
        <w:ind w:firstLine="482"/>
        <w:rPr>
          <w:rFonts w:ascii="宋体" w:hAnsi="宋体" w:cs="黑体"/>
          <w:color w:val="auto"/>
          <w:kern w:val="0"/>
          <w:sz w:val="24"/>
        </w:rPr>
      </w:pPr>
      <w:r>
        <w:rPr>
          <w:rFonts w:hint="eastAsia" w:ascii="宋体" w:hAnsi="宋体" w:cs="黑体"/>
          <w:color w:val="auto"/>
          <w:kern w:val="0"/>
          <w:sz w:val="24"/>
        </w:rPr>
        <w:t>投诉：参加磋商的供应商对采购人的质疑答复不满意，或者采购人未在规定期限内作出答复的，供应商可以在答复期满后可以向相关行政主管部门投诉。</w:t>
      </w:r>
    </w:p>
    <w:p w14:paraId="51268B53">
      <w:pPr>
        <w:spacing w:line="360" w:lineRule="auto"/>
        <w:jc w:val="center"/>
        <w:outlineLvl w:val="0"/>
        <w:rPr>
          <w:rFonts w:ascii="宋体" w:hAnsi="宋体"/>
          <w:b/>
          <w:color w:val="auto"/>
          <w:sz w:val="32"/>
          <w:szCs w:val="32"/>
        </w:rPr>
      </w:pPr>
      <w:r>
        <w:rPr>
          <w:rFonts w:ascii="宋体" w:hAnsi="宋体"/>
          <w:b/>
          <w:color w:val="auto"/>
          <w:sz w:val="32"/>
          <w:szCs w:val="32"/>
        </w:rPr>
        <w:br w:type="page"/>
      </w:r>
      <w:bookmarkStart w:id="10" w:name="_Toc11977"/>
      <w:bookmarkStart w:id="11" w:name="_Toc5023"/>
      <w:bookmarkStart w:id="12" w:name="_Toc20347"/>
      <w:r>
        <w:rPr>
          <w:rStyle w:val="55"/>
          <w:rFonts w:hint="eastAsia" w:ascii="宋体" w:hAnsi="宋体" w:eastAsia="宋体" w:cs="宋体"/>
          <w:color w:val="auto"/>
          <w:sz w:val="24"/>
          <w:szCs w:val="24"/>
          <w:lang w:val="en-US" w:eastAsia="zh-CN"/>
        </w:rPr>
        <w:t>第三部分  磋商组织、步骤与评审方法</w:t>
      </w:r>
      <w:bookmarkEnd w:id="10"/>
      <w:bookmarkEnd w:id="11"/>
      <w:bookmarkEnd w:id="12"/>
    </w:p>
    <w:p w14:paraId="0DF3A551">
      <w:pPr>
        <w:spacing w:line="360" w:lineRule="auto"/>
        <w:rPr>
          <w:rFonts w:ascii="宋体" w:hAnsi="宋体"/>
          <w:b/>
          <w:color w:val="auto"/>
          <w:sz w:val="24"/>
        </w:rPr>
      </w:pPr>
      <w:r>
        <w:rPr>
          <w:rFonts w:hint="eastAsia" w:ascii="宋体" w:hAnsi="宋体"/>
          <w:b/>
          <w:color w:val="auto"/>
          <w:sz w:val="24"/>
        </w:rPr>
        <w:t>一、磋商组织：</w:t>
      </w:r>
    </w:p>
    <w:p w14:paraId="6FD6DE94">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1、采购人在磋商文件规定的时间和地点组织磋商，磋商响应方须派代表参加；</w:t>
      </w:r>
    </w:p>
    <w:p w14:paraId="3D7EF4AC">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2、磋商小组由三人（含）以上单数的人员组成，其中专家的人数不少于成员总数的三分之二，磋商小组对磋商响应文件进行审查、质疑、评估和比较。</w:t>
      </w:r>
    </w:p>
    <w:p w14:paraId="1EED71C5">
      <w:pPr>
        <w:spacing w:line="360" w:lineRule="auto"/>
        <w:rPr>
          <w:rFonts w:ascii="宋体" w:hAnsi="宋体"/>
          <w:b/>
          <w:color w:val="auto"/>
          <w:sz w:val="24"/>
        </w:rPr>
      </w:pPr>
      <w:r>
        <w:rPr>
          <w:rFonts w:hint="eastAsia" w:ascii="宋体" w:hAnsi="宋体"/>
          <w:b/>
          <w:color w:val="auto"/>
          <w:sz w:val="24"/>
        </w:rPr>
        <w:t>二、磋商步骤：</w:t>
      </w:r>
    </w:p>
    <w:p w14:paraId="5041CC3F">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1、检查磋商响应文件密封情况：各磋商响应方对自己递交的磋商响应文件密封情况进行检查；</w:t>
      </w:r>
    </w:p>
    <w:p w14:paraId="2BB657FA">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2、磋商响应文件初步审核：磋商小组对磋商响应文件进行符合性审核；</w:t>
      </w:r>
    </w:p>
    <w:p w14:paraId="09B98170">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3、磋商小组所有成员集中根据磋商需要与单一供应商分别磋商；</w:t>
      </w:r>
    </w:p>
    <w:p w14:paraId="03BB1CAC">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4、磋商结束后，所有实质性响应的供应商进行最终报价；</w:t>
      </w:r>
    </w:p>
    <w:p w14:paraId="0C5EE918">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5、磋商小组按照如下评审办法对最终报价后所有实质性响应的供应商进行评审，推荐3名成交候选供应商。</w:t>
      </w:r>
    </w:p>
    <w:p w14:paraId="39180DF9">
      <w:pPr>
        <w:spacing w:line="360" w:lineRule="auto"/>
        <w:rPr>
          <w:rFonts w:ascii="宋体" w:hAnsi="宋体"/>
          <w:b/>
          <w:color w:val="auto"/>
          <w:sz w:val="24"/>
        </w:rPr>
      </w:pPr>
      <w:r>
        <w:rPr>
          <w:rFonts w:hint="eastAsia" w:ascii="宋体" w:hAnsi="宋体"/>
          <w:b/>
          <w:color w:val="auto"/>
          <w:sz w:val="24"/>
        </w:rPr>
        <w:t>三、</w:t>
      </w:r>
      <w:r>
        <w:rPr>
          <w:rFonts w:ascii="宋体" w:hAnsi="宋体"/>
          <w:b/>
          <w:color w:val="auto"/>
          <w:sz w:val="24"/>
        </w:rPr>
        <w:t>评审</w:t>
      </w:r>
      <w:r>
        <w:rPr>
          <w:rFonts w:hint="eastAsia" w:ascii="宋体" w:hAnsi="宋体"/>
          <w:b/>
          <w:color w:val="auto"/>
          <w:sz w:val="24"/>
        </w:rPr>
        <w:t>方法：</w:t>
      </w:r>
    </w:p>
    <w:p w14:paraId="73B62628">
      <w:pPr>
        <w:tabs>
          <w:tab w:val="left" w:pos="0"/>
          <w:tab w:val="left" w:pos="885"/>
          <w:tab w:val="left" w:pos="990"/>
        </w:tabs>
        <w:spacing w:line="360" w:lineRule="auto"/>
        <w:ind w:firstLine="566" w:firstLineChars="236"/>
        <w:rPr>
          <w:rFonts w:hint="eastAsia" w:ascii="宋体" w:hAnsi="宋体"/>
          <w:color w:val="auto"/>
          <w:sz w:val="24"/>
        </w:rPr>
      </w:pPr>
      <w:r>
        <w:rPr>
          <w:rFonts w:hint="eastAsia" w:ascii="宋体" w:hAnsi="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9"/>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2387"/>
        <w:gridCol w:w="1081"/>
        <w:gridCol w:w="6054"/>
      </w:tblGrid>
      <w:tr w14:paraId="43F4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71" w:type="dxa"/>
            <w:gridSpan w:val="2"/>
            <w:tcBorders>
              <w:tl2br w:val="nil"/>
              <w:tr2bl w:val="nil"/>
            </w:tcBorders>
            <w:vAlign w:val="center"/>
          </w:tcPr>
          <w:p w14:paraId="3360A3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r>
              <w:rPr>
                <w:rFonts w:hint="eastAsia" w:ascii="宋体" w:hAnsi="宋体" w:eastAsia="宋体" w:cs="宋体"/>
                <w:b w:val="0"/>
                <w:bCs/>
                <w:color w:val="auto"/>
                <w:sz w:val="24"/>
                <w:szCs w:val="24"/>
                <w:highlight w:val="none"/>
              </w:rPr>
              <w:t>评分因素</w:t>
            </w:r>
          </w:p>
        </w:tc>
        <w:tc>
          <w:tcPr>
            <w:tcW w:w="1081" w:type="dxa"/>
            <w:tcBorders>
              <w:tl2br w:val="nil"/>
              <w:tr2bl w:val="nil"/>
            </w:tcBorders>
            <w:vAlign w:val="center"/>
          </w:tcPr>
          <w:p w14:paraId="22FC64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满分</w:t>
            </w:r>
          </w:p>
        </w:tc>
        <w:tc>
          <w:tcPr>
            <w:tcW w:w="6054" w:type="dxa"/>
            <w:tcBorders>
              <w:tl2br w:val="nil"/>
              <w:tr2bl w:val="nil"/>
            </w:tcBorders>
            <w:vAlign w:val="center"/>
          </w:tcPr>
          <w:p w14:paraId="72B2A9C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评分标准</w:t>
            </w:r>
          </w:p>
        </w:tc>
      </w:tr>
      <w:tr w14:paraId="7907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EDC76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w:t>
            </w:r>
          </w:p>
        </w:tc>
        <w:tc>
          <w:tcPr>
            <w:tcW w:w="2387" w:type="dxa"/>
            <w:tcBorders>
              <w:tl2br w:val="nil"/>
              <w:tr2bl w:val="nil"/>
            </w:tcBorders>
            <w:vAlign w:val="center"/>
          </w:tcPr>
          <w:p w14:paraId="682BEB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报价得分</w:t>
            </w:r>
          </w:p>
        </w:tc>
        <w:tc>
          <w:tcPr>
            <w:tcW w:w="1081" w:type="dxa"/>
            <w:tcBorders>
              <w:tl2br w:val="nil"/>
              <w:tr2bl w:val="nil"/>
            </w:tcBorders>
            <w:vAlign w:val="center"/>
          </w:tcPr>
          <w:p w14:paraId="409557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30</w:t>
            </w:r>
            <w:r>
              <w:rPr>
                <w:rFonts w:hint="eastAsia" w:ascii="宋体" w:hAnsi="宋体" w:eastAsia="宋体" w:cs="宋体"/>
                <w:b/>
                <w:bCs w:val="0"/>
                <w:color w:val="auto"/>
                <w:sz w:val="24"/>
                <w:szCs w:val="24"/>
                <w:highlight w:val="none"/>
              </w:rPr>
              <w:t>分</w:t>
            </w:r>
          </w:p>
        </w:tc>
        <w:tc>
          <w:tcPr>
            <w:tcW w:w="6054" w:type="dxa"/>
            <w:tcBorders>
              <w:tl2br w:val="nil"/>
              <w:tr2bl w:val="nil"/>
            </w:tcBorders>
            <w:vAlign w:val="center"/>
          </w:tcPr>
          <w:p w14:paraId="1FE23E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分。其他供应商的报价得分统一按照下列公式计算：磋商报价得分=（磋商基准价/最终磋商报价）</w:t>
            </w:r>
            <w:r>
              <w:rPr>
                <w:rFonts w:hint="eastAsia" w:ascii="宋体" w:hAnsi="宋体" w:eastAsia="宋体" w:cs="宋体"/>
                <w:b w:val="0"/>
                <w:bCs/>
                <w:color w:val="auto"/>
                <w:sz w:val="24"/>
                <w:szCs w:val="24"/>
                <w:highlight w:val="none"/>
                <w:lang w:val="en-US" w:eastAsia="zh-CN"/>
              </w:rPr>
              <w:t>*30%*100</w:t>
            </w:r>
            <w:r>
              <w:rPr>
                <w:rFonts w:hint="eastAsia" w:ascii="宋体" w:hAnsi="宋体" w:eastAsia="宋体" w:cs="宋体"/>
                <w:b w:val="0"/>
                <w:bCs/>
                <w:color w:val="auto"/>
                <w:sz w:val="24"/>
                <w:szCs w:val="24"/>
                <w:highlight w:val="none"/>
              </w:rPr>
              <w:t>。</w:t>
            </w:r>
          </w:p>
        </w:tc>
      </w:tr>
      <w:tr w14:paraId="2412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84" w:type="dxa"/>
            <w:tcBorders>
              <w:tl2br w:val="nil"/>
              <w:tr2bl w:val="nil"/>
            </w:tcBorders>
            <w:vAlign w:val="center"/>
          </w:tcPr>
          <w:p w14:paraId="451BD1F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二</w:t>
            </w:r>
          </w:p>
        </w:tc>
        <w:tc>
          <w:tcPr>
            <w:tcW w:w="2387" w:type="dxa"/>
            <w:tcBorders>
              <w:tl2br w:val="nil"/>
              <w:tr2bl w:val="nil"/>
            </w:tcBorders>
            <w:vAlign w:val="center"/>
          </w:tcPr>
          <w:p w14:paraId="7405E25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施工组织设计</w:t>
            </w:r>
          </w:p>
        </w:tc>
        <w:tc>
          <w:tcPr>
            <w:tcW w:w="1081" w:type="dxa"/>
            <w:tcBorders>
              <w:tl2br w:val="nil"/>
              <w:tr2bl w:val="nil"/>
            </w:tcBorders>
            <w:vAlign w:val="center"/>
          </w:tcPr>
          <w:p w14:paraId="454D3DE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color w:val="auto"/>
                <w:sz w:val="24"/>
                <w:szCs w:val="24"/>
                <w:highlight w:val="none"/>
                <w:lang w:val="en-US" w:eastAsia="zh-CN"/>
              </w:rPr>
              <w:t>55</w:t>
            </w:r>
            <w:r>
              <w:rPr>
                <w:rFonts w:hint="eastAsia" w:ascii="宋体" w:hAnsi="宋体" w:eastAsia="宋体" w:cs="宋体"/>
                <w:b/>
                <w:color w:val="auto"/>
                <w:sz w:val="24"/>
                <w:szCs w:val="24"/>
                <w:highlight w:val="none"/>
              </w:rPr>
              <w:t>分</w:t>
            </w:r>
          </w:p>
        </w:tc>
        <w:tc>
          <w:tcPr>
            <w:tcW w:w="6054" w:type="dxa"/>
            <w:tcBorders>
              <w:tl2br w:val="nil"/>
              <w:tr2bl w:val="nil"/>
            </w:tcBorders>
            <w:vAlign w:val="center"/>
          </w:tcPr>
          <w:p w14:paraId="6F59C76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p>
        </w:tc>
      </w:tr>
      <w:tr w14:paraId="4A74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781D099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2387" w:type="dxa"/>
            <w:tcBorders>
              <w:tl2br w:val="nil"/>
              <w:tr2bl w:val="nil"/>
            </w:tcBorders>
            <w:vAlign w:val="center"/>
          </w:tcPr>
          <w:p w14:paraId="3781E42E">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针对项目特点内容规范完整性和整体编制水平</w:t>
            </w:r>
          </w:p>
        </w:tc>
        <w:tc>
          <w:tcPr>
            <w:tcW w:w="1081" w:type="dxa"/>
            <w:tcBorders>
              <w:tl2br w:val="nil"/>
              <w:tr2bl w:val="nil"/>
            </w:tcBorders>
            <w:vAlign w:val="center"/>
          </w:tcPr>
          <w:p w14:paraId="01BF0F7E">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6分</w:t>
            </w:r>
          </w:p>
        </w:tc>
        <w:tc>
          <w:tcPr>
            <w:tcW w:w="6054" w:type="dxa"/>
            <w:tcBorders>
              <w:tl2br w:val="nil"/>
              <w:tr2bl w:val="nil"/>
            </w:tcBorders>
            <w:vAlign w:val="top"/>
          </w:tcPr>
          <w:p w14:paraId="46C7AC90">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根据对工程整体有深刻认识，施工组织设计内容针对项目特点完整规范、表述清晰，具体可行和整体编制水平合理得</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58D0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84" w:type="dxa"/>
            <w:tcBorders>
              <w:tl2br w:val="nil"/>
              <w:tr2bl w:val="nil"/>
            </w:tcBorders>
            <w:vAlign w:val="center"/>
          </w:tcPr>
          <w:p w14:paraId="0D16D97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2387" w:type="dxa"/>
            <w:tcBorders>
              <w:tl2br w:val="nil"/>
              <w:tr2bl w:val="nil"/>
            </w:tcBorders>
            <w:vAlign w:val="center"/>
          </w:tcPr>
          <w:p w14:paraId="78A0436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施工方案与技术措施</w:t>
            </w:r>
          </w:p>
        </w:tc>
        <w:tc>
          <w:tcPr>
            <w:tcW w:w="1081" w:type="dxa"/>
            <w:tcBorders>
              <w:tl2br w:val="nil"/>
              <w:tr2bl w:val="nil"/>
            </w:tcBorders>
            <w:vAlign w:val="center"/>
          </w:tcPr>
          <w:p w14:paraId="745279F3">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5分</w:t>
            </w:r>
          </w:p>
        </w:tc>
        <w:tc>
          <w:tcPr>
            <w:tcW w:w="6054" w:type="dxa"/>
            <w:tcBorders>
              <w:tl2br w:val="nil"/>
              <w:tr2bl w:val="nil"/>
            </w:tcBorders>
            <w:vAlign w:val="top"/>
          </w:tcPr>
          <w:p w14:paraId="21A6354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根据施工进度计划编排合理，可行、关键路线清晰准确和各阶段进度的保证措施可靠、内容齐全可行</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得3分；根据其合理性、详细性较差得1分；</w:t>
            </w:r>
            <w:r>
              <w:rPr>
                <w:rFonts w:hint="eastAsia" w:ascii="宋体" w:hAnsi="宋体" w:eastAsia="宋体" w:cs="宋体"/>
                <w:b w:val="0"/>
                <w:bCs/>
                <w:color w:val="auto"/>
                <w:sz w:val="24"/>
                <w:szCs w:val="24"/>
                <w:highlight w:val="none"/>
              </w:rPr>
              <w:t>缺项不得分。</w:t>
            </w:r>
          </w:p>
        </w:tc>
      </w:tr>
      <w:tr w14:paraId="2D1C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584" w:type="dxa"/>
            <w:tcBorders>
              <w:tl2br w:val="nil"/>
              <w:tr2bl w:val="nil"/>
            </w:tcBorders>
            <w:vAlign w:val="center"/>
          </w:tcPr>
          <w:p w14:paraId="1958CF6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2387" w:type="dxa"/>
            <w:tcBorders>
              <w:tl2br w:val="nil"/>
              <w:tr2bl w:val="nil"/>
            </w:tcBorders>
            <w:vAlign w:val="center"/>
          </w:tcPr>
          <w:p w14:paraId="3CC1D9EE">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质量管理体系与措施</w:t>
            </w:r>
          </w:p>
        </w:tc>
        <w:tc>
          <w:tcPr>
            <w:tcW w:w="1081" w:type="dxa"/>
            <w:tcBorders>
              <w:tl2br w:val="nil"/>
              <w:tr2bl w:val="nil"/>
            </w:tcBorders>
            <w:vAlign w:val="center"/>
          </w:tcPr>
          <w:p w14:paraId="280DE077">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6分</w:t>
            </w:r>
          </w:p>
        </w:tc>
        <w:tc>
          <w:tcPr>
            <w:tcW w:w="6054" w:type="dxa"/>
            <w:tcBorders>
              <w:tl2br w:val="nil"/>
              <w:tr2bl w:val="nil"/>
            </w:tcBorders>
            <w:vAlign w:val="top"/>
          </w:tcPr>
          <w:p w14:paraId="0D3ABA65">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根据体系完整、内容齐全、安排合理、针对项目特点措施先进可行、通病治理措施具体可靠</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color w:val="auto"/>
                <w:sz w:val="24"/>
                <w:szCs w:val="24"/>
                <w:highlight w:val="none"/>
              </w:rPr>
              <w:t>缺项不得分。</w:t>
            </w:r>
          </w:p>
        </w:tc>
      </w:tr>
      <w:tr w14:paraId="5CD6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0F8FE7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2387" w:type="dxa"/>
            <w:tcBorders>
              <w:tl2br w:val="nil"/>
              <w:tr2bl w:val="nil"/>
            </w:tcBorders>
            <w:vAlign w:val="center"/>
          </w:tcPr>
          <w:p w14:paraId="234DBC4D">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安全管理体系与措施</w:t>
            </w:r>
          </w:p>
        </w:tc>
        <w:tc>
          <w:tcPr>
            <w:tcW w:w="1081" w:type="dxa"/>
            <w:tcBorders>
              <w:tl2br w:val="nil"/>
              <w:tr2bl w:val="nil"/>
            </w:tcBorders>
            <w:vAlign w:val="center"/>
          </w:tcPr>
          <w:p w14:paraId="41B6F771">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6分</w:t>
            </w:r>
          </w:p>
        </w:tc>
        <w:tc>
          <w:tcPr>
            <w:tcW w:w="6054" w:type="dxa"/>
            <w:tcBorders>
              <w:tl2br w:val="nil"/>
              <w:tr2bl w:val="nil"/>
            </w:tcBorders>
            <w:vAlign w:val="top"/>
          </w:tcPr>
          <w:p w14:paraId="23564B46">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根据体系完整、内容齐全、安排恰当、措施针对项目实际情况规范具体完整、应急救援预案可行得</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103E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41FD26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2387" w:type="dxa"/>
            <w:tcBorders>
              <w:tl2br w:val="nil"/>
              <w:tr2bl w:val="nil"/>
            </w:tcBorders>
            <w:vAlign w:val="center"/>
          </w:tcPr>
          <w:p w14:paraId="7DC2703C">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工程进度计划与措施（附施工进度横道图或网络图）</w:t>
            </w:r>
          </w:p>
        </w:tc>
        <w:tc>
          <w:tcPr>
            <w:tcW w:w="1081" w:type="dxa"/>
            <w:tcBorders>
              <w:tl2br w:val="nil"/>
              <w:tr2bl w:val="nil"/>
            </w:tcBorders>
            <w:vAlign w:val="center"/>
          </w:tcPr>
          <w:p w14:paraId="3AE1F4C3">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5分</w:t>
            </w:r>
          </w:p>
        </w:tc>
        <w:tc>
          <w:tcPr>
            <w:tcW w:w="6054" w:type="dxa"/>
            <w:tcBorders>
              <w:tl2br w:val="nil"/>
              <w:tr2bl w:val="nil"/>
            </w:tcBorders>
            <w:vAlign w:val="center"/>
          </w:tcPr>
          <w:p w14:paraId="0BCE6CCC">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根据体系完整、内容齐全、安排恰当、措施可行程度合理得</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得3分；根据其合理性、详细性较差得1分；</w:t>
            </w:r>
            <w:r>
              <w:rPr>
                <w:rFonts w:hint="eastAsia" w:ascii="宋体" w:hAnsi="宋体" w:eastAsia="宋体" w:cs="宋体"/>
                <w:b w:val="0"/>
                <w:bCs/>
                <w:color w:val="auto"/>
                <w:sz w:val="24"/>
                <w:szCs w:val="24"/>
                <w:highlight w:val="none"/>
                <w:lang w:val="en-US" w:eastAsia="zh-CN"/>
              </w:rPr>
              <w:t>缺项不得分。</w:t>
            </w:r>
          </w:p>
        </w:tc>
      </w:tr>
      <w:tr w14:paraId="7DB7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6AF8E01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2387" w:type="dxa"/>
            <w:tcBorders>
              <w:tl2br w:val="nil"/>
              <w:tr2bl w:val="nil"/>
            </w:tcBorders>
            <w:vAlign w:val="center"/>
          </w:tcPr>
          <w:p w14:paraId="1324AA35">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环保管理体系与措施</w:t>
            </w:r>
          </w:p>
        </w:tc>
        <w:tc>
          <w:tcPr>
            <w:tcW w:w="1081" w:type="dxa"/>
            <w:tcBorders>
              <w:tl2br w:val="nil"/>
              <w:tr2bl w:val="nil"/>
            </w:tcBorders>
            <w:vAlign w:val="center"/>
          </w:tcPr>
          <w:p w14:paraId="03A75BC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6分</w:t>
            </w:r>
          </w:p>
        </w:tc>
        <w:tc>
          <w:tcPr>
            <w:tcW w:w="6054" w:type="dxa"/>
            <w:tcBorders>
              <w:tl2br w:val="nil"/>
              <w:tr2bl w:val="nil"/>
            </w:tcBorders>
            <w:vAlign w:val="top"/>
          </w:tcPr>
          <w:p w14:paraId="718A299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根据体系完整、内容齐全、安排恰当、针对项目实际情况措施可行程度合理得</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4D0D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4" w:type="dxa"/>
            <w:tcBorders>
              <w:tl2br w:val="nil"/>
              <w:tr2bl w:val="nil"/>
            </w:tcBorders>
            <w:vAlign w:val="center"/>
          </w:tcPr>
          <w:p w14:paraId="7AB9339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7</w:t>
            </w:r>
          </w:p>
        </w:tc>
        <w:tc>
          <w:tcPr>
            <w:tcW w:w="2387" w:type="dxa"/>
            <w:tcBorders>
              <w:tl2br w:val="nil"/>
              <w:tr2bl w:val="nil"/>
            </w:tcBorders>
            <w:vAlign w:val="center"/>
          </w:tcPr>
          <w:p w14:paraId="58710592">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文明管理体系与措施</w:t>
            </w:r>
          </w:p>
        </w:tc>
        <w:tc>
          <w:tcPr>
            <w:tcW w:w="1081" w:type="dxa"/>
            <w:tcBorders>
              <w:tl2br w:val="nil"/>
              <w:tr2bl w:val="nil"/>
            </w:tcBorders>
            <w:vAlign w:val="center"/>
          </w:tcPr>
          <w:p w14:paraId="3D283A9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5分</w:t>
            </w:r>
          </w:p>
        </w:tc>
        <w:tc>
          <w:tcPr>
            <w:tcW w:w="6054" w:type="dxa"/>
            <w:tcBorders>
              <w:tl2br w:val="nil"/>
              <w:tr2bl w:val="nil"/>
            </w:tcBorders>
            <w:vAlign w:val="top"/>
          </w:tcPr>
          <w:p w14:paraId="6426AD39">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根据内容齐全、安排合理、投入计划与进度计划相呼应、措施可行程度合理得</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得3分；根据其合理性、详细性较差得1分；</w:t>
            </w:r>
            <w:r>
              <w:rPr>
                <w:rFonts w:hint="eastAsia" w:ascii="宋体" w:hAnsi="宋体" w:eastAsia="宋体" w:cs="宋体"/>
                <w:b w:val="0"/>
                <w:bCs/>
                <w:color w:val="auto"/>
                <w:sz w:val="24"/>
                <w:szCs w:val="24"/>
                <w:highlight w:val="none"/>
                <w:lang w:val="en-US" w:eastAsia="zh-CN"/>
              </w:rPr>
              <w:t>缺项不得分。</w:t>
            </w:r>
          </w:p>
        </w:tc>
      </w:tr>
      <w:tr w14:paraId="1D3A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77548E0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8</w:t>
            </w:r>
          </w:p>
        </w:tc>
        <w:tc>
          <w:tcPr>
            <w:tcW w:w="2387" w:type="dxa"/>
            <w:tcBorders>
              <w:tl2br w:val="nil"/>
              <w:tr2bl w:val="nil"/>
            </w:tcBorders>
            <w:vAlign w:val="center"/>
          </w:tcPr>
          <w:p w14:paraId="4A8002AF">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施工管理及措施</w:t>
            </w:r>
          </w:p>
        </w:tc>
        <w:tc>
          <w:tcPr>
            <w:tcW w:w="1081" w:type="dxa"/>
            <w:tcBorders>
              <w:tl2br w:val="nil"/>
              <w:tr2bl w:val="nil"/>
            </w:tcBorders>
            <w:vAlign w:val="center"/>
          </w:tcPr>
          <w:p w14:paraId="6F866C56">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6分</w:t>
            </w:r>
          </w:p>
        </w:tc>
        <w:tc>
          <w:tcPr>
            <w:tcW w:w="6054" w:type="dxa"/>
            <w:tcBorders>
              <w:tl2br w:val="nil"/>
              <w:tr2bl w:val="nil"/>
            </w:tcBorders>
            <w:vAlign w:val="top"/>
          </w:tcPr>
          <w:p w14:paraId="13DC27A1">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根据对本工程项目管理的认识，内容齐全、有针对性、对工程现场管理安排合理、符合安全文明生产要求、对工程管理的配合、协调、服务措施可行程度合理得</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55DE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15D140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9</w:t>
            </w:r>
          </w:p>
        </w:tc>
        <w:tc>
          <w:tcPr>
            <w:tcW w:w="2387" w:type="dxa"/>
            <w:tcBorders>
              <w:tl2br w:val="nil"/>
              <w:tr2bl w:val="nil"/>
            </w:tcBorders>
            <w:vAlign w:val="center"/>
          </w:tcPr>
          <w:p w14:paraId="3B068106">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资源配备计划及措施（附劳动力计划表、主要施工设备表、试验和检测仪器设备表）</w:t>
            </w:r>
          </w:p>
        </w:tc>
        <w:tc>
          <w:tcPr>
            <w:tcW w:w="1081" w:type="dxa"/>
            <w:tcBorders>
              <w:tl2br w:val="nil"/>
              <w:tr2bl w:val="nil"/>
            </w:tcBorders>
            <w:vAlign w:val="center"/>
          </w:tcPr>
          <w:p w14:paraId="656AA63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5分</w:t>
            </w:r>
          </w:p>
        </w:tc>
        <w:tc>
          <w:tcPr>
            <w:tcW w:w="6054" w:type="dxa"/>
            <w:tcBorders>
              <w:tl2br w:val="nil"/>
              <w:tr2bl w:val="nil"/>
            </w:tcBorders>
            <w:vAlign w:val="center"/>
          </w:tcPr>
          <w:p w14:paraId="4F5EBD19">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根据针对工程特点内容齐全、安排合理、对施工关键部位分析到位等合理得</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得3分；根据其合理性、详细性较差得1分；</w:t>
            </w:r>
            <w:r>
              <w:rPr>
                <w:rFonts w:hint="eastAsia" w:ascii="宋体" w:hAnsi="宋体" w:eastAsia="宋体" w:cs="宋体"/>
                <w:b w:val="0"/>
                <w:bCs/>
                <w:color w:val="auto"/>
                <w:sz w:val="24"/>
                <w:szCs w:val="24"/>
                <w:highlight w:val="none"/>
                <w:lang w:val="en-US" w:eastAsia="zh-CN"/>
              </w:rPr>
              <w:t>缺项不得分。</w:t>
            </w:r>
          </w:p>
        </w:tc>
      </w:tr>
      <w:tr w14:paraId="09C0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5632AE0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387" w:type="dxa"/>
            <w:tcBorders>
              <w:tl2br w:val="nil"/>
              <w:tr2bl w:val="nil"/>
            </w:tcBorders>
            <w:vAlign w:val="center"/>
          </w:tcPr>
          <w:p w14:paraId="3D57D30D">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施工关键部位、材料采购要点的控制及措施</w:t>
            </w:r>
          </w:p>
        </w:tc>
        <w:tc>
          <w:tcPr>
            <w:tcW w:w="1081" w:type="dxa"/>
            <w:tcBorders>
              <w:tl2br w:val="nil"/>
              <w:tr2bl w:val="nil"/>
            </w:tcBorders>
            <w:vAlign w:val="center"/>
          </w:tcPr>
          <w:p w14:paraId="0E9A5022">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5分</w:t>
            </w:r>
          </w:p>
        </w:tc>
        <w:tc>
          <w:tcPr>
            <w:tcW w:w="6054" w:type="dxa"/>
            <w:tcBorders>
              <w:tl2br w:val="nil"/>
              <w:tr2bl w:val="nil"/>
            </w:tcBorders>
            <w:vAlign w:val="center"/>
          </w:tcPr>
          <w:p w14:paraId="0658BE77">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根据措施体系完整、内容齐全、安排恰当、针对项目实际情况措施可行程度合理</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得3分；根据其合理性、详细性较差得1分；</w:t>
            </w:r>
            <w:r>
              <w:rPr>
                <w:rFonts w:hint="eastAsia" w:ascii="宋体" w:hAnsi="宋体" w:eastAsia="宋体" w:cs="宋体"/>
                <w:b w:val="0"/>
                <w:bCs/>
                <w:color w:val="auto"/>
                <w:sz w:val="24"/>
                <w:szCs w:val="24"/>
                <w:highlight w:val="none"/>
                <w:lang w:val="en-US" w:eastAsia="zh-CN"/>
              </w:rPr>
              <w:t>缺项不得分</w:t>
            </w:r>
            <w:r>
              <w:rPr>
                <w:rFonts w:hint="eastAsia" w:ascii="宋体" w:hAnsi="宋体" w:eastAsia="宋体" w:cs="宋体"/>
                <w:color w:val="auto"/>
                <w:sz w:val="24"/>
                <w:szCs w:val="24"/>
                <w:highlight w:val="none"/>
              </w:rPr>
              <w:t>。</w:t>
            </w:r>
          </w:p>
        </w:tc>
      </w:tr>
      <w:tr w14:paraId="159F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84" w:type="dxa"/>
            <w:tcBorders>
              <w:tl2br w:val="nil"/>
              <w:tr2bl w:val="nil"/>
            </w:tcBorders>
            <w:shd w:val="clear" w:color="auto" w:fill="auto"/>
            <w:vAlign w:val="top"/>
          </w:tcPr>
          <w:p w14:paraId="0EE929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rPr>
              <w:t>三</w:t>
            </w:r>
          </w:p>
        </w:tc>
        <w:tc>
          <w:tcPr>
            <w:tcW w:w="2387" w:type="dxa"/>
            <w:tcBorders>
              <w:tl2br w:val="nil"/>
              <w:tr2bl w:val="nil"/>
            </w:tcBorders>
            <w:shd w:val="clear" w:color="auto" w:fill="auto"/>
            <w:vAlign w:val="top"/>
          </w:tcPr>
          <w:p w14:paraId="64D195B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rPr>
              <w:t>资信</w:t>
            </w:r>
          </w:p>
        </w:tc>
        <w:tc>
          <w:tcPr>
            <w:tcW w:w="1081" w:type="dxa"/>
            <w:tcBorders>
              <w:tl2br w:val="nil"/>
              <w:tr2bl w:val="nil"/>
            </w:tcBorders>
            <w:shd w:val="clear" w:color="auto" w:fill="auto"/>
            <w:vAlign w:val="top"/>
          </w:tcPr>
          <w:p w14:paraId="5585713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15分</w:t>
            </w:r>
          </w:p>
        </w:tc>
        <w:tc>
          <w:tcPr>
            <w:tcW w:w="6054" w:type="dxa"/>
            <w:tcBorders>
              <w:tl2br w:val="nil"/>
              <w:tr2bl w:val="nil"/>
            </w:tcBorders>
            <w:shd w:val="clear" w:color="auto" w:fill="auto"/>
            <w:vAlign w:val="top"/>
          </w:tcPr>
          <w:p w14:paraId="6779B79B">
            <w:pPr>
              <w:pStyle w:val="189"/>
              <w:spacing w:after="0"/>
              <w:rPr>
                <w:rFonts w:hint="eastAsia" w:ascii="宋体" w:hAnsi="宋体" w:eastAsia="宋体" w:cs="宋体"/>
                <w:kern w:val="2"/>
                <w:sz w:val="24"/>
                <w:szCs w:val="24"/>
                <w:highlight w:val="none"/>
                <w:lang w:val="zh-CN" w:eastAsia="zh-CN" w:bidi="ar-SA"/>
              </w:rPr>
            </w:pPr>
          </w:p>
        </w:tc>
      </w:tr>
      <w:tr w14:paraId="4325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shd w:val="clear" w:color="auto" w:fill="auto"/>
            <w:vAlign w:val="center"/>
          </w:tcPr>
          <w:p w14:paraId="331643B9">
            <w:pPr>
              <w:adjustRightInd w:val="0"/>
              <w:snapToGrid w:val="0"/>
              <w:spacing w:after="0"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w:t>
            </w:r>
          </w:p>
        </w:tc>
        <w:tc>
          <w:tcPr>
            <w:tcW w:w="2387" w:type="dxa"/>
            <w:tcBorders>
              <w:tl2br w:val="nil"/>
              <w:tr2bl w:val="nil"/>
            </w:tcBorders>
            <w:shd w:val="clear" w:color="auto" w:fill="auto"/>
            <w:vAlign w:val="center"/>
          </w:tcPr>
          <w:p w14:paraId="13F39198">
            <w:pPr>
              <w:widowControl/>
              <w:adjustRightInd w:val="0"/>
              <w:snapToGrid w:val="0"/>
              <w:spacing w:after="0"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供应商近三年承担的类似工程业绩</w:t>
            </w:r>
          </w:p>
        </w:tc>
        <w:tc>
          <w:tcPr>
            <w:tcW w:w="1081" w:type="dxa"/>
            <w:tcBorders>
              <w:tl2br w:val="nil"/>
              <w:tr2bl w:val="nil"/>
            </w:tcBorders>
            <w:shd w:val="clear" w:color="auto" w:fill="auto"/>
            <w:vAlign w:val="center"/>
          </w:tcPr>
          <w:p w14:paraId="19B93D9E">
            <w:pPr>
              <w:adjustRightInd w:val="0"/>
              <w:snapToGrid w:val="0"/>
              <w:spacing w:after="0"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5分</w:t>
            </w:r>
          </w:p>
        </w:tc>
        <w:tc>
          <w:tcPr>
            <w:tcW w:w="6054" w:type="dxa"/>
            <w:tcBorders>
              <w:tl2br w:val="nil"/>
              <w:tr2bl w:val="nil"/>
            </w:tcBorders>
            <w:shd w:val="clear" w:color="auto" w:fill="auto"/>
            <w:vAlign w:val="center"/>
          </w:tcPr>
          <w:p w14:paraId="5E855B89">
            <w:pPr>
              <w:adjustRightInd w:val="0"/>
              <w:snapToGrid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日以来承担的类似工程业绩每项得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0C65A8DC">
            <w:pPr>
              <w:adjustRightInd w:val="0"/>
              <w:snapToGrid w:val="0"/>
              <w:spacing w:after="0" w:line="360" w:lineRule="auto"/>
              <w:jc w:val="left"/>
              <w:rPr>
                <w:rFonts w:hint="eastAsia" w:ascii="宋体" w:hAnsi="宋体" w:eastAsia="宋体" w:cs="宋体"/>
                <w:b/>
                <w:kern w:val="2"/>
                <w:sz w:val="24"/>
                <w:szCs w:val="24"/>
                <w:highlight w:val="none"/>
                <w:lang w:val="en-US" w:eastAsia="zh-CN" w:bidi="ar-SA"/>
              </w:rPr>
            </w:pPr>
            <w:r>
              <w:rPr>
                <w:rFonts w:hint="eastAsia" w:ascii="宋体" w:hAnsi="宋体" w:eastAsia="宋体" w:cs="宋体"/>
                <w:color w:val="auto"/>
                <w:sz w:val="24"/>
                <w:szCs w:val="24"/>
                <w:highlight w:val="none"/>
              </w:rPr>
              <w:t>备注：①类似工程业绩的界定：</w:t>
            </w:r>
            <w:r>
              <w:rPr>
                <w:rFonts w:hint="eastAsia" w:ascii="宋体" w:hAnsi="宋体" w:eastAsia="宋体" w:cs="宋体"/>
                <w:color w:val="auto"/>
                <w:sz w:val="24"/>
                <w:szCs w:val="24"/>
                <w:highlight w:val="none"/>
                <w:lang w:val="en-US" w:eastAsia="zh-CN"/>
              </w:rPr>
              <w:t>类似的</w:t>
            </w:r>
            <w:r>
              <w:rPr>
                <w:rFonts w:hint="eastAsia" w:ascii="宋体" w:hAnsi="宋体" w:cs="宋体"/>
                <w:color w:val="auto"/>
                <w:sz w:val="24"/>
                <w:szCs w:val="24"/>
                <w:highlight w:val="none"/>
                <w:lang w:val="en-US" w:eastAsia="zh-CN"/>
              </w:rPr>
              <w:t>建筑</w:t>
            </w:r>
            <w:r>
              <w:rPr>
                <w:rFonts w:hint="eastAsia" w:ascii="宋体" w:hAnsi="宋体" w:eastAsia="宋体" w:cs="宋体"/>
                <w:color w:val="auto"/>
                <w:sz w:val="24"/>
                <w:szCs w:val="24"/>
                <w:highlight w:val="none"/>
                <w:lang w:val="en-US" w:eastAsia="zh-CN"/>
              </w:rPr>
              <w:t>工</w:t>
            </w:r>
            <w:r>
              <w:rPr>
                <w:rFonts w:hint="eastAsia" w:ascii="宋体" w:hAnsi="宋体" w:eastAsia="宋体" w:cs="宋体"/>
                <w:b w:val="0"/>
                <w:bCs w:val="0"/>
                <w:color w:val="auto"/>
                <w:sz w:val="24"/>
                <w:szCs w:val="24"/>
                <w:highlight w:val="none"/>
                <w:lang w:val="en-US" w:eastAsia="zh-CN"/>
              </w:rPr>
              <w:t>程；</w:t>
            </w:r>
            <w:r>
              <w:rPr>
                <w:rFonts w:hint="eastAsia" w:ascii="宋体" w:hAnsi="宋体" w:eastAsia="宋体" w:cs="宋体"/>
                <w:b w:val="0"/>
                <w:bCs w:val="0"/>
                <w:color w:val="auto"/>
                <w:sz w:val="24"/>
                <w:szCs w:val="24"/>
                <w:highlight w:val="none"/>
              </w:rPr>
              <w:t>②</w:t>
            </w:r>
            <w:r>
              <w:rPr>
                <w:rFonts w:hint="eastAsia" w:ascii="宋体" w:hAnsi="宋体" w:eastAsia="宋体" w:cs="宋体"/>
                <w:b w:val="0"/>
                <w:bCs w:val="0"/>
                <w:color w:val="auto"/>
                <w:sz w:val="24"/>
                <w:szCs w:val="24"/>
                <w:highlight w:val="none"/>
                <w:lang w:val="en-US" w:eastAsia="zh-CN"/>
              </w:rPr>
              <w:t>验证</w:t>
            </w:r>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eastAsia="zh-CN"/>
              </w:rPr>
              <w:t>中标通知书</w:t>
            </w:r>
            <w:r>
              <w:rPr>
                <w:rFonts w:hint="eastAsia" w:ascii="宋体" w:hAnsi="宋体" w:eastAsia="宋体" w:cs="宋体"/>
                <w:b w:val="0"/>
                <w:bCs w:val="0"/>
                <w:color w:val="auto"/>
                <w:sz w:val="24"/>
                <w:szCs w:val="24"/>
                <w:highlight w:val="none"/>
                <w:lang w:val="en-US" w:eastAsia="zh-CN"/>
              </w:rPr>
              <w:t>原件</w:t>
            </w:r>
            <w:r>
              <w:rPr>
                <w:rFonts w:hint="eastAsia" w:ascii="宋体" w:hAnsi="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施工合同</w:t>
            </w:r>
            <w:r>
              <w:rPr>
                <w:rFonts w:hint="eastAsia" w:ascii="宋体" w:hAnsi="宋体" w:eastAsia="宋体" w:cs="宋体"/>
                <w:b w:val="0"/>
                <w:bCs w:val="0"/>
                <w:color w:val="auto"/>
                <w:sz w:val="24"/>
                <w:szCs w:val="24"/>
                <w:highlight w:val="none"/>
                <w:lang w:val="en-US" w:eastAsia="zh-CN"/>
              </w:rPr>
              <w:t>原件</w:t>
            </w:r>
            <w:r>
              <w:rPr>
                <w:rFonts w:hint="eastAsia" w:ascii="宋体" w:hAnsi="宋体" w:cs="宋体"/>
                <w:b w:val="0"/>
                <w:bCs w:val="0"/>
                <w:color w:val="auto"/>
                <w:sz w:val="24"/>
                <w:szCs w:val="24"/>
                <w:highlight w:val="none"/>
                <w:lang w:val="en-US" w:eastAsia="zh-CN"/>
              </w:rPr>
              <w:t>扫面件或复印件</w:t>
            </w:r>
            <w:r>
              <w:rPr>
                <w:rFonts w:hint="eastAsia" w:ascii="宋体" w:hAnsi="宋体" w:eastAsia="宋体" w:cs="宋体"/>
                <w:b w:val="0"/>
                <w:bCs w:val="0"/>
                <w:color w:val="auto"/>
                <w:sz w:val="24"/>
                <w:szCs w:val="24"/>
                <w:highlight w:val="none"/>
              </w:rPr>
              <w:t>为准，</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rPr>
              <w:t>者缺一不可；③时间以</w:t>
            </w:r>
            <w:r>
              <w:rPr>
                <w:rFonts w:hint="eastAsia" w:ascii="宋体" w:hAnsi="宋体" w:eastAsia="宋体" w:cs="宋体"/>
                <w:b w:val="0"/>
                <w:bCs w:val="0"/>
                <w:color w:val="auto"/>
                <w:sz w:val="24"/>
                <w:szCs w:val="24"/>
                <w:highlight w:val="none"/>
                <w:lang w:val="en-US" w:eastAsia="zh-CN"/>
              </w:rPr>
              <w:t>合同签订时间</w:t>
            </w:r>
            <w:r>
              <w:rPr>
                <w:rFonts w:hint="eastAsia" w:ascii="宋体" w:hAnsi="宋体" w:eastAsia="宋体" w:cs="宋体"/>
                <w:b w:val="0"/>
                <w:bCs w:val="0"/>
                <w:color w:val="auto"/>
                <w:sz w:val="24"/>
                <w:szCs w:val="24"/>
                <w:highlight w:val="none"/>
              </w:rPr>
              <w:t>为准；④磋商响应文件中须附该打分项涉及的</w:t>
            </w:r>
            <w:r>
              <w:rPr>
                <w:rFonts w:hint="eastAsia" w:ascii="宋体" w:hAnsi="宋体" w:eastAsia="宋体" w:cs="宋体"/>
                <w:b w:val="0"/>
                <w:bCs w:val="0"/>
                <w:color w:val="auto"/>
                <w:sz w:val="24"/>
                <w:szCs w:val="24"/>
                <w:highlight w:val="none"/>
                <w:lang w:eastAsia="zh-CN"/>
              </w:rPr>
              <w:t>中标通知书、</w:t>
            </w:r>
            <w:r>
              <w:rPr>
                <w:rFonts w:hint="eastAsia" w:ascii="宋体" w:hAnsi="宋体" w:eastAsia="宋体" w:cs="宋体"/>
                <w:b w:val="0"/>
                <w:bCs w:val="0"/>
                <w:color w:val="auto"/>
                <w:sz w:val="24"/>
                <w:szCs w:val="24"/>
                <w:highlight w:val="none"/>
              </w:rPr>
              <w:t>施工合同</w:t>
            </w:r>
            <w:r>
              <w:rPr>
                <w:rFonts w:hint="eastAsia" w:ascii="宋体" w:hAnsi="宋体" w:eastAsia="宋体" w:cs="宋体"/>
                <w:b w:val="0"/>
                <w:bCs w:val="0"/>
                <w:color w:val="auto"/>
                <w:sz w:val="24"/>
                <w:szCs w:val="24"/>
                <w:highlight w:val="none"/>
                <w:lang w:eastAsia="zh-CN"/>
              </w:rPr>
              <w:t>原件扫描件或</w:t>
            </w:r>
            <w:r>
              <w:rPr>
                <w:rFonts w:hint="eastAsia" w:ascii="宋体" w:hAnsi="宋体" w:eastAsia="宋体" w:cs="宋体"/>
                <w:b w:val="0"/>
                <w:bCs w:val="0"/>
                <w:color w:val="auto"/>
                <w:sz w:val="24"/>
                <w:szCs w:val="24"/>
                <w:highlight w:val="none"/>
              </w:rPr>
              <w:t>复印件，否则不予认可。</w:t>
            </w:r>
          </w:p>
        </w:tc>
      </w:tr>
    </w:tbl>
    <w:p w14:paraId="328456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auto"/>
          <w:sz w:val="24"/>
        </w:rPr>
      </w:pPr>
      <w:r>
        <w:rPr>
          <w:rFonts w:hint="eastAsia" w:ascii="宋体" w:hAnsi="宋体" w:cs="宋体"/>
          <w:b/>
          <w:bCs/>
          <w:color w:val="auto"/>
          <w:sz w:val="24"/>
        </w:rPr>
        <w:t>注：</w:t>
      </w:r>
      <w:bookmarkStart w:id="13" w:name="_Toc23800"/>
      <w:r>
        <w:rPr>
          <w:rFonts w:hint="eastAsia" w:ascii="宋体" w:hAnsi="宋体" w:cs="宋体"/>
          <w:b/>
          <w:bCs/>
          <w:color w:val="auto"/>
          <w:sz w:val="24"/>
        </w:rPr>
        <w:t>一、</w:t>
      </w:r>
      <w:r>
        <w:rPr>
          <w:rFonts w:hint="eastAsia" w:ascii="宋体" w:hAnsi="宋体"/>
          <w:b/>
          <w:bCs/>
          <w:color w:val="auto"/>
          <w:sz w:val="24"/>
        </w:rPr>
        <w:t>总得分相同者，按最终报价低的名次在前；最终报价也相同的，施工组织设计总得分高者排名优先；</w:t>
      </w:r>
      <w:r>
        <w:rPr>
          <w:rFonts w:hint="eastAsia" w:ascii="宋体" w:hAnsi="宋体"/>
          <w:b/>
          <w:color w:val="auto"/>
          <w:sz w:val="24"/>
        </w:rPr>
        <w:t>施工组织设计总得分也相同的，资信总得分高者排名优先；资信总得分也相同的，采购人按响应文件</w:t>
      </w:r>
      <w:r>
        <w:rPr>
          <w:rFonts w:hint="eastAsia" w:ascii="宋体" w:hAnsi="宋体"/>
          <w:b/>
          <w:color w:val="auto"/>
          <w:sz w:val="24"/>
          <w:lang w:eastAsia="zh-CN"/>
        </w:rPr>
        <w:t>递交</w:t>
      </w:r>
      <w:r>
        <w:rPr>
          <w:rFonts w:hint="eastAsia" w:ascii="宋体" w:hAnsi="宋体"/>
          <w:b/>
          <w:color w:val="auto"/>
          <w:sz w:val="24"/>
        </w:rPr>
        <w:t>顺序排名。</w:t>
      </w:r>
    </w:p>
    <w:p w14:paraId="38684C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auto"/>
          <w:sz w:val="24"/>
        </w:rPr>
      </w:pPr>
      <w:r>
        <w:rPr>
          <w:rFonts w:hint="eastAsia" w:ascii="宋体" w:hAnsi="宋体"/>
          <w:b/>
          <w:color w:val="auto"/>
          <w:sz w:val="24"/>
          <w:lang w:val="en-US" w:eastAsia="zh-CN"/>
        </w:rPr>
        <w:t>二、</w:t>
      </w:r>
      <w:r>
        <w:rPr>
          <w:rFonts w:hint="eastAsia" w:ascii="宋体" w:hAnsi="宋体"/>
          <w:b/>
          <w:color w:val="auto"/>
          <w:sz w:val="24"/>
        </w:rPr>
        <w:t>评分分值计算保留小数点后两位，小数点后第三位“四舍五入”。</w:t>
      </w:r>
    </w:p>
    <w:p w14:paraId="5245B6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val="en-US" w:eastAsia="zh-CN"/>
        </w:rPr>
        <w:t>三</w:t>
      </w:r>
      <w:r>
        <w:rPr>
          <w:rFonts w:hint="eastAsia" w:ascii="宋体" w:hAnsi="宋体" w:cs="Times New Roman"/>
          <w:b/>
          <w:bCs/>
          <w:color w:val="auto"/>
          <w:sz w:val="24"/>
        </w:rPr>
        <w:t>、评分办法中涉及资信按照相关要求提供，供应商应保证相关证件的真实性。</w:t>
      </w:r>
    </w:p>
    <w:p w14:paraId="7E3DCB0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val="en-US" w:eastAsia="zh-CN"/>
        </w:rPr>
        <w:t>四、</w:t>
      </w:r>
      <w:r>
        <w:rPr>
          <w:rFonts w:hint="eastAsia" w:ascii="宋体" w:hAnsi="宋体" w:cs="Times New Roman"/>
          <w:b/>
          <w:bCs/>
          <w:color w:val="auto"/>
          <w:sz w:val="24"/>
        </w:rPr>
        <w:t>提供虚假证明材料的，取消其竞标资格；若如日后查出以虚假证明材料谋取成交的，一经查实，采购人可以随时终止采购合同，并由该单位赔偿采购人的一切损失。</w:t>
      </w:r>
    </w:p>
    <w:p w14:paraId="5F0F092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val="en-US" w:eastAsia="zh-CN"/>
        </w:rPr>
        <w:t>五</w:t>
      </w:r>
      <w:r>
        <w:rPr>
          <w:rFonts w:hint="eastAsia" w:ascii="宋体" w:hAnsi="宋体" w:cs="Times New Roman"/>
          <w:b/>
          <w:bCs/>
          <w:color w:val="auto"/>
          <w:sz w:val="24"/>
        </w:rPr>
        <w:t>、成交通知书</w:t>
      </w:r>
    </w:p>
    <w:p w14:paraId="4F37406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14:paraId="62CDD9BA">
      <w:pPr>
        <w:widowControl/>
        <w:jc w:val="left"/>
        <w:rPr>
          <w:rFonts w:ascii="宋体" w:hAnsi="宋体"/>
          <w:b/>
          <w:color w:val="auto"/>
          <w:sz w:val="24"/>
        </w:rPr>
      </w:pPr>
      <w:r>
        <w:rPr>
          <w:rFonts w:ascii="宋体" w:hAnsi="宋体"/>
          <w:b/>
          <w:color w:val="auto"/>
          <w:sz w:val="24"/>
        </w:rPr>
        <w:br w:type="page"/>
      </w:r>
    </w:p>
    <w:p w14:paraId="743258D0">
      <w:pPr>
        <w:pStyle w:val="3"/>
        <w:bidi w:val="0"/>
        <w:jc w:val="center"/>
        <w:outlineLvl w:val="0"/>
        <w:rPr>
          <w:rFonts w:hint="eastAsia" w:ascii="宋体" w:hAnsi="宋体" w:eastAsia="宋体" w:cs="宋体"/>
          <w:color w:val="auto"/>
          <w:sz w:val="24"/>
          <w:szCs w:val="24"/>
          <w:lang w:val="en-US" w:eastAsia="zh-CN"/>
        </w:rPr>
      </w:pPr>
      <w:bookmarkStart w:id="14" w:name="_Toc19153"/>
      <w:r>
        <w:rPr>
          <w:rFonts w:hint="eastAsia" w:ascii="宋体" w:hAnsi="宋体" w:eastAsia="宋体" w:cs="宋体"/>
          <w:color w:val="auto"/>
          <w:sz w:val="24"/>
          <w:szCs w:val="24"/>
          <w:lang w:val="en-US" w:eastAsia="zh-CN"/>
        </w:rPr>
        <w:t>第四部分  采购内容</w:t>
      </w:r>
      <w:bookmarkEnd w:id="13"/>
      <w:r>
        <w:rPr>
          <w:rFonts w:hint="eastAsia" w:ascii="宋体" w:hAnsi="宋体" w:eastAsia="宋体" w:cs="宋体"/>
          <w:color w:val="auto"/>
          <w:sz w:val="24"/>
          <w:szCs w:val="24"/>
          <w:lang w:val="en-US" w:eastAsia="zh-CN"/>
        </w:rPr>
        <w:t>及要求</w:t>
      </w:r>
      <w:bookmarkEnd w:id="14"/>
    </w:p>
    <w:p w14:paraId="317682EE">
      <w:pPr>
        <w:spacing w:line="540" w:lineRule="exact"/>
        <w:rPr>
          <w:rFonts w:ascii="宋体" w:hAnsi="宋体"/>
          <w:color w:val="auto"/>
          <w:sz w:val="24"/>
        </w:rPr>
      </w:pPr>
      <w:r>
        <w:rPr>
          <w:rFonts w:hint="eastAsia" w:ascii="宋体" w:hAnsi="宋体"/>
          <w:b/>
          <w:bCs/>
          <w:color w:val="auto"/>
          <w:sz w:val="24"/>
        </w:rPr>
        <w:t>一、项目内容及要求</w:t>
      </w:r>
    </w:p>
    <w:p w14:paraId="5EB06DE7">
      <w:pPr>
        <w:spacing w:line="540" w:lineRule="exact"/>
        <w:ind w:firstLine="480" w:firstLineChars="200"/>
        <w:rPr>
          <w:rFonts w:ascii="宋体" w:hAnsi="宋体" w:cs="黑体"/>
          <w:bCs/>
          <w:color w:val="auto"/>
          <w:kern w:val="0"/>
          <w:sz w:val="24"/>
          <w:highlight w:val="none"/>
        </w:rPr>
      </w:pPr>
      <w:r>
        <w:rPr>
          <w:rFonts w:hint="eastAsia" w:ascii="宋体" w:hAnsi="宋体"/>
          <w:color w:val="auto"/>
          <w:sz w:val="24"/>
        </w:rPr>
        <w:t>（一）采购内容：</w:t>
      </w:r>
      <w:r>
        <w:rPr>
          <w:rFonts w:ascii="宋体" w:hAnsi="宋体" w:cs="黑体"/>
          <w:bCs/>
          <w:color w:val="auto"/>
          <w:kern w:val="0"/>
          <w:sz w:val="24"/>
        </w:rPr>
        <w:t xml:space="preserve"> </w:t>
      </w:r>
      <w:bookmarkStart w:id="15" w:name="_Hlk62486298"/>
    </w:p>
    <w:bookmarkEnd w:id="15"/>
    <w:p w14:paraId="45BB0032">
      <w:pPr>
        <w:spacing w:line="54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邹城市钢山街道杜家庄村义和佳苑车棚建设工程包括图纸范围内（以施工界面划分为准）的全部内容，主要包括4#楼东、5#楼东、8#楼北、托儿所大门口、加热站西、14#楼北、18#楼北、28#楼北、30#楼北、32#楼北、34#楼南、35#楼北、36#楼北、38#楼北等14个车棚的土建、安装工程等全部内容（详见工程量清单，以工程量清单为准）。</w:t>
      </w:r>
    </w:p>
    <w:p w14:paraId="6D7B1B79">
      <w:pPr>
        <w:spacing w:line="540" w:lineRule="exact"/>
        <w:ind w:firstLine="480" w:firstLineChars="200"/>
        <w:rPr>
          <w:rFonts w:ascii="宋体" w:hAnsi="宋体"/>
          <w:bCs/>
          <w:color w:val="auto"/>
          <w:sz w:val="24"/>
          <w:highlight w:val="none"/>
        </w:rPr>
      </w:pPr>
      <w:r>
        <w:rPr>
          <w:rFonts w:hint="eastAsia" w:ascii="宋体" w:hAnsi="宋体" w:cs="黑体"/>
          <w:bCs/>
          <w:color w:val="auto"/>
          <w:kern w:val="0"/>
          <w:sz w:val="24"/>
          <w:highlight w:val="none"/>
        </w:rPr>
        <w:t>（二）</w:t>
      </w:r>
      <w:r>
        <w:rPr>
          <w:rFonts w:hint="eastAsia" w:ascii="宋体" w:hAnsi="宋体"/>
          <w:color w:val="auto"/>
          <w:sz w:val="24"/>
          <w:highlight w:val="none"/>
        </w:rPr>
        <w:t>建设地点：</w:t>
      </w:r>
      <w:r>
        <w:rPr>
          <w:rFonts w:hint="eastAsia"/>
          <w:color w:val="auto"/>
          <w:sz w:val="24"/>
          <w:szCs w:val="24"/>
          <w:lang w:eastAsia="zh-CN"/>
        </w:rPr>
        <w:t>邹城市钢山街道杜家庄村义和佳苑内</w:t>
      </w:r>
      <w:r>
        <w:rPr>
          <w:rFonts w:hint="eastAsia" w:ascii="宋体" w:hAnsi="宋体" w:cs="黑体"/>
          <w:bCs/>
          <w:color w:val="auto"/>
          <w:kern w:val="0"/>
          <w:sz w:val="24"/>
          <w:highlight w:val="none"/>
        </w:rPr>
        <w:t>。</w:t>
      </w:r>
    </w:p>
    <w:p w14:paraId="096FB7DA">
      <w:pPr>
        <w:shd w:val="clear" w:color="auto" w:fill="FFFFFF"/>
        <w:tabs>
          <w:tab w:val="left" w:pos="840"/>
        </w:tabs>
        <w:spacing w:line="540" w:lineRule="exact"/>
        <w:ind w:firstLine="470" w:firstLineChars="196"/>
        <w:rPr>
          <w:rFonts w:ascii="宋体" w:hAnsi="宋体" w:cs="黑体"/>
          <w:bCs/>
          <w:color w:val="auto"/>
          <w:kern w:val="0"/>
          <w:sz w:val="24"/>
          <w:highlight w:val="none"/>
          <w:u w:val="single"/>
        </w:rPr>
      </w:pPr>
      <w:r>
        <w:rPr>
          <w:rFonts w:hint="eastAsia" w:ascii="宋体" w:hAnsi="宋体"/>
          <w:color w:val="auto"/>
          <w:sz w:val="24"/>
          <w:highlight w:val="none"/>
        </w:rPr>
        <w:t>（三）建设</w:t>
      </w:r>
      <w:r>
        <w:rPr>
          <w:rFonts w:hint="eastAsia" w:ascii="宋体" w:hAnsi="宋体"/>
          <w:bCs/>
          <w:color w:val="auto"/>
          <w:sz w:val="24"/>
          <w:highlight w:val="none"/>
        </w:rPr>
        <w:t>规模：</w:t>
      </w:r>
      <w:r>
        <w:rPr>
          <w:rFonts w:hint="eastAsia" w:ascii="宋体" w:hAnsi="宋体"/>
          <w:color w:val="auto"/>
          <w:sz w:val="24"/>
          <w:highlight w:val="none"/>
        </w:rPr>
        <w:t>本项目采购预算</w:t>
      </w:r>
      <w:r>
        <w:rPr>
          <w:rFonts w:hint="eastAsia" w:ascii="宋体" w:hAnsi="宋体"/>
          <w:color w:val="auto"/>
          <w:sz w:val="24"/>
          <w:highlight w:val="none"/>
          <w:lang w:eastAsia="zh-CN"/>
        </w:rPr>
        <w:t>1151570.33</w:t>
      </w:r>
      <w:r>
        <w:rPr>
          <w:rFonts w:hint="eastAsia" w:ascii="宋体" w:hAnsi="宋体"/>
          <w:color w:val="auto"/>
          <w:sz w:val="24"/>
          <w:highlight w:val="none"/>
        </w:rPr>
        <w:t>元。</w:t>
      </w:r>
    </w:p>
    <w:p w14:paraId="363298A0">
      <w:pPr>
        <w:spacing w:line="540" w:lineRule="exact"/>
        <w:ind w:firstLine="480" w:firstLineChars="200"/>
        <w:rPr>
          <w:rFonts w:hint="eastAsia" w:ascii="宋体" w:hAnsi="宋体" w:cs="宋体"/>
          <w:color w:val="auto"/>
          <w:sz w:val="24"/>
          <w:highlight w:val="none"/>
        </w:rPr>
      </w:pPr>
      <w:r>
        <w:rPr>
          <w:rFonts w:hint="eastAsia" w:ascii="宋体" w:hAnsi="宋体"/>
          <w:color w:val="auto"/>
          <w:sz w:val="24"/>
          <w:highlight w:val="none"/>
        </w:rPr>
        <w:t>（四）计划工期：</w:t>
      </w:r>
      <w:bookmarkStart w:id="16" w:name="_Hlk62486200"/>
      <w:r>
        <w:rPr>
          <w:rFonts w:hint="eastAsia" w:ascii="宋体" w:hAnsi="宋体" w:cs="宋体"/>
          <w:color w:val="auto"/>
          <w:sz w:val="24"/>
          <w:highlight w:val="none"/>
          <w:lang w:val="en-US" w:eastAsia="zh-CN"/>
        </w:rPr>
        <w:t>100日历天</w:t>
      </w:r>
      <w:r>
        <w:rPr>
          <w:rFonts w:hint="eastAsia" w:ascii="宋体" w:hAnsi="宋体" w:cs="宋体"/>
          <w:color w:val="auto"/>
          <w:sz w:val="24"/>
          <w:highlight w:val="none"/>
        </w:rPr>
        <w:t>。</w:t>
      </w:r>
      <w:bookmarkEnd w:id="16"/>
    </w:p>
    <w:p w14:paraId="777FCFA1">
      <w:pPr>
        <w:spacing w:line="540" w:lineRule="exact"/>
        <w:ind w:firstLine="480" w:firstLineChars="200"/>
        <w:rPr>
          <w:rFonts w:hint="eastAsia"/>
        </w:rPr>
      </w:pPr>
      <w:r>
        <w:rPr>
          <w:rFonts w:hint="eastAsia" w:ascii="宋体" w:hAnsi="宋体" w:cs="宋体"/>
          <w:color w:val="auto"/>
          <w:sz w:val="24"/>
          <w:szCs w:val="24"/>
          <w:lang w:val="en-US" w:eastAsia="zh-CN"/>
        </w:rPr>
        <w:t>注：实际开工日期以发包人签署的开工指令为准；竣工日期以发包人及监理等五方共同书面确认的全部工程竣工验收通过日期为准。承包人须根据发包人进度要求进行施工，除发包人书面调整外，无论何种原因，竣工日期不变。以上工期总日历天数的约定已考虑施工期间的节假日、以及城市创卫、环保扬尘治理、冬雨季施工、施工现场场地条件和环境条件、农忙及恶劣气候（包括但不限于大风、沙尘、冰雹、持续高温等）、疫情、政府部门政治性会议或其他事件对施工的限制、设计变更导致工程量的增加或工程的返工工期等因素（一次性设计变更超过合同价款的5%并经发包人书面签证的除外）</w:t>
      </w:r>
    </w:p>
    <w:p w14:paraId="2BC0471F">
      <w:pPr>
        <w:spacing w:line="540" w:lineRule="exact"/>
        <w:ind w:firstLine="480" w:firstLineChars="200"/>
        <w:rPr>
          <w:rFonts w:ascii="宋体" w:hAnsi="宋体" w:cs="宋体"/>
          <w:color w:val="auto"/>
          <w:sz w:val="24"/>
          <w:highlight w:val="none"/>
        </w:rPr>
      </w:pPr>
      <w:r>
        <w:rPr>
          <w:rFonts w:hint="eastAsia" w:ascii="宋体" w:hAnsi="宋体"/>
          <w:color w:val="auto"/>
          <w:sz w:val="24"/>
          <w:highlight w:val="none"/>
        </w:rPr>
        <w:t>（五）质量要求：</w:t>
      </w:r>
      <w:r>
        <w:rPr>
          <w:rFonts w:hint="eastAsia" w:ascii="宋体" w:hAnsi="宋体" w:cs="宋体"/>
          <w:color w:val="auto"/>
          <w:sz w:val="24"/>
          <w:highlight w:val="none"/>
          <w:lang w:eastAsia="zh-CN"/>
        </w:rPr>
        <w:t>质量标准</w:t>
      </w:r>
      <w:r>
        <w:rPr>
          <w:rFonts w:hint="eastAsia" w:ascii="宋体" w:hAnsi="宋体" w:eastAsia="宋体" w:cs="宋体"/>
          <w:color w:val="auto"/>
          <w:sz w:val="24"/>
          <w:highlight w:val="none"/>
          <w:lang w:eastAsia="zh-CN"/>
        </w:rPr>
        <w:t>合格</w:t>
      </w:r>
      <w:r>
        <w:rPr>
          <w:rFonts w:hint="eastAsia" w:ascii="宋体" w:hAnsi="宋体" w:cs="宋体"/>
          <w:color w:val="auto"/>
          <w:sz w:val="24"/>
          <w:highlight w:val="none"/>
          <w:lang w:eastAsia="zh-CN"/>
        </w:rPr>
        <w:t>。</w:t>
      </w:r>
    </w:p>
    <w:p w14:paraId="0285EB1C">
      <w:pPr>
        <w:spacing w:line="540" w:lineRule="exact"/>
        <w:ind w:firstLine="480" w:firstLineChars="200"/>
        <w:rPr>
          <w:rFonts w:hint="eastAsia" w:ascii="宋体" w:hAnsi="宋体" w:eastAsia="宋体" w:cs="宋体"/>
          <w:b w:val="0"/>
          <w:bCs/>
          <w:color w:val="auto"/>
          <w:sz w:val="24"/>
          <w:szCs w:val="24"/>
          <w:highlight w:val="none"/>
        </w:rPr>
      </w:pPr>
      <w:r>
        <w:rPr>
          <w:rFonts w:hint="eastAsia" w:ascii="宋体" w:hAnsi="宋体"/>
          <w:bCs/>
          <w:color w:val="auto"/>
          <w:sz w:val="24"/>
          <w:highlight w:val="none"/>
        </w:rPr>
        <w:t>（六）</w:t>
      </w:r>
      <w:r>
        <w:rPr>
          <w:rFonts w:hint="eastAsia" w:ascii="宋体" w:hAnsi="宋体" w:cs="宋体"/>
          <w:b w:val="0"/>
          <w:bCs/>
          <w:color w:val="auto"/>
          <w:sz w:val="24"/>
          <w:szCs w:val="24"/>
          <w:highlight w:val="none"/>
          <w:lang w:eastAsia="zh-CN"/>
        </w:rPr>
        <w:t>缺陷责任期</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两</w:t>
      </w:r>
      <w:r>
        <w:rPr>
          <w:rFonts w:hint="eastAsia" w:ascii="宋体" w:hAnsi="宋体" w:eastAsia="宋体" w:cs="宋体"/>
          <w:b w:val="0"/>
          <w:bCs/>
          <w:color w:val="auto"/>
          <w:sz w:val="24"/>
          <w:szCs w:val="24"/>
          <w:highlight w:val="none"/>
        </w:rPr>
        <w:t>年。</w:t>
      </w:r>
    </w:p>
    <w:p w14:paraId="0C247738">
      <w:pPr>
        <w:spacing w:line="440" w:lineRule="exact"/>
        <w:rPr>
          <w:rFonts w:hint="eastAsia" w:ascii="宋体" w:hAnsi="宋体"/>
          <w:b/>
          <w:bCs/>
          <w:color w:val="000000"/>
          <w:sz w:val="24"/>
          <w:highlight w:val="none"/>
        </w:rPr>
      </w:pPr>
      <w:r>
        <w:rPr>
          <w:rFonts w:hint="eastAsia" w:ascii="宋体" w:hAnsi="宋体"/>
          <w:b/>
          <w:sz w:val="24"/>
          <w:lang w:val="en-US" w:eastAsia="zh-CN"/>
        </w:rPr>
        <w:t>二</w:t>
      </w:r>
      <w:r>
        <w:rPr>
          <w:rFonts w:hint="eastAsia" w:ascii="宋体" w:hAnsi="宋体"/>
          <w:b/>
          <w:sz w:val="24"/>
        </w:rPr>
        <w:t>、</w:t>
      </w:r>
      <w:r>
        <w:rPr>
          <w:rFonts w:hint="eastAsia" w:ascii="宋体" w:hAnsi="宋体"/>
          <w:b/>
          <w:bCs/>
          <w:color w:val="000000"/>
          <w:sz w:val="24"/>
          <w:highlight w:val="none"/>
        </w:rPr>
        <w:t>工程量清单</w:t>
      </w:r>
    </w:p>
    <w:p w14:paraId="18FF247F">
      <w:pPr>
        <w:pStyle w:val="4"/>
        <w:jc w:val="both"/>
        <w:rPr>
          <w:rFonts w:hint="eastAsia" w:ascii="宋体" w:hAnsi="宋体" w:cs="宋体"/>
          <w:bCs w:val="0"/>
          <w:color w:val="000000"/>
          <w:highlight w:val="none"/>
        </w:rPr>
      </w:pPr>
      <w:bookmarkStart w:id="17" w:name="_Toc24242"/>
      <w:bookmarkStart w:id="18" w:name="_Toc420592316"/>
      <w:bookmarkStart w:id="19" w:name="_Toc300901183"/>
      <w:r>
        <w:rPr>
          <w:rFonts w:hint="eastAsia" w:ascii="宋体" w:hAnsi="宋体" w:cs="宋体"/>
          <w:bCs w:val="0"/>
          <w:color w:val="000000"/>
          <w:highlight w:val="none"/>
        </w:rPr>
        <w:t>1．工程量清单说明</w:t>
      </w:r>
      <w:bookmarkEnd w:id="17"/>
    </w:p>
    <w:p w14:paraId="1BEF2180">
      <w:pPr>
        <w:spacing w:line="360" w:lineRule="auto"/>
        <w:ind w:firstLine="410" w:firstLineChars="171"/>
        <w:rPr>
          <w:rFonts w:hint="eastAsia" w:ascii="宋体" w:hAnsi="宋体" w:eastAsia="宋体" w:cs="宋体"/>
          <w:color w:val="000000"/>
          <w:sz w:val="24"/>
          <w:szCs w:val="24"/>
        </w:rPr>
      </w:pPr>
      <w:r>
        <w:rPr>
          <w:rFonts w:hint="eastAsia" w:ascii="宋体" w:hAnsi="宋体" w:eastAsia="宋体" w:cs="宋体"/>
          <w:color w:val="000000"/>
          <w:sz w:val="24"/>
          <w:szCs w:val="24"/>
        </w:rPr>
        <w:t>1.1本工程量清单是依据中华人民共和国国家标准</w:t>
      </w:r>
      <w:r>
        <w:rPr>
          <w:rFonts w:hint="eastAsia" w:ascii="宋体" w:hAnsi="宋体" w:eastAsia="宋体" w:cs="宋体"/>
          <w:color w:val="000000"/>
          <w:sz w:val="24"/>
          <w:szCs w:val="24"/>
          <w:highlight w:val="none"/>
        </w:rPr>
        <w:t>《建设工程工程量清单计价规范》(以下简称“计价规范”)、 《山东省建设工程工程量清单计价规则》以</w:t>
      </w:r>
      <w:r>
        <w:rPr>
          <w:rFonts w:hint="eastAsia" w:ascii="宋体" w:hAnsi="宋体" w:eastAsia="宋体" w:cs="宋体"/>
          <w:color w:val="000000"/>
          <w:sz w:val="24"/>
          <w:szCs w:val="24"/>
        </w:rPr>
        <w:t>及竞争性磋商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14:paraId="5644E2E7">
      <w:pPr>
        <w:spacing w:line="360" w:lineRule="auto"/>
        <w:ind w:firstLine="410" w:firstLineChars="171"/>
        <w:rPr>
          <w:rFonts w:hint="eastAsia" w:ascii="宋体" w:hAnsi="宋体" w:eastAsia="宋体" w:cs="宋体"/>
          <w:color w:val="000000"/>
          <w:sz w:val="24"/>
          <w:szCs w:val="24"/>
        </w:rPr>
      </w:pPr>
      <w:r>
        <w:rPr>
          <w:rFonts w:hint="eastAsia" w:ascii="宋体" w:hAnsi="宋体" w:eastAsia="宋体" w:cs="宋体"/>
          <w:color w:val="000000"/>
          <w:sz w:val="24"/>
          <w:szCs w:val="24"/>
        </w:rPr>
        <w:t>1.2本工程量清单应与竞争性磋商文件中的供应商须知、通用合同条款、专用合同条款、施工组织设计准和要求及图纸等章节内容一起阅读和理解。</w:t>
      </w:r>
    </w:p>
    <w:p w14:paraId="724572AA">
      <w:pPr>
        <w:spacing w:line="360" w:lineRule="auto"/>
        <w:ind w:firstLine="410" w:firstLineChars="171"/>
        <w:rPr>
          <w:rFonts w:hint="eastAsia" w:ascii="宋体" w:hAnsi="宋体" w:eastAsia="宋体" w:cs="宋体"/>
          <w:color w:val="000000"/>
          <w:sz w:val="24"/>
          <w:szCs w:val="24"/>
        </w:rPr>
      </w:pPr>
      <w:r>
        <w:rPr>
          <w:rFonts w:hint="eastAsia" w:ascii="宋体" w:hAnsi="宋体" w:eastAsia="宋体" w:cs="宋体"/>
          <w:color w:val="000000"/>
          <w:sz w:val="24"/>
          <w:szCs w:val="24"/>
        </w:rPr>
        <w:t>1.3本工程量清单仅是报价的共同基础，竣工结算的工程量按合同约定确定。合同价格的确定以及价款支付应遵循合同条款(包括通用合同条款和专用合同条款)、施工组织设计准和要求以及本章的有关约定。</w:t>
      </w:r>
    </w:p>
    <w:p w14:paraId="1CBE72B2">
      <w:pPr>
        <w:spacing w:line="360" w:lineRule="auto"/>
        <w:ind w:firstLine="410" w:firstLineChars="171"/>
        <w:rPr>
          <w:rFonts w:hint="eastAsia" w:ascii="宋体" w:hAnsi="宋体" w:eastAsia="宋体" w:cs="宋体"/>
          <w:color w:val="000000"/>
          <w:sz w:val="24"/>
          <w:szCs w:val="24"/>
        </w:rPr>
      </w:pPr>
      <w:r>
        <w:rPr>
          <w:rFonts w:hint="eastAsia" w:ascii="宋体" w:hAnsi="宋体" w:eastAsia="宋体" w:cs="宋体"/>
          <w:color w:val="000000"/>
          <w:sz w:val="24"/>
          <w:szCs w:val="24"/>
        </w:rPr>
        <w:t>1.4补充子目的子目特征、计量单位、工程量计算规则及工作内容说明如下：</w:t>
      </w:r>
    </w:p>
    <w:p w14:paraId="3D282716">
      <w:pPr>
        <w:spacing w:line="360" w:lineRule="auto"/>
        <w:ind w:left="741" w:hanging="847" w:hangingChars="353"/>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                            。</w:t>
      </w:r>
    </w:p>
    <w:p w14:paraId="55B2E65B">
      <w:pPr>
        <w:spacing w:line="360" w:lineRule="auto"/>
        <w:ind w:firstLine="410" w:firstLineChars="171"/>
        <w:rPr>
          <w:rFonts w:hint="eastAsia" w:ascii="宋体" w:hAnsi="宋体" w:eastAsia="宋体" w:cs="宋体"/>
          <w:color w:val="000000"/>
          <w:sz w:val="24"/>
          <w:szCs w:val="24"/>
        </w:rPr>
      </w:pPr>
      <w:r>
        <w:rPr>
          <w:rFonts w:hint="eastAsia" w:ascii="宋体" w:hAnsi="宋体" w:eastAsia="宋体" w:cs="宋体"/>
          <w:color w:val="000000"/>
          <w:sz w:val="24"/>
          <w:szCs w:val="24"/>
        </w:rPr>
        <w:t>1.5本条第1.1款中约定的计量和计价规则适用于合同履约过程中工程量计量与价款支付、工程变更、索赔和工程结算。</w:t>
      </w:r>
    </w:p>
    <w:p w14:paraId="59FAE94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1.6本条与下述第2条和第3条的说明内容是构成合同文件的已标价工程量清单的组成部分。</w:t>
      </w:r>
    </w:p>
    <w:p w14:paraId="40D168C4">
      <w:pPr>
        <w:pStyle w:val="4"/>
        <w:jc w:val="both"/>
        <w:rPr>
          <w:rFonts w:hint="eastAsia" w:ascii="宋体" w:hAnsi="宋体" w:cs="宋体"/>
          <w:bCs w:val="0"/>
          <w:color w:val="000000"/>
        </w:rPr>
      </w:pPr>
      <w:bookmarkStart w:id="20" w:name="_Toc24996"/>
      <w:r>
        <w:rPr>
          <w:rFonts w:hint="eastAsia" w:ascii="宋体" w:hAnsi="宋体" w:cs="宋体"/>
          <w:bCs w:val="0"/>
          <w:color w:val="000000"/>
        </w:rPr>
        <w:t>2．报价说明</w:t>
      </w:r>
      <w:bookmarkEnd w:id="20"/>
    </w:p>
    <w:p w14:paraId="2E09AAEB">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2.1报价应根据竞争性磋商文件中的有关计价要求，并按照下列依据自主报价。</w:t>
      </w:r>
    </w:p>
    <w:p w14:paraId="0519787E">
      <w:pPr>
        <w:spacing w:line="360" w:lineRule="auto"/>
        <w:ind w:firstLine="616" w:firstLineChars="257"/>
        <w:rPr>
          <w:rFonts w:hint="eastAsia" w:ascii="宋体" w:hAnsi="宋体"/>
          <w:color w:val="000000"/>
          <w:sz w:val="24"/>
          <w:szCs w:val="24"/>
        </w:rPr>
      </w:pPr>
      <w:r>
        <w:rPr>
          <w:rFonts w:hint="eastAsia" w:ascii="黑体" w:hAnsi="宋体" w:eastAsia="黑体"/>
          <w:color w:val="000000"/>
          <w:sz w:val="24"/>
          <w:szCs w:val="24"/>
        </w:rPr>
        <w:t>(1)</w:t>
      </w:r>
      <w:r>
        <w:rPr>
          <w:rFonts w:hint="eastAsia" w:ascii="宋体" w:hAnsi="宋体"/>
          <w:color w:val="000000"/>
          <w:sz w:val="24"/>
          <w:szCs w:val="24"/>
        </w:rPr>
        <w:t xml:space="preserve">  本竞争性磋商文件；</w:t>
      </w:r>
    </w:p>
    <w:p w14:paraId="0084AA0E">
      <w:pPr>
        <w:spacing w:line="360" w:lineRule="auto"/>
        <w:ind w:firstLine="616" w:firstLineChars="257"/>
        <w:rPr>
          <w:rFonts w:hint="eastAsia" w:ascii="宋体" w:hAnsi="宋体" w:eastAsia="黑体"/>
          <w:color w:val="000000"/>
          <w:sz w:val="24"/>
          <w:szCs w:val="24"/>
          <w:highlight w:val="none"/>
          <w:lang w:eastAsia="zh-CN"/>
        </w:rPr>
      </w:pPr>
      <w:r>
        <w:rPr>
          <w:rFonts w:hint="eastAsia" w:ascii="黑体" w:hAnsi="宋体" w:eastAsia="黑体"/>
          <w:color w:val="000000"/>
          <w:sz w:val="24"/>
          <w:szCs w:val="24"/>
        </w:rPr>
        <w:t>(2</w:t>
      </w:r>
      <w:r>
        <w:rPr>
          <w:rFonts w:hint="eastAsia" w:ascii="黑体" w:hAnsi="宋体" w:eastAsia="黑体"/>
          <w:color w:val="000000"/>
          <w:sz w:val="24"/>
          <w:szCs w:val="24"/>
          <w:lang w:eastAsia="zh-CN"/>
        </w:rPr>
        <w:t>）</w:t>
      </w:r>
      <w:r>
        <w:rPr>
          <w:rFonts w:hint="eastAsia" w:ascii="黑体" w:hAnsi="宋体" w:eastAsia="黑体"/>
          <w:color w:val="000000"/>
          <w:sz w:val="24"/>
          <w:szCs w:val="24"/>
          <w:lang w:val="en-US" w:eastAsia="zh-CN"/>
        </w:rPr>
        <w:t xml:space="preserve"> </w:t>
      </w:r>
      <w:r>
        <w:rPr>
          <w:rFonts w:hint="eastAsia" w:ascii="宋体" w:hAnsi="宋体"/>
          <w:color w:val="000000"/>
          <w:sz w:val="24"/>
          <w:szCs w:val="24"/>
        </w:rPr>
        <w:t>国家或省级、行业建设主管部门颁发的计价办法；</w:t>
      </w:r>
    </w:p>
    <w:p w14:paraId="1052F82B">
      <w:pPr>
        <w:spacing w:line="360" w:lineRule="auto"/>
        <w:ind w:firstLine="616" w:firstLineChars="257"/>
        <w:rPr>
          <w:rFonts w:hint="eastAsia" w:ascii="宋体" w:hAnsi="宋体"/>
          <w:color w:val="000000"/>
          <w:sz w:val="24"/>
          <w:szCs w:val="24"/>
        </w:rPr>
      </w:pPr>
      <w:r>
        <w:rPr>
          <w:rFonts w:hint="eastAsia" w:ascii="黑体" w:hAnsi="宋体" w:eastAsia="黑体"/>
          <w:color w:val="000000"/>
          <w:sz w:val="24"/>
          <w:szCs w:val="24"/>
        </w:rPr>
        <w:t>(3)</w:t>
      </w:r>
      <w:r>
        <w:rPr>
          <w:rFonts w:hint="eastAsia" w:ascii="宋体" w:hAnsi="宋体"/>
          <w:color w:val="000000"/>
          <w:sz w:val="24"/>
          <w:szCs w:val="24"/>
        </w:rPr>
        <w:t xml:space="preserve">  企业定额，国家或省级、行业建设主管部门颁发的计价定额；</w:t>
      </w:r>
    </w:p>
    <w:p w14:paraId="7D45D512">
      <w:pPr>
        <w:spacing w:line="360" w:lineRule="auto"/>
        <w:ind w:firstLine="616" w:firstLineChars="257"/>
        <w:rPr>
          <w:rFonts w:hint="eastAsia" w:ascii="宋体" w:hAnsi="宋体"/>
          <w:color w:val="000000"/>
          <w:sz w:val="24"/>
          <w:szCs w:val="24"/>
        </w:rPr>
      </w:pPr>
      <w:r>
        <w:rPr>
          <w:rFonts w:hint="eastAsia" w:ascii="黑体" w:hAnsi="宋体" w:eastAsia="黑体"/>
          <w:color w:val="000000"/>
          <w:sz w:val="24"/>
          <w:szCs w:val="24"/>
        </w:rPr>
        <w:t>(4)</w:t>
      </w:r>
      <w:r>
        <w:rPr>
          <w:rFonts w:hint="eastAsia" w:ascii="宋体" w:hAnsi="宋体"/>
          <w:color w:val="000000"/>
          <w:sz w:val="24"/>
          <w:szCs w:val="24"/>
        </w:rPr>
        <w:t xml:space="preserve">  竞争性磋商文件(包括工程量清单)的澄清、补充和修改文件；</w:t>
      </w:r>
    </w:p>
    <w:p w14:paraId="16475A02">
      <w:pPr>
        <w:spacing w:line="360" w:lineRule="auto"/>
        <w:ind w:firstLine="616" w:firstLineChars="257"/>
        <w:rPr>
          <w:rFonts w:hint="eastAsia" w:ascii="宋体" w:hAnsi="宋体"/>
          <w:color w:val="000000"/>
          <w:sz w:val="24"/>
          <w:szCs w:val="24"/>
        </w:rPr>
      </w:pPr>
      <w:r>
        <w:rPr>
          <w:rFonts w:hint="eastAsia" w:ascii="黑体" w:hAnsi="宋体" w:eastAsia="黑体"/>
          <w:color w:val="000000"/>
          <w:sz w:val="24"/>
          <w:szCs w:val="24"/>
        </w:rPr>
        <w:t>(5)</w:t>
      </w:r>
      <w:r>
        <w:rPr>
          <w:rFonts w:hint="eastAsia" w:ascii="宋体" w:hAnsi="宋体"/>
          <w:color w:val="000000"/>
          <w:sz w:val="24"/>
          <w:szCs w:val="24"/>
        </w:rPr>
        <w:t xml:space="preserve">  </w:t>
      </w:r>
      <w:r>
        <w:rPr>
          <w:rFonts w:hint="eastAsia" w:ascii="宋体" w:hAnsi="宋体"/>
          <w:color w:val="000000"/>
          <w:sz w:val="24"/>
          <w:szCs w:val="24"/>
          <w:highlight w:val="none"/>
        </w:rPr>
        <w:t>建设工程设计文件及相关资料；</w:t>
      </w:r>
    </w:p>
    <w:p w14:paraId="77460536">
      <w:pPr>
        <w:spacing w:line="360" w:lineRule="auto"/>
        <w:ind w:firstLine="616" w:firstLineChars="257"/>
        <w:rPr>
          <w:rFonts w:hint="eastAsia" w:ascii="宋体" w:hAnsi="宋体"/>
          <w:color w:val="000000"/>
          <w:sz w:val="24"/>
          <w:szCs w:val="24"/>
        </w:rPr>
      </w:pPr>
      <w:r>
        <w:rPr>
          <w:rFonts w:hint="eastAsia" w:ascii="黑体" w:hAnsi="宋体" w:eastAsia="黑体"/>
          <w:color w:val="000000"/>
          <w:sz w:val="24"/>
          <w:szCs w:val="24"/>
        </w:rPr>
        <w:t>(6)</w:t>
      </w:r>
      <w:r>
        <w:rPr>
          <w:rFonts w:hint="eastAsia" w:ascii="宋体" w:hAnsi="宋体"/>
          <w:color w:val="000000"/>
          <w:sz w:val="24"/>
          <w:szCs w:val="24"/>
        </w:rPr>
        <w:t xml:space="preserve">  施工现场情况、工程特点及拟定的竞标施工组织设计或施工方案；</w:t>
      </w:r>
    </w:p>
    <w:p w14:paraId="30D912E1">
      <w:pPr>
        <w:spacing w:line="360" w:lineRule="auto"/>
        <w:ind w:firstLine="616" w:firstLineChars="257"/>
        <w:rPr>
          <w:rFonts w:hint="eastAsia" w:ascii="宋体" w:hAnsi="宋体"/>
          <w:color w:val="000000"/>
          <w:sz w:val="24"/>
          <w:szCs w:val="24"/>
        </w:rPr>
      </w:pPr>
      <w:r>
        <w:rPr>
          <w:rFonts w:hint="eastAsia" w:ascii="黑体" w:hAnsi="宋体" w:eastAsia="黑体"/>
          <w:color w:val="000000"/>
          <w:sz w:val="24"/>
          <w:szCs w:val="24"/>
        </w:rPr>
        <w:t>(7)</w:t>
      </w:r>
      <w:r>
        <w:rPr>
          <w:rFonts w:hint="eastAsia" w:ascii="宋体" w:hAnsi="宋体"/>
          <w:color w:val="000000"/>
          <w:sz w:val="24"/>
          <w:szCs w:val="24"/>
        </w:rPr>
        <w:t xml:space="preserve">  </w:t>
      </w:r>
      <w:r>
        <w:rPr>
          <w:rFonts w:hint="eastAsia"/>
          <w:color w:val="000000"/>
          <w:sz w:val="24"/>
          <w:szCs w:val="24"/>
        </w:rPr>
        <w:t>与建设项目相关的标准、规定等技术资料；</w:t>
      </w:r>
    </w:p>
    <w:p w14:paraId="730A59D2">
      <w:pPr>
        <w:spacing w:line="360" w:lineRule="auto"/>
        <w:ind w:firstLine="616" w:firstLineChars="257"/>
        <w:rPr>
          <w:rFonts w:hint="eastAsia"/>
          <w:color w:val="000000"/>
          <w:sz w:val="24"/>
          <w:szCs w:val="24"/>
        </w:rPr>
      </w:pPr>
      <w:r>
        <w:rPr>
          <w:rFonts w:hint="eastAsia" w:ascii="黑体" w:eastAsia="黑体"/>
          <w:color w:val="000000"/>
          <w:sz w:val="24"/>
          <w:szCs w:val="24"/>
        </w:rPr>
        <w:t>(8)</w:t>
      </w:r>
      <w:r>
        <w:rPr>
          <w:rFonts w:hint="eastAsia"/>
          <w:color w:val="000000"/>
          <w:sz w:val="24"/>
          <w:szCs w:val="24"/>
        </w:rPr>
        <w:t xml:space="preserve">  市场价格信息或工程造价管理机构发布的工程造价信息；</w:t>
      </w:r>
    </w:p>
    <w:p w14:paraId="18CD8ACB">
      <w:pPr>
        <w:spacing w:line="360" w:lineRule="auto"/>
        <w:ind w:firstLine="616" w:firstLineChars="257"/>
        <w:rPr>
          <w:rFonts w:hint="eastAsia"/>
          <w:color w:val="000000"/>
          <w:sz w:val="24"/>
          <w:szCs w:val="24"/>
        </w:rPr>
      </w:pPr>
      <w:r>
        <w:rPr>
          <w:rFonts w:hint="eastAsia" w:ascii="黑体" w:eastAsia="黑体"/>
          <w:color w:val="000000"/>
          <w:sz w:val="24"/>
          <w:szCs w:val="24"/>
        </w:rPr>
        <w:t>(9)</w:t>
      </w:r>
      <w:r>
        <w:rPr>
          <w:rFonts w:hint="eastAsia"/>
          <w:color w:val="000000"/>
          <w:sz w:val="24"/>
          <w:szCs w:val="24"/>
        </w:rPr>
        <w:t xml:space="preserve">  其他的相关资料。</w:t>
      </w:r>
    </w:p>
    <w:p w14:paraId="47688855">
      <w:pPr>
        <w:spacing w:line="360" w:lineRule="auto"/>
        <w:ind w:firstLine="480" w:firstLineChars="200"/>
        <w:rPr>
          <w:rFonts w:hint="eastAsia"/>
          <w:color w:val="000000"/>
          <w:sz w:val="24"/>
          <w:szCs w:val="24"/>
        </w:rPr>
      </w:pPr>
      <w:r>
        <w:rPr>
          <w:rFonts w:hint="eastAsia"/>
          <w:color w:val="000000"/>
          <w:sz w:val="24"/>
          <w:szCs w:val="24"/>
        </w:rPr>
        <w:t>2.2工程量清单中的每一子目须填入单价或价格，且只允许有一个报价。</w:t>
      </w:r>
    </w:p>
    <w:p w14:paraId="53C97982">
      <w:pPr>
        <w:spacing w:line="360" w:lineRule="auto"/>
        <w:ind w:firstLine="480" w:firstLineChars="200"/>
        <w:rPr>
          <w:rFonts w:hint="eastAsia"/>
          <w:color w:val="000000"/>
          <w:sz w:val="24"/>
          <w:szCs w:val="24"/>
        </w:rPr>
      </w:pPr>
      <w:r>
        <w:rPr>
          <w:rFonts w:hint="eastAsia"/>
          <w:color w:val="000000"/>
          <w:sz w:val="24"/>
          <w:szCs w:val="24"/>
        </w:rPr>
        <w:t>2.3工程量清单成交价的单价或金额，应包括所需人工费、材料费、施工机械使用费和管理费及利润，以及一定范围内的风险费用。所谓“一定范围内的风险”是指合同约定的风险。</w:t>
      </w:r>
    </w:p>
    <w:p w14:paraId="2146BC4B">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sz w:val="24"/>
          <w:szCs w:val="24"/>
          <w:highlight w:val="none"/>
          <w:lang w:bidi="ar"/>
        </w:rPr>
      </w:pPr>
      <w:bookmarkStart w:id="21" w:name="_Toc300232556"/>
      <w:bookmarkStart w:id="22" w:name="_Toc31794"/>
      <w:bookmarkStart w:id="23" w:name="_Toc17581"/>
      <w:bookmarkStart w:id="24" w:name="_Toc28292"/>
      <w:r>
        <w:rPr>
          <w:rFonts w:hint="eastAsia" w:ascii="Times New Roman" w:hAnsi="Times New Roman" w:eastAsia="宋体" w:cs="宋体"/>
          <w:b/>
          <w:bCs/>
          <w:sz w:val="24"/>
          <w:szCs w:val="24"/>
          <w:highlight w:val="none"/>
          <w:lang w:val="en-US" w:eastAsia="zh-CN" w:bidi="ar"/>
        </w:rPr>
        <w:t>2.4</w:t>
      </w:r>
      <w:r>
        <w:rPr>
          <w:rFonts w:hint="eastAsia" w:ascii="Times New Roman" w:hAnsi="Times New Roman" w:eastAsia="宋体" w:cs="宋体"/>
          <w:b/>
          <w:bCs/>
          <w:sz w:val="24"/>
          <w:szCs w:val="24"/>
          <w:highlight w:val="none"/>
          <w:lang w:bidi="ar"/>
        </w:rPr>
        <w:t>本</w:t>
      </w:r>
      <w:r>
        <w:rPr>
          <w:rFonts w:hint="eastAsia" w:ascii="Times New Roman" w:hAnsi="Times New Roman" w:eastAsia="宋体" w:cs="宋体"/>
          <w:b/>
          <w:bCs/>
          <w:sz w:val="24"/>
          <w:szCs w:val="24"/>
          <w:highlight w:val="none"/>
          <w:lang w:eastAsia="zh-CN" w:bidi="ar"/>
        </w:rPr>
        <w:t>项目</w:t>
      </w:r>
      <w:r>
        <w:rPr>
          <w:rFonts w:hint="eastAsia" w:ascii="Times New Roman" w:hAnsi="Times New Roman" w:eastAsia="宋体" w:cs="宋体"/>
          <w:b/>
          <w:bCs/>
          <w:sz w:val="24"/>
          <w:szCs w:val="24"/>
          <w:highlight w:val="none"/>
          <w:lang w:bidi="ar"/>
        </w:rPr>
        <w:t>采用固定含税全费用综合单价合同形式。</w:t>
      </w:r>
    </w:p>
    <w:p w14:paraId="6E291230">
      <w:pPr>
        <w:pageBreakBefore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sz w:val="24"/>
          <w:szCs w:val="24"/>
          <w:highlight w:val="none"/>
          <w:lang w:eastAsia="zh-CN" w:bidi="ar"/>
        </w:rPr>
      </w:pPr>
      <w:r>
        <w:rPr>
          <w:rFonts w:hint="eastAsia" w:ascii="Times New Roman" w:hAnsi="Times New Roman" w:eastAsia="宋体" w:cs="宋体"/>
          <w:b/>
          <w:bCs/>
          <w:sz w:val="24"/>
          <w:szCs w:val="24"/>
          <w:highlight w:val="none"/>
          <w:lang w:eastAsia="zh-CN" w:bidi="ar"/>
        </w:rPr>
        <w:t>各</w:t>
      </w:r>
      <w:r>
        <w:rPr>
          <w:rFonts w:hint="eastAsia" w:ascii="Times New Roman" w:hAnsi="Times New Roman" w:cs="宋体"/>
          <w:b/>
          <w:bCs/>
          <w:sz w:val="24"/>
          <w:szCs w:val="24"/>
          <w:highlight w:val="none"/>
          <w:lang w:eastAsia="zh-CN" w:bidi="ar"/>
        </w:rPr>
        <w:t>供应商</w:t>
      </w:r>
      <w:r>
        <w:rPr>
          <w:rFonts w:hint="eastAsia" w:ascii="Times New Roman" w:hAnsi="Times New Roman" w:eastAsia="宋体" w:cs="宋体"/>
          <w:b/>
          <w:bCs/>
          <w:sz w:val="24"/>
          <w:szCs w:val="24"/>
          <w:highlight w:val="none"/>
          <w:lang w:eastAsia="zh-CN" w:bidi="ar"/>
        </w:rPr>
        <w:t>应根据</w:t>
      </w:r>
      <w:r>
        <w:rPr>
          <w:rFonts w:hint="eastAsia" w:ascii="Times New Roman" w:hAnsi="Times New Roman" w:cs="宋体"/>
          <w:b/>
          <w:bCs/>
          <w:sz w:val="24"/>
          <w:szCs w:val="24"/>
          <w:highlight w:val="none"/>
          <w:lang w:eastAsia="zh-CN" w:bidi="ar"/>
        </w:rPr>
        <w:t>采购文件</w:t>
      </w:r>
      <w:r>
        <w:rPr>
          <w:rFonts w:hint="eastAsia" w:ascii="Times New Roman" w:hAnsi="Times New Roman" w:eastAsia="宋体" w:cs="宋体"/>
          <w:b/>
          <w:bCs/>
          <w:sz w:val="24"/>
          <w:szCs w:val="24"/>
          <w:highlight w:val="none"/>
          <w:lang w:eastAsia="zh-CN" w:bidi="ar"/>
        </w:rPr>
        <w:t>给定的工程量清单逐项填报单价和合价，并以此汇总计算总价。</w:t>
      </w:r>
    </w:p>
    <w:p w14:paraId="1EE39DCD">
      <w:pPr>
        <w:pageBreakBefore w:val="0"/>
        <w:kinsoku/>
        <w:wordWrap/>
        <w:overflowPunct/>
        <w:topLinePunct w:val="0"/>
        <w:autoSpaceDE/>
        <w:autoSpaceDN/>
        <w:bidi w:val="0"/>
        <w:adjustRightInd/>
        <w:snapToGrid/>
        <w:spacing w:line="360" w:lineRule="auto"/>
        <w:ind w:firstLine="482" w:firstLineChars="200"/>
        <w:textAlignment w:val="auto"/>
        <w:rPr>
          <w:sz w:val="24"/>
          <w:szCs w:val="24"/>
        </w:rPr>
      </w:pPr>
      <w:r>
        <w:rPr>
          <w:rFonts w:hint="eastAsia" w:ascii="Times New Roman" w:hAnsi="Times New Roman" w:cs="宋体"/>
          <w:b/>
          <w:bCs/>
          <w:sz w:val="24"/>
          <w:szCs w:val="24"/>
          <w:highlight w:val="none"/>
          <w:lang w:eastAsia="zh-CN" w:bidi="ar"/>
        </w:rPr>
        <w:t>供应商</w:t>
      </w:r>
      <w:r>
        <w:rPr>
          <w:rFonts w:hint="eastAsia" w:ascii="Times New Roman" w:hAnsi="Times New Roman" w:eastAsia="宋体" w:cs="宋体"/>
          <w:b/>
          <w:bCs/>
          <w:sz w:val="24"/>
          <w:szCs w:val="24"/>
          <w:highlight w:val="none"/>
          <w:lang w:eastAsia="zh-CN" w:bidi="ar"/>
        </w:rPr>
        <w:t>的报价</w:t>
      </w:r>
      <w:r>
        <w:rPr>
          <w:rFonts w:hint="eastAsia" w:ascii="Times New Roman" w:hAnsi="Times New Roman" w:eastAsia="宋体" w:cs="宋体"/>
          <w:b/>
          <w:bCs/>
          <w:sz w:val="24"/>
          <w:szCs w:val="24"/>
          <w:highlight w:val="none"/>
          <w:lang w:bidi="ar"/>
        </w:rPr>
        <w:t>包括图纸范围内的全部工作内容，包含</w:t>
      </w:r>
      <w:r>
        <w:rPr>
          <w:rFonts w:hint="eastAsia" w:ascii="Times New Roman" w:hAnsi="Times New Roman" w:eastAsia="宋体" w:cs="宋体"/>
          <w:b/>
          <w:bCs/>
          <w:sz w:val="24"/>
          <w:szCs w:val="24"/>
          <w:highlight w:val="none"/>
          <w:lang w:eastAsia="zh-CN" w:bidi="ar"/>
        </w:rPr>
        <w:t>施工设备、劳务、材料（含辅材）、安装、运输、维护、保险（含劳动保险等）、管理费、利润及税金、水电费用（在付款时扣除）、安全文明施工费、规费、调试费、措施费、扬尘治理、安全、工期、质量、垃圾清理及外运、分批次进出场产生的费用（不因现场情况机械进出多少次，只计算一次机械进出场费用）、二次搬运费、材料的保管费、检验费、验收费、总包配合费用、社群关系协调费、意外伤害、伤亡事故、政策性文件规定、不明地质变化及合同实施期内包含的所有风险、责任等各项应有费用，并考虑所有风险及包含律师费、诉讼费、保全费、公告费、鉴定费、交通食宿费、预期的市场价格的涨跌引起的费用、政策性文件规定以及施工期间政策调整而发生的风险、在限定的工期内完成施工项目及整项工程并达到合同约定的质量标准所需要的费用、</w:t>
      </w:r>
      <w:r>
        <w:rPr>
          <w:rFonts w:hint="eastAsia" w:cs="宋体"/>
          <w:b/>
          <w:bCs/>
          <w:sz w:val="24"/>
          <w:szCs w:val="24"/>
          <w:highlight w:val="none"/>
          <w:lang w:eastAsia="zh-CN" w:bidi="ar"/>
        </w:rPr>
        <w:t>隐含的为完成该项目而必须发生的费用</w:t>
      </w:r>
      <w:r>
        <w:rPr>
          <w:rFonts w:hint="eastAsia" w:ascii="Times New Roman" w:hAnsi="Times New Roman" w:eastAsia="宋体" w:cs="宋体"/>
          <w:b/>
          <w:bCs/>
          <w:sz w:val="24"/>
          <w:szCs w:val="24"/>
          <w:highlight w:val="none"/>
          <w:lang w:eastAsia="zh-CN" w:bidi="ar"/>
        </w:rPr>
        <w:t>、在合同实施期间不因市场变化因素而变动。除固定含税全费用综合单价外，承包人无权再向发包人主张任何价款及费用</w:t>
      </w:r>
      <w:r>
        <w:rPr>
          <w:rFonts w:hint="eastAsia" w:ascii="Times New Roman" w:hAnsi="Times New Roman" w:eastAsia="宋体" w:cs="宋体"/>
          <w:b/>
          <w:bCs/>
          <w:sz w:val="24"/>
          <w:szCs w:val="24"/>
          <w:highlight w:val="none"/>
          <w:lang w:bidi="ar"/>
        </w:rPr>
        <w:t>。</w:t>
      </w:r>
    </w:p>
    <w:p w14:paraId="52686820">
      <w:pPr>
        <w:pageBreakBefore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sz w:val="24"/>
          <w:szCs w:val="24"/>
          <w:highlight w:val="none"/>
          <w:lang w:eastAsia="zh-CN" w:bidi="ar"/>
        </w:rPr>
      </w:pPr>
      <w:r>
        <w:rPr>
          <w:rFonts w:hint="eastAsia" w:ascii="Times New Roman" w:hAnsi="Times New Roman" w:eastAsia="宋体" w:cs="宋体"/>
          <w:b/>
          <w:bCs/>
          <w:sz w:val="24"/>
          <w:szCs w:val="24"/>
          <w:highlight w:val="none"/>
          <w:lang w:eastAsia="zh-CN" w:bidi="ar"/>
        </w:rPr>
        <w:t>各</w:t>
      </w:r>
      <w:r>
        <w:rPr>
          <w:rFonts w:hint="eastAsia" w:ascii="Times New Roman" w:hAnsi="Times New Roman" w:cs="宋体"/>
          <w:b/>
          <w:bCs/>
          <w:sz w:val="24"/>
          <w:szCs w:val="24"/>
          <w:highlight w:val="none"/>
          <w:lang w:eastAsia="zh-CN" w:bidi="ar"/>
        </w:rPr>
        <w:t>供应商</w:t>
      </w:r>
      <w:r>
        <w:rPr>
          <w:rFonts w:hint="eastAsia" w:ascii="Times New Roman" w:hAnsi="Times New Roman" w:eastAsia="宋体" w:cs="宋体"/>
          <w:b/>
          <w:bCs/>
          <w:sz w:val="24"/>
          <w:szCs w:val="24"/>
          <w:highlight w:val="none"/>
          <w:lang w:eastAsia="zh-CN" w:bidi="ar"/>
        </w:rPr>
        <w:t>不得对清单中的“项目名称项目特征”、“计量单位”及“工程量”做任何变动，否则，评标委员会应否决其投标。</w:t>
      </w:r>
    </w:p>
    <w:p w14:paraId="413ABB4C">
      <w:pPr>
        <w:pStyle w:val="3"/>
        <w:spacing w:before="0" w:after="0" w:line="360" w:lineRule="auto"/>
        <w:jc w:val="both"/>
        <w:rPr>
          <w:rFonts w:hint="eastAsia" w:ascii="宋体" w:hAnsi="宋体" w:eastAsia="宋体" w:cs="宋体"/>
          <w:bCs w:val="0"/>
          <w:color w:val="000000"/>
          <w:sz w:val="24"/>
        </w:rPr>
      </w:pPr>
      <w:r>
        <w:rPr>
          <w:rFonts w:hint="eastAsia" w:ascii="宋体" w:hAnsi="宋体" w:eastAsia="宋体" w:cs="宋体"/>
          <w:bCs w:val="0"/>
          <w:color w:val="000000"/>
          <w:sz w:val="24"/>
        </w:rPr>
        <w:t>3．其他说明</w:t>
      </w:r>
      <w:bookmarkEnd w:id="21"/>
      <w:bookmarkEnd w:id="22"/>
      <w:bookmarkEnd w:id="23"/>
      <w:bookmarkEnd w:id="24"/>
    </w:p>
    <w:p w14:paraId="0FC48F51">
      <w:pPr>
        <w:spacing w:after="143" w:afterLines="50" w:line="360" w:lineRule="auto"/>
        <w:ind w:firstLine="480" w:firstLineChars="200"/>
        <w:rPr>
          <w:rFonts w:hint="eastAsia" w:ascii="宋体" w:hAnsi="宋体" w:cs="宋体"/>
          <w:b/>
          <w:color w:val="000000"/>
          <w:sz w:val="24"/>
          <w:szCs w:val="24"/>
        </w:rPr>
      </w:pPr>
      <w:r>
        <w:rPr>
          <w:rFonts w:hint="eastAsia" w:ascii="黑体" w:eastAsia="黑体"/>
          <w:color w:val="000000"/>
          <w:sz w:val="24"/>
          <w:szCs w:val="24"/>
        </w:rPr>
        <w:t>3.1词语和定义</w:t>
      </w:r>
    </w:p>
    <w:p w14:paraId="453958D7">
      <w:pPr>
        <w:spacing w:before="28" w:beforeLines="10" w:after="57" w:afterLines="20" w:line="360" w:lineRule="auto"/>
        <w:ind w:firstLine="480" w:firstLineChars="200"/>
        <w:rPr>
          <w:rFonts w:hint="eastAsia"/>
          <w:b/>
          <w:color w:val="000000"/>
          <w:sz w:val="24"/>
          <w:szCs w:val="24"/>
        </w:rPr>
      </w:pPr>
      <w:r>
        <w:rPr>
          <w:rFonts w:hint="eastAsia" w:ascii="黑体" w:eastAsia="黑体"/>
          <w:color w:val="000000"/>
          <w:sz w:val="24"/>
          <w:szCs w:val="24"/>
        </w:rPr>
        <w:t>3.1.1</w:t>
      </w:r>
      <w:r>
        <w:rPr>
          <w:rFonts w:hint="eastAsia"/>
          <w:color w:val="000000"/>
          <w:sz w:val="24"/>
          <w:szCs w:val="24"/>
        </w:rPr>
        <w:t xml:space="preserve">  </w:t>
      </w:r>
      <w:r>
        <w:rPr>
          <w:rFonts w:hint="eastAsia"/>
          <w:b/>
          <w:color w:val="000000"/>
          <w:sz w:val="24"/>
          <w:szCs w:val="24"/>
        </w:rPr>
        <w:t>工程量清单</w:t>
      </w:r>
    </w:p>
    <w:p w14:paraId="03C2C8E3">
      <w:pPr>
        <w:spacing w:line="360" w:lineRule="auto"/>
        <w:ind w:firstLine="410" w:firstLineChars="171"/>
        <w:rPr>
          <w:rFonts w:hint="eastAsia"/>
          <w:color w:val="000000"/>
          <w:sz w:val="24"/>
          <w:szCs w:val="24"/>
        </w:rPr>
      </w:pPr>
      <w:r>
        <w:rPr>
          <w:rFonts w:hint="eastAsia"/>
          <w:color w:val="000000"/>
          <w:sz w:val="24"/>
          <w:szCs w:val="24"/>
        </w:rPr>
        <w:t>是表现本工程分部分项工程项目、措施项目、其他项目、规费项目和税金的名称和相应数量等的明细清单。</w:t>
      </w:r>
    </w:p>
    <w:p w14:paraId="7B46065B">
      <w:pPr>
        <w:spacing w:before="28" w:beforeLines="10" w:after="57" w:afterLines="20" w:line="360" w:lineRule="auto"/>
        <w:ind w:firstLine="480" w:firstLineChars="200"/>
        <w:rPr>
          <w:rFonts w:hint="eastAsia"/>
          <w:b/>
          <w:color w:val="000000"/>
          <w:sz w:val="24"/>
          <w:szCs w:val="24"/>
        </w:rPr>
      </w:pPr>
      <w:r>
        <w:rPr>
          <w:rFonts w:hint="eastAsia" w:ascii="黑体" w:eastAsia="黑体"/>
          <w:color w:val="000000"/>
          <w:sz w:val="24"/>
          <w:szCs w:val="24"/>
        </w:rPr>
        <w:t xml:space="preserve">3.1.2 </w:t>
      </w:r>
      <w:r>
        <w:rPr>
          <w:rFonts w:hint="eastAsia"/>
          <w:color w:val="000000"/>
          <w:sz w:val="24"/>
          <w:szCs w:val="24"/>
        </w:rPr>
        <w:t xml:space="preserve"> </w:t>
      </w:r>
      <w:r>
        <w:rPr>
          <w:rFonts w:hint="eastAsia"/>
          <w:b/>
          <w:color w:val="000000"/>
          <w:sz w:val="24"/>
          <w:szCs w:val="24"/>
        </w:rPr>
        <w:t>总价子目</w:t>
      </w:r>
    </w:p>
    <w:p w14:paraId="639113C7">
      <w:pPr>
        <w:spacing w:line="360" w:lineRule="auto"/>
        <w:ind w:firstLine="410" w:firstLineChars="171"/>
        <w:rPr>
          <w:rFonts w:hint="eastAsia"/>
          <w:color w:val="000000"/>
          <w:sz w:val="24"/>
          <w:szCs w:val="24"/>
        </w:rPr>
      </w:pPr>
      <w:r>
        <w:rPr>
          <w:rFonts w:hint="eastAsia"/>
          <w:color w:val="000000"/>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14:paraId="1DDC883C">
      <w:pPr>
        <w:spacing w:before="28" w:beforeLines="10" w:after="57" w:afterLines="20" w:line="360" w:lineRule="auto"/>
        <w:ind w:firstLine="480" w:firstLineChars="200"/>
        <w:rPr>
          <w:rFonts w:hint="eastAsia"/>
          <w:b/>
          <w:color w:val="000000"/>
          <w:sz w:val="24"/>
          <w:szCs w:val="24"/>
        </w:rPr>
      </w:pPr>
      <w:r>
        <w:rPr>
          <w:rFonts w:hint="eastAsia" w:ascii="黑体" w:eastAsia="黑体"/>
          <w:color w:val="000000"/>
          <w:sz w:val="24"/>
          <w:szCs w:val="24"/>
        </w:rPr>
        <w:t>3.1.3</w:t>
      </w:r>
      <w:r>
        <w:rPr>
          <w:rFonts w:hint="eastAsia"/>
          <w:color w:val="000000"/>
          <w:sz w:val="24"/>
          <w:szCs w:val="24"/>
        </w:rPr>
        <w:t xml:space="preserve">  </w:t>
      </w:r>
      <w:r>
        <w:rPr>
          <w:rFonts w:hint="eastAsia"/>
          <w:b/>
          <w:color w:val="000000"/>
          <w:sz w:val="24"/>
          <w:szCs w:val="24"/>
        </w:rPr>
        <w:t>单价子目</w:t>
      </w:r>
    </w:p>
    <w:p w14:paraId="7E10B879">
      <w:pPr>
        <w:spacing w:line="360" w:lineRule="auto"/>
        <w:ind w:firstLine="410" w:firstLineChars="171"/>
        <w:rPr>
          <w:rFonts w:hint="eastAsia"/>
          <w:color w:val="000000"/>
          <w:sz w:val="24"/>
          <w:szCs w:val="24"/>
        </w:rPr>
      </w:pPr>
      <w:r>
        <w:rPr>
          <w:rFonts w:hint="eastAsia"/>
          <w:color w:val="000000"/>
          <w:sz w:val="24"/>
          <w:szCs w:val="24"/>
        </w:rPr>
        <w:t>工程量清单中以单价计价，根据有合同约束力的图纸和工程量计算规则进行计量，以实际完成数量乘以相应单价进行结算的子目。</w:t>
      </w:r>
    </w:p>
    <w:p w14:paraId="655E6A26">
      <w:pPr>
        <w:spacing w:before="28" w:beforeLines="10" w:after="57" w:afterLines="20" w:line="360" w:lineRule="auto"/>
        <w:ind w:firstLine="480" w:firstLineChars="200"/>
        <w:rPr>
          <w:rFonts w:hint="eastAsia"/>
          <w:b/>
          <w:color w:val="000000"/>
          <w:sz w:val="24"/>
          <w:szCs w:val="24"/>
        </w:rPr>
      </w:pPr>
      <w:r>
        <w:rPr>
          <w:rFonts w:hint="eastAsia" w:ascii="黑体" w:eastAsia="黑体"/>
          <w:color w:val="000000"/>
          <w:sz w:val="24"/>
          <w:szCs w:val="24"/>
        </w:rPr>
        <w:t>3.1.4</w:t>
      </w:r>
      <w:r>
        <w:rPr>
          <w:rFonts w:hint="eastAsia"/>
          <w:color w:val="000000"/>
          <w:sz w:val="24"/>
          <w:szCs w:val="24"/>
        </w:rPr>
        <w:t xml:space="preserve">  </w:t>
      </w:r>
      <w:r>
        <w:rPr>
          <w:rFonts w:hint="eastAsia"/>
          <w:b/>
          <w:color w:val="000000"/>
          <w:sz w:val="24"/>
          <w:szCs w:val="24"/>
        </w:rPr>
        <w:t>子目编码</w:t>
      </w:r>
    </w:p>
    <w:p w14:paraId="14B297E0">
      <w:pPr>
        <w:spacing w:line="360" w:lineRule="auto"/>
        <w:ind w:left="724" w:leftChars="345"/>
        <w:rPr>
          <w:rFonts w:hint="eastAsia"/>
          <w:color w:val="000000"/>
          <w:sz w:val="24"/>
          <w:szCs w:val="24"/>
        </w:rPr>
      </w:pPr>
      <w:r>
        <w:rPr>
          <w:rFonts w:hint="eastAsia"/>
          <w:color w:val="000000"/>
          <w:sz w:val="24"/>
          <w:szCs w:val="24"/>
        </w:rPr>
        <w:t>分部分项工程项目清单中所列的子目名称的数字标识和代码，子目编码与项目编码同义。</w:t>
      </w:r>
    </w:p>
    <w:p w14:paraId="5BF7BA65">
      <w:pPr>
        <w:spacing w:before="57" w:beforeLines="20" w:after="57" w:afterLines="20" w:line="360" w:lineRule="auto"/>
        <w:ind w:firstLine="480" w:firstLineChars="200"/>
        <w:rPr>
          <w:rFonts w:hint="eastAsia"/>
          <w:b/>
          <w:color w:val="000000"/>
          <w:sz w:val="24"/>
          <w:szCs w:val="24"/>
        </w:rPr>
      </w:pPr>
      <w:r>
        <w:rPr>
          <w:rFonts w:hint="eastAsia" w:ascii="黑体" w:eastAsia="黑体"/>
          <w:color w:val="000000"/>
          <w:sz w:val="24"/>
          <w:szCs w:val="24"/>
        </w:rPr>
        <w:t>3.1.5</w:t>
      </w:r>
      <w:r>
        <w:rPr>
          <w:rFonts w:hint="eastAsia"/>
          <w:color w:val="000000"/>
          <w:sz w:val="24"/>
          <w:szCs w:val="24"/>
        </w:rPr>
        <w:t xml:space="preserve">  </w:t>
      </w:r>
      <w:r>
        <w:rPr>
          <w:rFonts w:hint="eastAsia"/>
          <w:b/>
          <w:color w:val="000000"/>
          <w:sz w:val="24"/>
          <w:szCs w:val="24"/>
        </w:rPr>
        <w:t>子目特征</w:t>
      </w:r>
    </w:p>
    <w:p w14:paraId="3876D91E">
      <w:pPr>
        <w:spacing w:line="360" w:lineRule="auto"/>
        <w:ind w:firstLine="410" w:firstLineChars="171"/>
        <w:rPr>
          <w:rFonts w:hint="eastAsia"/>
          <w:color w:val="000000"/>
          <w:sz w:val="24"/>
          <w:szCs w:val="24"/>
        </w:rPr>
      </w:pPr>
      <w:r>
        <w:rPr>
          <w:rFonts w:hint="eastAsia"/>
          <w:color w:val="000000"/>
          <w:sz w:val="24"/>
          <w:szCs w:val="24"/>
        </w:rPr>
        <w:t>构成分部分项工程项目清单子目、措施项目的实质内容、决定其自身价值的本质特征，子目特征与项目特征同义。</w:t>
      </w:r>
    </w:p>
    <w:p w14:paraId="568611BD">
      <w:pPr>
        <w:spacing w:before="57" w:beforeLines="20" w:after="57" w:afterLines="20" w:line="360" w:lineRule="auto"/>
        <w:ind w:firstLine="480" w:firstLineChars="200"/>
        <w:rPr>
          <w:rFonts w:hint="eastAsia" w:ascii="宋体" w:hAnsi="宋体"/>
          <w:b/>
          <w:color w:val="000000"/>
          <w:sz w:val="24"/>
          <w:szCs w:val="24"/>
        </w:rPr>
      </w:pPr>
      <w:r>
        <w:rPr>
          <w:rFonts w:hint="eastAsia" w:ascii="黑体" w:eastAsia="黑体"/>
          <w:color w:val="000000"/>
          <w:sz w:val="24"/>
          <w:szCs w:val="24"/>
        </w:rPr>
        <w:t xml:space="preserve">3.1.6 </w:t>
      </w:r>
      <w:r>
        <w:rPr>
          <w:rFonts w:hint="eastAsia" w:ascii="宋体" w:hAnsi="宋体"/>
          <w:color w:val="000000"/>
          <w:sz w:val="24"/>
          <w:szCs w:val="24"/>
        </w:rPr>
        <w:t xml:space="preserve"> </w:t>
      </w:r>
      <w:r>
        <w:rPr>
          <w:rFonts w:hint="eastAsia" w:ascii="宋体" w:hAnsi="宋体"/>
          <w:b/>
          <w:color w:val="000000"/>
          <w:sz w:val="24"/>
          <w:szCs w:val="24"/>
        </w:rPr>
        <w:t>规费</w:t>
      </w:r>
    </w:p>
    <w:p w14:paraId="75CC9C88">
      <w:pPr>
        <w:spacing w:line="360" w:lineRule="auto"/>
        <w:ind w:left="359" w:leftChars="171"/>
        <w:rPr>
          <w:rFonts w:hint="eastAsia"/>
          <w:color w:val="000000"/>
          <w:sz w:val="24"/>
          <w:szCs w:val="24"/>
        </w:rPr>
      </w:pPr>
      <w:r>
        <w:rPr>
          <w:rFonts w:hint="eastAsia"/>
          <w:color w:val="000000"/>
          <w:sz w:val="24"/>
          <w:szCs w:val="24"/>
        </w:rPr>
        <w:t>承包人根据省级政府或省级有关权力部门规定必须缴纳的，应计入建筑安装工程造价的费用。</w:t>
      </w:r>
    </w:p>
    <w:p w14:paraId="1C73619F">
      <w:pPr>
        <w:spacing w:before="57" w:beforeLines="20" w:after="57" w:afterLines="20" w:line="360" w:lineRule="auto"/>
        <w:ind w:firstLine="480" w:firstLineChars="200"/>
        <w:rPr>
          <w:rFonts w:hint="eastAsia"/>
          <w:color w:val="000000"/>
          <w:sz w:val="24"/>
          <w:szCs w:val="24"/>
        </w:rPr>
      </w:pPr>
      <w:r>
        <w:rPr>
          <w:rFonts w:hint="eastAsia" w:ascii="黑体" w:eastAsia="黑体"/>
          <w:color w:val="000000"/>
          <w:sz w:val="24"/>
          <w:szCs w:val="24"/>
        </w:rPr>
        <w:t>3.1.7</w:t>
      </w:r>
      <w:r>
        <w:rPr>
          <w:rFonts w:hint="eastAsia"/>
          <w:color w:val="000000"/>
          <w:sz w:val="24"/>
          <w:szCs w:val="24"/>
        </w:rPr>
        <w:t xml:space="preserve">  </w:t>
      </w:r>
      <w:r>
        <w:rPr>
          <w:rFonts w:hint="eastAsia"/>
          <w:b/>
          <w:color w:val="000000"/>
          <w:sz w:val="24"/>
          <w:szCs w:val="24"/>
        </w:rPr>
        <w:t>税金</w:t>
      </w:r>
    </w:p>
    <w:p w14:paraId="4FA3D913">
      <w:pPr>
        <w:spacing w:line="360" w:lineRule="auto"/>
        <w:ind w:left="359" w:leftChars="171"/>
        <w:rPr>
          <w:rFonts w:hint="eastAsia"/>
          <w:color w:val="000000"/>
          <w:sz w:val="24"/>
          <w:szCs w:val="24"/>
        </w:rPr>
      </w:pPr>
      <w:r>
        <w:rPr>
          <w:rFonts w:hint="eastAsia"/>
          <w:color w:val="000000"/>
          <w:sz w:val="24"/>
          <w:szCs w:val="24"/>
        </w:rPr>
        <w:t>国家税法规定的应计入建筑安装工程造价内的增值税等。</w:t>
      </w:r>
    </w:p>
    <w:p w14:paraId="6294D844">
      <w:pPr>
        <w:spacing w:before="57" w:beforeLines="20" w:after="57" w:afterLines="20" w:line="360" w:lineRule="auto"/>
        <w:ind w:firstLine="480" w:firstLineChars="200"/>
        <w:rPr>
          <w:rFonts w:hint="eastAsia"/>
          <w:b/>
          <w:color w:val="000000"/>
          <w:sz w:val="24"/>
          <w:szCs w:val="24"/>
        </w:rPr>
      </w:pPr>
      <w:r>
        <w:rPr>
          <w:rFonts w:hint="eastAsia" w:ascii="黑体" w:eastAsia="黑体"/>
          <w:color w:val="000000"/>
          <w:sz w:val="24"/>
          <w:szCs w:val="24"/>
        </w:rPr>
        <w:t>3.1.8</w:t>
      </w:r>
      <w:r>
        <w:rPr>
          <w:rFonts w:hint="eastAsia"/>
          <w:color w:val="000000"/>
          <w:sz w:val="24"/>
          <w:szCs w:val="24"/>
        </w:rPr>
        <w:t xml:space="preserve">  </w:t>
      </w:r>
      <w:r>
        <w:rPr>
          <w:rFonts w:hint="eastAsia"/>
          <w:b/>
          <w:color w:val="000000"/>
          <w:sz w:val="24"/>
          <w:szCs w:val="24"/>
        </w:rPr>
        <w:t>总承包服务费</w:t>
      </w:r>
    </w:p>
    <w:p w14:paraId="7A885F74">
      <w:pPr>
        <w:spacing w:line="360" w:lineRule="auto"/>
        <w:ind w:firstLine="410" w:firstLineChars="171"/>
        <w:rPr>
          <w:rFonts w:hint="eastAsia"/>
          <w:color w:val="000000"/>
          <w:sz w:val="24"/>
          <w:szCs w:val="24"/>
        </w:rPr>
      </w:pPr>
      <w:r>
        <w:rPr>
          <w:rFonts w:hint="eastAsia"/>
          <w:color w:val="000000"/>
          <w:sz w:val="24"/>
          <w:szCs w:val="24"/>
        </w:rPr>
        <w:t>总承包人为配合协调发包人发包的专业工程以及发包人采购的材料和工程设备等进行管理、服务以及施工现场管理、竣工资料汇总整理等所需的费用。</w:t>
      </w:r>
    </w:p>
    <w:p w14:paraId="1C9A2195">
      <w:pPr>
        <w:spacing w:before="57" w:beforeLines="20" w:after="57" w:afterLines="20" w:line="360" w:lineRule="auto"/>
        <w:ind w:firstLine="480" w:firstLineChars="200"/>
        <w:rPr>
          <w:rFonts w:hint="eastAsia"/>
          <w:b/>
          <w:color w:val="000000"/>
          <w:sz w:val="24"/>
          <w:szCs w:val="24"/>
        </w:rPr>
      </w:pPr>
      <w:r>
        <w:rPr>
          <w:rFonts w:hint="eastAsia" w:ascii="黑体" w:eastAsia="黑体"/>
          <w:color w:val="000000"/>
          <w:sz w:val="24"/>
          <w:szCs w:val="24"/>
        </w:rPr>
        <w:t>3.1.9</w:t>
      </w:r>
      <w:r>
        <w:rPr>
          <w:rFonts w:hint="eastAsia"/>
          <w:color w:val="000000"/>
          <w:sz w:val="24"/>
          <w:szCs w:val="24"/>
        </w:rPr>
        <w:t xml:space="preserve">  </w:t>
      </w:r>
      <w:r>
        <w:rPr>
          <w:rFonts w:hint="eastAsia"/>
          <w:b/>
          <w:color w:val="000000"/>
          <w:sz w:val="24"/>
          <w:szCs w:val="24"/>
        </w:rPr>
        <w:t>同义词语</w:t>
      </w:r>
    </w:p>
    <w:p w14:paraId="73B8A1D3">
      <w:pPr>
        <w:spacing w:line="360" w:lineRule="auto"/>
        <w:ind w:firstLine="410" w:firstLineChars="171"/>
        <w:rPr>
          <w:rFonts w:hint="eastAsia" w:ascii="宋体" w:hAnsi="宋体"/>
          <w:color w:val="000000"/>
          <w:sz w:val="24"/>
          <w:szCs w:val="24"/>
        </w:rPr>
      </w:pPr>
      <w:r>
        <w:rPr>
          <w:rFonts w:hint="eastAsia" w:ascii="宋体" w:hAnsi="宋体"/>
          <w:color w:val="000000"/>
          <w:sz w:val="24"/>
          <w:szCs w:val="24"/>
        </w:rPr>
        <w:t>本章中使用的词语“采购人”和“供应商”分别与合同条款中定义的“发包人”和“承包人”同义；就工程量清单而言，“子目”与“项目”同义。</w:t>
      </w:r>
    </w:p>
    <w:p w14:paraId="1B7F1CC1">
      <w:pPr>
        <w:spacing w:line="360" w:lineRule="auto"/>
        <w:ind w:firstLine="410" w:firstLineChars="171"/>
        <w:rPr>
          <w:rFonts w:hint="eastAsia" w:ascii="宋体" w:hAnsi="宋体"/>
          <w:color w:val="000000"/>
          <w:sz w:val="24"/>
          <w:szCs w:val="24"/>
        </w:rPr>
      </w:pPr>
      <w:r>
        <w:rPr>
          <w:rFonts w:hint="eastAsia" w:ascii="宋体" w:hAnsi="宋体"/>
          <w:color w:val="000000"/>
          <w:sz w:val="24"/>
          <w:szCs w:val="24"/>
        </w:rPr>
        <w:t>3.2工程量差异调整</w:t>
      </w:r>
    </w:p>
    <w:p w14:paraId="6DCCAEC6">
      <w:pPr>
        <w:spacing w:line="360" w:lineRule="auto"/>
        <w:ind w:firstLine="410" w:firstLineChars="171"/>
        <w:rPr>
          <w:rFonts w:hint="eastAsia" w:ascii="宋体" w:hAnsi="宋体"/>
          <w:color w:val="000000"/>
          <w:sz w:val="24"/>
          <w:szCs w:val="24"/>
        </w:rPr>
      </w:pPr>
      <w:r>
        <w:rPr>
          <w:rFonts w:hint="eastAsia" w:ascii="宋体" w:hAnsi="宋体"/>
          <w:color w:val="000000"/>
          <w:sz w:val="24"/>
          <w:szCs w:val="24"/>
        </w:rPr>
        <w:t>3.2.1工程量清单中的工作内容分类、子目列项、特征描述以及“分部分项工程量清单与计价表”中附带的工程量都不应理解为是对承包(招标)范围以及合同工作内容的唯一的、最终的或全部的定义。</w:t>
      </w:r>
    </w:p>
    <w:p w14:paraId="6459387C">
      <w:pPr>
        <w:spacing w:line="360" w:lineRule="auto"/>
        <w:ind w:firstLine="410" w:firstLineChars="171"/>
        <w:rPr>
          <w:rFonts w:hint="eastAsia" w:ascii="宋体" w:hAnsi="宋体"/>
          <w:color w:val="000000"/>
          <w:sz w:val="24"/>
          <w:szCs w:val="24"/>
        </w:rPr>
      </w:pPr>
      <w:r>
        <w:rPr>
          <w:rFonts w:hint="eastAsia" w:ascii="宋体" w:hAnsi="宋体"/>
          <w:color w:val="000000"/>
          <w:sz w:val="24"/>
          <w:szCs w:val="24"/>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连同按供应商须知规定提交的要求采购人澄清的其他问题一起提交给采购人，采购人将根据实际情况决定是否颁发工程量清单的补充和(或)修改文件。</w:t>
      </w:r>
    </w:p>
    <w:p w14:paraId="36557F28">
      <w:pPr>
        <w:spacing w:line="360" w:lineRule="auto"/>
        <w:ind w:firstLine="410" w:firstLineChars="171"/>
        <w:rPr>
          <w:rFonts w:hint="eastAsia" w:ascii="宋体" w:hAnsi="宋体"/>
          <w:color w:val="000000"/>
          <w:sz w:val="24"/>
          <w:szCs w:val="24"/>
        </w:rPr>
      </w:pPr>
      <w:r>
        <w:rPr>
          <w:rFonts w:hint="eastAsia" w:ascii="宋体" w:hAnsi="宋体"/>
          <w:color w:val="000000"/>
          <w:sz w:val="24"/>
          <w:szCs w:val="24"/>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投标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招标范围的约定并不存在的子目，只要在采购人提供的分部分项工程量清单中已经列明，供应商都需要对其报价，并纳入投标总价的计算。</w:t>
      </w:r>
    </w:p>
    <w:p w14:paraId="29254288">
      <w:pPr>
        <w:spacing w:line="360" w:lineRule="auto"/>
        <w:ind w:firstLine="410" w:firstLineChars="171"/>
        <w:rPr>
          <w:rFonts w:hint="eastAsia" w:ascii="宋体" w:hAnsi="宋体"/>
          <w:color w:val="000000"/>
          <w:sz w:val="24"/>
          <w:szCs w:val="24"/>
        </w:rPr>
      </w:pPr>
      <w:r>
        <w:rPr>
          <w:rFonts w:hint="eastAsia" w:ascii="宋体" w:hAnsi="宋体"/>
          <w:color w:val="000000"/>
          <w:sz w:val="24"/>
          <w:szCs w:val="24"/>
        </w:rPr>
        <w:t>3.3暂列金额和暂估价</w:t>
      </w:r>
    </w:p>
    <w:p w14:paraId="3F8EB163">
      <w:pPr>
        <w:spacing w:line="360" w:lineRule="auto"/>
        <w:ind w:firstLine="410" w:firstLineChars="171"/>
        <w:rPr>
          <w:rFonts w:hint="eastAsia" w:ascii="宋体" w:hAnsi="宋体"/>
          <w:color w:val="000000"/>
          <w:sz w:val="24"/>
          <w:szCs w:val="24"/>
        </w:rPr>
      </w:pPr>
      <w:r>
        <w:rPr>
          <w:rFonts w:hint="eastAsia" w:ascii="宋体" w:hAnsi="宋体"/>
          <w:color w:val="000000"/>
          <w:sz w:val="24"/>
          <w:szCs w:val="24"/>
        </w:rPr>
        <w:t>3.3.1 “暂列金额明细表”中所列暂列金额(不包括计日工金额)中已经包含与其对应的管理费、利润，但不含规费、税金。供应商应按本竞争性磋商文件规定将此类暂列金额直接纳入其他项目清单的投标价格并计取相应的规费、税金，不需要考虑除规费、税金以外的其他任何费用。</w:t>
      </w:r>
    </w:p>
    <w:p w14:paraId="4D41358E">
      <w:pPr>
        <w:spacing w:line="360" w:lineRule="auto"/>
        <w:ind w:firstLine="410" w:firstLineChars="171"/>
        <w:rPr>
          <w:rFonts w:hint="eastAsia" w:ascii="宋体" w:hAnsi="宋体"/>
          <w:color w:val="000000"/>
          <w:sz w:val="24"/>
          <w:szCs w:val="24"/>
        </w:rPr>
      </w:pPr>
      <w:r>
        <w:rPr>
          <w:rFonts w:hint="eastAsia" w:ascii="宋体" w:hAnsi="宋体"/>
          <w:color w:val="000000"/>
          <w:sz w:val="24"/>
          <w:szCs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竞争性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14:paraId="5B2A89A2">
      <w:pPr>
        <w:spacing w:line="360" w:lineRule="auto"/>
        <w:ind w:firstLine="412" w:firstLineChars="171"/>
        <w:rPr>
          <w:rFonts w:hint="eastAsia" w:ascii="宋体" w:hAnsi="宋体"/>
          <w:b/>
          <w:bCs/>
          <w:color w:val="000000"/>
          <w:sz w:val="24"/>
          <w:szCs w:val="24"/>
        </w:rPr>
      </w:pPr>
      <w:r>
        <w:rPr>
          <w:rFonts w:hint="eastAsia" w:ascii="宋体" w:hAnsi="宋体"/>
          <w:b/>
          <w:bCs/>
          <w:color w:val="000000"/>
          <w:sz w:val="24"/>
          <w:szCs w:val="24"/>
        </w:rPr>
        <w:t>“暂估清单综合单价表”中所列暂估清单综合单价已经包含与其对应的管理费、利润，但不含规费、税金。供应商应按本竞争性磋商文件规定将此类暂估价直接作为清单综合单价计入投标报价，并计取相应的规费、税金。</w:t>
      </w:r>
    </w:p>
    <w:p w14:paraId="3C9BF124">
      <w:pPr>
        <w:spacing w:line="360" w:lineRule="auto"/>
        <w:ind w:firstLine="412" w:firstLineChars="171"/>
        <w:rPr>
          <w:rFonts w:hint="eastAsia" w:ascii="宋体" w:hAnsi="宋体"/>
          <w:b/>
          <w:bCs/>
          <w:color w:val="000000"/>
          <w:sz w:val="24"/>
          <w:szCs w:val="24"/>
        </w:rPr>
      </w:pPr>
      <w:r>
        <w:rPr>
          <w:rFonts w:hint="eastAsia" w:ascii="宋体" w:hAnsi="宋体"/>
          <w:b/>
          <w:bCs/>
          <w:color w:val="000000"/>
          <w:sz w:val="24"/>
          <w:szCs w:val="24"/>
        </w:rPr>
        <w:t>3.3.3特殊项目暂估价表中所列的特殊项目暂估价已经包含与其对应的管理费、利润，但不含规费、税金。供应商应按本竞争性磋商文件规定将此类暂估价直接纳入其他项目清单的投标价格并计取相应的规费、税金。</w:t>
      </w:r>
    </w:p>
    <w:p w14:paraId="394B7971">
      <w:pPr>
        <w:spacing w:line="360" w:lineRule="auto"/>
        <w:ind w:firstLine="412" w:firstLineChars="171"/>
        <w:rPr>
          <w:rFonts w:hint="eastAsia" w:ascii="宋体" w:hAnsi="宋体"/>
          <w:b/>
          <w:bCs/>
          <w:color w:val="000000"/>
          <w:sz w:val="24"/>
          <w:szCs w:val="24"/>
        </w:rPr>
      </w:pPr>
      <w:r>
        <w:rPr>
          <w:rFonts w:hint="eastAsia" w:ascii="宋体" w:hAnsi="宋体"/>
          <w:b/>
          <w:bCs/>
          <w:color w:val="000000"/>
          <w:sz w:val="24"/>
          <w:szCs w:val="24"/>
        </w:rPr>
        <w:t>3.3.4专业工程暂估价由采购人列入总承包服务费清单与计价表中。专业工程暂估价是包括规费、税金在内的全部工程费用，仅作为计取总承包服务费的基础。</w:t>
      </w:r>
    </w:p>
    <w:p w14:paraId="141DF4A1">
      <w:pPr>
        <w:spacing w:line="360" w:lineRule="auto"/>
        <w:ind w:firstLine="412" w:firstLineChars="171"/>
        <w:rPr>
          <w:rFonts w:hint="eastAsia" w:eastAsia="宋体"/>
          <w:sz w:val="24"/>
          <w:szCs w:val="24"/>
          <w:lang w:eastAsia="zh-CN"/>
        </w:rPr>
      </w:pPr>
      <w:r>
        <w:rPr>
          <w:rFonts w:hint="eastAsia" w:ascii="宋体" w:hAnsi="宋体"/>
          <w:b/>
          <w:bCs/>
          <w:color w:val="000000"/>
          <w:sz w:val="24"/>
          <w:szCs w:val="24"/>
        </w:rPr>
        <w:t>3.4其他补充说明：</w:t>
      </w:r>
      <w:r>
        <w:rPr>
          <w:rFonts w:hint="eastAsia" w:ascii="宋体" w:hAnsi="宋体"/>
          <w:b/>
          <w:bCs/>
          <w:color w:val="000000"/>
          <w:sz w:val="24"/>
          <w:szCs w:val="24"/>
          <w:lang w:eastAsia="zh-CN"/>
        </w:rPr>
        <w:t>无</w:t>
      </w:r>
    </w:p>
    <w:bookmarkEnd w:id="18"/>
    <w:bookmarkEnd w:id="19"/>
    <w:p w14:paraId="32F6D44B">
      <w:pPr>
        <w:pStyle w:val="3"/>
        <w:spacing w:before="0" w:after="0" w:line="360" w:lineRule="auto"/>
        <w:jc w:val="center"/>
        <w:rPr>
          <w:rFonts w:hint="eastAsia" w:ascii="宋体" w:hAnsi="宋体" w:eastAsia="宋体" w:cs="宋体"/>
          <w:b/>
          <w:bCs w:val="0"/>
          <w:color w:val="000000"/>
          <w:sz w:val="24"/>
          <w:szCs w:val="24"/>
        </w:rPr>
      </w:pPr>
    </w:p>
    <w:p w14:paraId="3D8C4A60">
      <w:pPr>
        <w:pStyle w:val="3"/>
        <w:spacing w:before="0" w:after="0" w:line="360" w:lineRule="auto"/>
        <w:jc w:val="both"/>
        <w:rPr>
          <w:rFonts w:hint="default"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rPr>
        <w:t>4、</w:t>
      </w:r>
      <w:r>
        <w:rPr>
          <w:rFonts w:hint="eastAsia" w:ascii="宋体" w:hAnsi="宋体" w:eastAsia="宋体" w:cs="宋体"/>
          <w:b/>
          <w:bCs w:val="0"/>
          <w:color w:val="000000"/>
          <w:sz w:val="24"/>
          <w:szCs w:val="24"/>
          <w:lang w:val="en-US" w:eastAsia="zh-CN"/>
        </w:rPr>
        <w:t>控制价</w:t>
      </w:r>
    </w:p>
    <w:p w14:paraId="4E0B2B66">
      <w:pPr>
        <w:pStyle w:val="10"/>
        <w:ind w:firstLine="240" w:firstLineChars="100"/>
        <w:rPr>
          <w:rFonts w:hint="eastAsia" w:eastAsia="宋体"/>
          <w:sz w:val="24"/>
          <w:szCs w:val="24"/>
          <w:lang w:eastAsia="zh-CN"/>
        </w:rPr>
      </w:pPr>
      <w:r>
        <w:rPr>
          <w:rFonts w:hint="eastAsia"/>
          <w:sz w:val="24"/>
          <w:szCs w:val="24"/>
          <w:lang w:eastAsia="zh-CN"/>
        </w:rPr>
        <w:t>（</w:t>
      </w:r>
      <w:r>
        <w:rPr>
          <w:rFonts w:hint="eastAsia"/>
          <w:sz w:val="24"/>
          <w:szCs w:val="24"/>
          <w:lang w:val="en-US" w:eastAsia="zh-CN"/>
        </w:rPr>
        <w:t>另附</w:t>
      </w:r>
      <w:r>
        <w:rPr>
          <w:rFonts w:hint="eastAsia"/>
          <w:sz w:val="24"/>
          <w:szCs w:val="24"/>
          <w:lang w:eastAsia="zh-CN"/>
        </w:rPr>
        <w:t>）</w:t>
      </w:r>
    </w:p>
    <w:p w14:paraId="049B9DB1">
      <w:pPr>
        <w:widowControl/>
        <w:jc w:val="both"/>
        <w:outlineLvl w:val="0"/>
        <w:rPr>
          <w:rFonts w:ascii="宋体" w:hAnsi="宋体"/>
          <w:color w:val="auto"/>
          <w:sz w:val="32"/>
          <w:szCs w:val="32"/>
        </w:rPr>
      </w:pPr>
      <w:r>
        <w:rPr>
          <w:rFonts w:hint="eastAsia" w:ascii="宋体" w:hAnsi="宋体"/>
          <w:color w:val="auto"/>
          <w:sz w:val="32"/>
          <w:szCs w:val="32"/>
        </w:rPr>
        <w:br w:type="page"/>
      </w:r>
      <w:bookmarkStart w:id="25" w:name="_Toc16799"/>
      <w:bookmarkStart w:id="26" w:name="_Toc16480"/>
      <w:r>
        <w:rPr>
          <w:rStyle w:val="55"/>
          <w:rFonts w:hint="eastAsia" w:ascii="宋体" w:hAnsi="宋体" w:eastAsia="宋体" w:cs="宋体"/>
          <w:color w:val="auto"/>
        </w:rPr>
        <w:t>第五部分  合同授予</w:t>
      </w:r>
      <w:bookmarkEnd w:id="25"/>
      <w:bookmarkEnd w:id="26"/>
    </w:p>
    <w:p w14:paraId="3A27C396">
      <w:pPr>
        <w:widowControl/>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一、签订合同：</w:t>
      </w:r>
    </w:p>
    <w:p w14:paraId="03D3FACF">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采购人和成交供应商按成交通知书约定签订合同，合同签订的内容不能超出磋商文件、成交供应商的响应文件、</w:t>
      </w:r>
      <w:r>
        <w:rPr>
          <w:rFonts w:hint="eastAsia" w:ascii="宋体" w:hAnsi="宋体"/>
          <w:bCs/>
          <w:color w:val="auto"/>
          <w:sz w:val="24"/>
        </w:rPr>
        <w:t>磋商</w:t>
      </w:r>
      <w:r>
        <w:rPr>
          <w:rFonts w:hint="eastAsia" w:ascii="宋体" w:hAnsi="宋体" w:cs="宋体"/>
          <w:color w:val="auto"/>
          <w:kern w:val="0"/>
          <w:sz w:val="24"/>
        </w:rPr>
        <w:t>过程中的补充承诺、最终书面报价等的实质性内容。因供应商原因不能与采购人签订合同的，视为供应商放弃成交资格。</w:t>
      </w:r>
    </w:p>
    <w:p w14:paraId="60A0C33C">
      <w:pPr>
        <w:pStyle w:val="3"/>
        <w:keepNext w:val="0"/>
        <w:keepLines w:val="0"/>
        <w:spacing w:before="0" w:after="0" w:line="540" w:lineRule="exact"/>
        <w:jc w:val="center"/>
        <w:outlineLvl w:val="9"/>
        <w:rPr>
          <w:rFonts w:ascii="宋体" w:hAnsi="宋体" w:eastAsia="宋体" w:cs="宋体"/>
          <w:color w:val="auto"/>
          <w:sz w:val="24"/>
          <w:szCs w:val="24"/>
        </w:rPr>
      </w:pPr>
      <w:bookmarkStart w:id="27" w:name="_Toc17168"/>
      <w:bookmarkStart w:id="28" w:name="_Toc457668115"/>
      <w:bookmarkStart w:id="29" w:name="_Toc5213"/>
    </w:p>
    <w:p w14:paraId="4CBB062B">
      <w:pPr>
        <w:pStyle w:val="3"/>
        <w:keepNext w:val="0"/>
        <w:keepLines w:val="0"/>
        <w:spacing w:before="0" w:after="0" w:line="540" w:lineRule="exact"/>
        <w:jc w:val="center"/>
        <w:outlineLvl w:val="9"/>
        <w:rPr>
          <w:rFonts w:ascii="宋体" w:hAnsi="宋体" w:eastAsia="宋体" w:cs="宋体"/>
          <w:color w:val="auto"/>
          <w:sz w:val="24"/>
          <w:szCs w:val="24"/>
        </w:rPr>
      </w:pPr>
    </w:p>
    <w:p w14:paraId="01CAA83F">
      <w:pPr>
        <w:rPr>
          <w:rFonts w:ascii="宋体" w:hAnsi="宋体" w:eastAsia="宋体" w:cs="宋体"/>
          <w:color w:val="auto"/>
          <w:sz w:val="24"/>
          <w:szCs w:val="24"/>
        </w:rPr>
      </w:pPr>
    </w:p>
    <w:p w14:paraId="195C8046">
      <w:pPr>
        <w:rPr>
          <w:rFonts w:ascii="宋体" w:hAnsi="宋体" w:eastAsia="宋体" w:cs="宋体"/>
          <w:color w:val="auto"/>
          <w:sz w:val="24"/>
          <w:szCs w:val="24"/>
        </w:rPr>
      </w:pPr>
    </w:p>
    <w:p w14:paraId="24EC505C">
      <w:pPr>
        <w:pStyle w:val="3"/>
        <w:keepNext w:val="0"/>
        <w:keepLines w:val="0"/>
        <w:spacing w:before="0" w:after="0" w:line="540" w:lineRule="exact"/>
        <w:jc w:val="center"/>
        <w:outlineLvl w:val="9"/>
        <w:rPr>
          <w:rFonts w:ascii="宋体" w:hAnsi="宋体" w:eastAsia="宋体" w:cs="宋体"/>
          <w:color w:val="auto"/>
          <w:sz w:val="24"/>
          <w:szCs w:val="24"/>
        </w:rPr>
      </w:pPr>
    </w:p>
    <w:p w14:paraId="288ABFA6">
      <w:pPr>
        <w:pStyle w:val="3"/>
        <w:keepNext w:val="0"/>
        <w:keepLines w:val="0"/>
        <w:spacing w:before="0" w:after="0" w:line="540" w:lineRule="exact"/>
        <w:jc w:val="center"/>
        <w:outlineLvl w:val="9"/>
        <w:rPr>
          <w:rFonts w:ascii="宋体" w:hAnsi="宋体" w:eastAsia="宋体" w:cs="宋体"/>
          <w:color w:val="auto"/>
          <w:sz w:val="24"/>
          <w:szCs w:val="24"/>
        </w:rPr>
      </w:pPr>
    </w:p>
    <w:p w14:paraId="1A0B1F6F">
      <w:pPr>
        <w:pStyle w:val="3"/>
        <w:keepNext w:val="0"/>
        <w:keepLines w:val="0"/>
        <w:spacing w:before="0" w:after="0" w:line="540" w:lineRule="exact"/>
        <w:jc w:val="center"/>
        <w:outlineLvl w:val="9"/>
        <w:rPr>
          <w:rFonts w:ascii="宋体" w:hAnsi="宋体" w:eastAsia="宋体" w:cs="宋体"/>
          <w:color w:val="auto"/>
          <w:sz w:val="24"/>
          <w:szCs w:val="24"/>
        </w:rPr>
      </w:pPr>
    </w:p>
    <w:p w14:paraId="56F1AA89">
      <w:pPr>
        <w:pStyle w:val="3"/>
        <w:keepNext w:val="0"/>
        <w:keepLines w:val="0"/>
        <w:spacing w:before="0" w:after="0" w:line="540" w:lineRule="exact"/>
        <w:jc w:val="center"/>
        <w:outlineLvl w:val="9"/>
        <w:rPr>
          <w:rFonts w:ascii="宋体" w:hAnsi="宋体" w:eastAsia="宋体" w:cs="宋体"/>
          <w:color w:val="auto"/>
          <w:sz w:val="24"/>
          <w:szCs w:val="24"/>
        </w:rPr>
      </w:pPr>
    </w:p>
    <w:p w14:paraId="0E694B25">
      <w:pPr>
        <w:pStyle w:val="3"/>
        <w:keepNext w:val="0"/>
        <w:keepLines w:val="0"/>
        <w:spacing w:before="0" w:after="0" w:line="540" w:lineRule="exact"/>
        <w:jc w:val="center"/>
        <w:outlineLvl w:val="9"/>
        <w:rPr>
          <w:rFonts w:ascii="宋体" w:hAnsi="宋体" w:eastAsia="宋体" w:cs="宋体"/>
          <w:color w:val="auto"/>
          <w:sz w:val="24"/>
          <w:szCs w:val="24"/>
        </w:rPr>
      </w:pPr>
    </w:p>
    <w:p w14:paraId="0B233534">
      <w:pPr>
        <w:pStyle w:val="3"/>
        <w:keepNext w:val="0"/>
        <w:keepLines w:val="0"/>
        <w:spacing w:before="0" w:after="0" w:line="540" w:lineRule="exact"/>
        <w:jc w:val="both"/>
        <w:outlineLvl w:val="9"/>
        <w:rPr>
          <w:rFonts w:hint="eastAsia" w:ascii="宋体" w:hAnsi="宋体" w:eastAsia="宋体" w:cs="宋体"/>
          <w:color w:val="auto"/>
          <w:sz w:val="24"/>
          <w:szCs w:val="24"/>
          <w:lang w:eastAsia="zh-CN"/>
        </w:rPr>
      </w:pPr>
    </w:p>
    <w:p w14:paraId="7475526B">
      <w:pPr>
        <w:pStyle w:val="3"/>
        <w:keepNext w:val="0"/>
        <w:keepLines w:val="0"/>
        <w:spacing w:before="0" w:after="0" w:line="540" w:lineRule="exact"/>
        <w:jc w:val="center"/>
        <w:outlineLvl w:val="9"/>
        <w:rPr>
          <w:rFonts w:ascii="宋体" w:hAnsi="宋体" w:eastAsia="宋体" w:cs="宋体"/>
          <w:color w:val="auto"/>
          <w:sz w:val="24"/>
          <w:szCs w:val="24"/>
        </w:rPr>
      </w:pPr>
    </w:p>
    <w:p w14:paraId="523B664D">
      <w:pPr>
        <w:pStyle w:val="3"/>
        <w:keepNext w:val="0"/>
        <w:keepLines w:val="0"/>
        <w:spacing w:before="0" w:after="0" w:line="540" w:lineRule="exact"/>
        <w:jc w:val="center"/>
        <w:outlineLvl w:val="9"/>
        <w:rPr>
          <w:rFonts w:ascii="宋体" w:hAnsi="宋体" w:eastAsia="宋体" w:cs="宋体"/>
          <w:color w:val="auto"/>
          <w:sz w:val="24"/>
          <w:szCs w:val="24"/>
        </w:rPr>
      </w:pPr>
    </w:p>
    <w:p w14:paraId="69B3EF45">
      <w:pPr>
        <w:pStyle w:val="3"/>
        <w:keepNext w:val="0"/>
        <w:keepLines w:val="0"/>
        <w:spacing w:before="0" w:after="0" w:line="540" w:lineRule="exact"/>
        <w:jc w:val="center"/>
        <w:outlineLvl w:val="9"/>
        <w:rPr>
          <w:rFonts w:ascii="宋体" w:hAnsi="宋体" w:eastAsia="宋体" w:cs="宋体"/>
          <w:color w:val="auto"/>
          <w:sz w:val="24"/>
          <w:szCs w:val="24"/>
        </w:rPr>
      </w:pPr>
    </w:p>
    <w:p w14:paraId="7CC38B76">
      <w:pPr>
        <w:pStyle w:val="3"/>
        <w:keepNext w:val="0"/>
        <w:keepLines w:val="0"/>
        <w:spacing w:before="0" w:after="0" w:line="540" w:lineRule="exact"/>
        <w:jc w:val="center"/>
        <w:outlineLvl w:val="9"/>
        <w:rPr>
          <w:rFonts w:ascii="宋体" w:hAnsi="宋体" w:eastAsia="宋体" w:cs="宋体"/>
          <w:color w:val="auto"/>
          <w:sz w:val="24"/>
          <w:szCs w:val="24"/>
        </w:rPr>
      </w:pPr>
    </w:p>
    <w:p w14:paraId="522CE82C">
      <w:pPr>
        <w:pStyle w:val="3"/>
        <w:keepNext w:val="0"/>
        <w:keepLines w:val="0"/>
        <w:spacing w:before="0" w:after="0" w:line="540" w:lineRule="exact"/>
        <w:jc w:val="center"/>
        <w:outlineLvl w:val="9"/>
        <w:rPr>
          <w:rFonts w:ascii="宋体" w:hAnsi="宋体" w:eastAsia="宋体" w:cs="宋体"/>
          <w:color w:val="auto"/>
          <w:sz w:val="24"/>
          <w:szCs w:val="24"/>
        </w:rPr>
      </w:pPr>
    </w:p>
    <w:p w14:paraId="0C8ED60E">
      <w:pPr>
        <w:pStyle w:val="3"/>
        <w:keepNext w:val="0"/>
        <w:keepLines w:val="0"/>
        <w:spacing w:before="0" w:after="0" w:line="540" w:lineRule="exact"/>
        <w:jc w:val="center"/>
        <w:outlineLvl w:val="9"/>
        <w:rPr>
          <w:rFonts w:ascii="宋体" w:hAnsi="宋体" w:eastAsia="宋体" w:cs="宋体"/>
          <w:color w:val="auto"/>
          <w:sz w:val="24"/>
          <w:szCs w:val="24"/>
        </w:rPr>
      </w:pPr>
    </w:p>
    <w:p w14:paraId="4A8312FF">
      <w:pPr>
        <w:pStyle w:val="3"/>
        <w:keepNext w:val="0"/>
        <w:keepLines w:val="0"/>
        <w:spacing w:before="0" w:after="0" w:line="540" w:lineRule="exact"/>
        <w:jc w:val="center"/>
        <w:outlineLvl w:val="9"/>
        <w:rPr>
          <w:rFonts w:ascii="宋体" w:hAnsi="宋体" w:eastAsia="宋体" w:cs="宋体"/>
          <w:color w:val="auto"/>
          <w:sz w:val="24"/>
          <w:szCs w:val="24"/>
        </w:rPr>
      </w:pPr>
    </w:p>
    <w:p w14:paraId="70C61F41">
      <w:pPr>
        <w:pStyle w:val="3"/>
        <w:keepNext w:val="0"/>
        <w:keepLines w:val="0"/>
        <w:spacing w:before="0" w:after="0" w:line="540" w:lineRule="exact"/>
        <w:jc w:val="center"/>
        <w:outlineLvl w:val="9"/>
        <w:rPr>
          <w:rFonts w:ascii="宋体" w:hAnsi="宋体" w:eastAsia="宋体" w:cs="宋体"/>
          <w:color w:val="auto"/>
          <w:sz w:val="24"/>
          <w:szCs w:val="24"/>
        </w:rPr>
      </w:pPr>
    </w:p>
    <w:p w14:paraId="3CA6031A">
      <w:pPr>
        <w:pStyle w:val="3"/>
        <w:keepNext w:val="0"/>
        <w:keepLines w:val="0"/>
        <w:spacing w:before="0" w:after="0" w:line="540" w:lineRule="exact"/>
        <w:jc w:val="center"/>
        <w:outlineLvl w:val="9"/>
        <w:rPr>
          <w:rFonts w:ascii="宋体" w:hAnsi="宋体" w:eastAsia="宋体" w:cs="宋体"/>
          <w:color w:val="auto"/>
          <w:sz w:val="24"/>
          <w:szCs w:val="24"/>
        </w:rPr>
      </w:pPr>
    </w:p>
    <w:p w14:paraId="1D4AFF5A">
      <w:pPr>
        <w:pStyle w:val="3"/>
        <w:keepNext w:val="0"/>
        <w:keepLines w:val="0"/>
        <w:spacing w:before="0" w:after="0" w:line="540" w:lineRule="exact"/>
        <w:jc w:val="center"/>
        <w:outlineLvl w:val="9"/>
        <w:rPr>
          <w:rFonts w:ascii="宋体" w:hAnsi="宋体" w:eastAsia="宋体" w:cs="宋体"/>
          <w:color w:val="auto"/>
          <w:sz w:val="24"/>
          <w:szCs w:val="24"/>
        </w:rPr>
      </w:pPr>
    </w:p>
    <w:p w14:paraId="539BFCE5">
      <w:pPr>
        <w:pStyle w:val="3"/>
        <w:keepNext w:val="0"/>
        <w:keepLines w:val="0"/>
        <w:spacing w:before="0" w:after="0" w:line="540" w:lineRule="exact"/>
        <w:jc w:val="center"/>
        <w:outlineLvl w:val="9"/>
        <w:rPr>
          <w:rFonts w:ascii="宋体" w:hAnsi="宋体" w:eastAsia="宋体" w:cs="宋体"/>
          <w:color w:val="auto"/>
          <w:sz w:val="24"/>
          <w:szCs w:val="24"/>
        </w:rPr>
      </w:pPr>
    </w:p>
    <w:p w14:paraId="30C2AA91">
      <w:pPr>
        <w:pStyle w:val="3"/>
        <w:keepNext w:val="0"/>
        <w:keepLines w:val="0"/>
        <w:spacing w:before="0" w:after="0" w:line="540" w:lineRule="exact"/>
        <w:jc w:val="center"/>
        <w:outlineLvl w:val="9"/>
        <w:rPr>
          <w:rFonts w:ascii="宋体" w:hAnsi="宋体" w:eastAsia="宋体" w:cs="宋体"/>
          <w:color w:val="auto"/>
          <w:sz w:val="24"/>
          <w:szCs w:val="24"/>
        </w:rPr>
      </w:pPr>
    </w:p>
    <w:bookmarkEnd w:id="27"/>
    <w:bookmarkEnd w:id="28"/>
    <w:bookmarkEnd w:id="29"/>
    <w:p w14:paraId="64402218">
      <w:pPr>
        <w:adjustRightInd w:val="0"/>
        <w:snapToGrid w:val="0"/>
        <w:spacing w:line="360" w:lineRule="auto"/>
        <w:jc w:val="center"/>
        <w:rPr>
          <w:rFonts w:ascii="宋体" w:hAnsi="宋体" w:eastAsia="宋体" w:cs="宋体"/>
          <w:b/>
          <w:bCs/>
          <w:color w:val="auto"/>
          <w:sz w:val="52"/>
          <w:szCs w:val="52"/>
        </w:rPr>
      </w:pPr>
      <w:r>
        <w:rPr>
          <w:rFonts w:hint="eastAsia" w:ascii="宋体" w:hAnsi="宋体" w:cs="宋体"/>
          <w:b/>
          <w:bCs/>
          <w:color w:val="auto"/>
          <w:sz w:val="52"/>
          <w:szCs w:val="52"/>
          <w:lang w:eastAsia="zh-CN"/>
        </w:rPr>
        <w:t>邹城市钢山街道杜家庄村义和佳苑车棚建设工程</w:t>
      </w:r>
      <w:r>
        <w:rPr>
          <w:rFonts w:hint="eastAsia" w:ascii="宋体" w:hAnsi="宋体" w:eastAsia="宋体" w:cs="宋体"/>
          <w:b/>
          <w:bCs/>
          <w:color w:val="auto"/>
          <w:sz w:val="52"/>
          <w:szCs w:val="52"/>
        </w:rPr>
        <w:t>施工承包合同</w:t>
      </w:r>
    </w:p>
    <w:p w14:paraId="5147EC7B">
      <w:pPr>
        <w:widowControl/>
        <w:jc w:val="left"/>
        <w:rPr>
          <w:rFonts w:ascii="宋体" w:hAnsi="宋体" w:eastAsia="宋体" w:cs="宋体"/>
          <w:b/>
          <w:color w:val="auto"/>
          <w:kern w:val="0"/>
          <w:sz w:val="32"/>
          <w:szCs w:val="32"/>
          <w:lang w:bidi="ar"/>
        </w:rPr>
      </w:pPr>
    </w:p>
    <w:p w14:paraId="77823C20">
      <w:pPr>
        <w:widowControl/>
        <w:jc w:val="left"/>
        <w:rPr>
          <w:rFonts w:ascii="宋体" w:hAnsi="宋体" w:eastAsia="宋体" w:cs="宋体"/>
          <w:b/>
          <w:color w:val="auto"/>
          <w:kern w:val="0"/>
          <w:sz w:val="32"/>
          <w:szCs w:val="32"/>
          <w:lang w:bidi="ar"/>
        </w:rPr>
      </w:pPr>
    </w:p>
    <w:p w14:paraId="59269070">
      <w:pPr>
        <w:widowControl/>
        <w:jc w:val="left"/>
        <w:rPr>
          <w:rFonts w:ascii="宋体" w:hAnsi="宋体" w:eastAsia="宋体" w:cs="宋体"/>
          <w:b/>
          <w:color w:val="auto"/>
          <w:kern w:val="0"/>
          <w:sz w:val="32"/>
          <w:szCs w:val="32"/>
          <w:lang w:bidi="ar"/>
        </w:rPr>
      </w:pPr>
    </w:p>
    <w:p w14:paraId="29DCBF32">
      <w:pPr>
        <w:widowControl/>
        <w:jc w:val="left"/>
        <w:rPr>
          <w:rFonts w:ascii="宋体" w:hAnsi="宋体" w:eastAsia="宋体" w:cs="宋体"/>
          <w:b/>
          <w:color w:val="auto"/>
          <w:kern w:val="0"/>
          <w:sz w:val="32"/>
          <w:szCs w:val="32"/>
          <w:lang w:bidi="ar"/>
        </w:rPr>
      </w:pPr>
    </w:p>
    <w:p w14:paraId="2D05B066">
      <w:pPr>
        <w:widowControl/>
        <w:jc w:val="left"/>
        <w:rPr>
          <w:rFonts w:ascii="宋体" w:hAnsi="宋体" w:eastAsia="宋体" w:cs="宋体"/>
          <w:b/>
          <w:color w:val="auto"/>
          <w:kern w:val="0"/>
          <w:sz w:val="32"/>
          <w:szCs w:val="32"/>
          <w:lang w:bidi="ar"/>
        </w:rPr>
      </w:pPr>
    </w:p>
    <w:p w14:paraId="52E1E57C">
      <w:pPr>
        <w:widowControl/>
        <w:jc w:val="left"/>
        <w:rPr>
          <w:rFonts w:ascii="宋体" w:hAnsi="宋体" w:eastAsia="宋体" w:cs="宋体"/>
          <w:b/>
          <w:color w:val="auto"/>
          <w:kern w:val="0"/>
          <w:sz w:val="32"/>
          <w:szCs w:val="32"/>
          <w:lang w:bidi="ar"/>
        </w:rPr>
      </w:pPr>
    </w:p>
    <w:p w14:paraId="215C50E8">
      <w:pPr>
        <w:widowControl/>
        <w:jc w:val="left"/>
        <w:rPr>
          <w:rFonts w:ascii="宋体" w:hAnsi="宋体" w:eastAsia="宋体" w:cs="宋体"/>
          <w:b/>
          <w:color w:val="auto"/>
          <w:kern w:val="0"/>
          <w:sz w:val="32"/>
          <w:szCs w:val="32"/>
          <w:lang w:bidi="ar"/>
        </w:rPr>
      </w:pPr>
    </w:p>
    <w:p w14:paraId="0E6B4EBE">
      <w:pPr>
        <w:widowControl/>
        <w:jc w:val="left"/>
        <w:rPr>
          <w:rFonts w:ascii="宋体" w:hAnsi="宋体" w:eastAsia="宋体" w:cs="宋体"/>
          <w:b/>
          <w:color w:val="auto"/>
          <w:kern w:val="0"/>
          <w:sz w:val="32"/>
          <w:szCs w:val="32"/>
          <w:lang w:bidi="ar"/>
        </w:rPr>
      </w:pPr>
    </w:p>
    <w:p w14:paraId="0C2A0931">
      <w:pPr>
        <w:pStyle w:val="10"/>
        <w:rPr>
          <w:rFonts w:ascii="宋体" w:hAnsi="宋体" w:eastAsia="宋体" w:cs="宋体"/>
          <w:b/>
          <w:color w:val="auto"/>
          <w:kern w:val="0"/>
          <w:sz w:val="32"/>
          <w:szCs w:val="32"/>
          <w:lang w:bidi="ar"/>
        </w:rPr>
      </w:pPr>
    </w:p>
    <w:p w14:paraId="002F65E2">
      <w:pPr>
        <w:rPr>
          <w:rFonts w:ascii="宋体" w:hAnsi="宋体" w:eastAsia="宋体" w:cs="宋体"/>
          <w:b/>
          <w:color w:val="auto"/>
          <w:kern w:val="0"/>
          <w:sz w:val="32"/>
          <w:szCs w:val="32"/>
          <w:lang w:bidi="ar"/>
        </w:rPr>
      </w:pPr>
    </w:p>
    <w:p w14:paraId="1BB98C6F">
      <w:pPr>
        <w:pStyle w:val="10"/>
        <w:rPr>
          <w:rFonts w:ascii="宋体" w:hAnsi="宋体" w:eastAsia="宋体" w:cs="宋体"/>
          <w:b/>
          <w:color w:val="auto"/>
          <w:kern w:val="0"/>
          <w:sz w:val="32"/>
          <w:szCs w:val="32"/>
          <w:lang w:bidi="ar"/>
        </w:rPr>
      </w:pPr>
    </w:p>
    <w:p w14:paraId="307B2600">
      <w:pPr>
        <w:rPr>
          <w:rFonts w:ascii="宋体" w:hAnsi="宋体" w:eastAsia="宋体" w:cs="宋体"/>
          <w:b/>
          <w:color w:val="auto"/>
          <w:kern w:val="0"/>
          <w:sz w:val="32"/>
          <w:szCs w:val="32"/>
          <w:lang w:bidi="ar"/>
        </w:rPr>
      </w:pPr>
    </w:p>
    <w:p w14:paraId="21C63E2E">
      <w:pPr>
        <w:pStyle w:val="10"/>
        <w:rPr>
          <w:rFonts w:ascii="宋体" w:hAnsi="宋体" w:eastAsia="宋体" w:cs="宋体"/>
          <w:b/>
          <w:color w:val="auto"/>
          <w:kern w:val="0"/>
          <w:sz w:val="32"/>
          <w:szCs w:val="32"/>
          <w:lang w:bidi="ar"/>
        </w:rPr>
      </w:pPr>
    </w:p>
    <w:p w14:paraId="2AF604F5">
      <w:pPr>
        <w:rPr>
          <w:color w:val="auto"/>
        </w:rPr>
      </w:pPr>
    </w:p>
    <w:p w14:paraId="2130D793">
      <w:pPr>
        <w:widowControl/>
        <w:jc w:val="left"/>
        <w:rPr>
          <w:rFonts w:ascii="宋体" w:hAnsi="宋体" w:eastAsia="宋体" w:cs="宋体"/>
          <w:b/>
          <w:color w:val="auto"/>
          <w:kern w:val="0"/>
          <w:sz w:val="32"/>
          <w:szCs w:val="32"/>
          <w:lang w:bidi="ar"/>
        </w:rPr>
      </w:pPr>
    </w:p>
    <w:p w14:paraId="0BDC51F2">
      <w:pPr>
        <w:widowControl/>
        <w:jc w:val="left"/>
        <w:rPr>
          <w:rFonts w:ascii="宋体" w:hAnsi="宋体" w:eastAsia="宋体" w:cs="宋体"/>
          <w:b/>
          <w:color w:val="auto"/>
          <w:kern w:val="0"/>
          <w:sz w:val="32"/>
          <w:szCs w:val="32"/>
          <w:lang w:bidi="ar"/>
        </w:rPr>
      </w:pPr>
    </w:p>
    <w:p w14:paraId="65449B8F">
      <w:pPr>
        <w:widowControl/>
        <w:ind w:firstLine="643" w:firstLineChars="200"/>
        <w:jc w:val="left"/>
        <w:rPr>
          <w:rFonts w:hint="eastAsia" w:ascii="宋体" w:hAnsi="宋体" w:eastAsia="宋体" w:cs="宋体"/>
          <w:b/>
          <w:color w:val="auto"/>
          <w:kern w:val="0"/>
          <w:sz w:val="32"/>
          <w:szCs w:val="32"/>
          <w:lang w:bidi="ar"/>
        </w:rPr>
      </w:pPr>
      <w:r>
        <w:rPr>
          <w:rFonts w:hint="eastAsia" w:ascii="宋体" w:hAnsi="宋体" w:eastAsia="宋体" w:cs="宋体"/>
          <w:b/>
          <w:color w:val="auto"/>
          <w:kern w:val="0"/>
          <w:sz w:val="32"/>
          <w:szCs w:val="32"/>
          <w:lang w:bidi="ar"/>
        </w:rPr>
        <w:t>发包方（甲方）：</w:t>
      </w:r>
      <w:r>
        <w:rPr>
          <w:rFonts w:hint="eastAsia" w:ascii="宋体" w:hAnsi="宋体" w:cs="宋体"/>
          <w:b/>
          <w:color w:val="auto"/>
          <w:kern w:val="0"/>
          <w:sz w:val="32"/>
          <w:szCs w:val="32"/>
          <w:u w:val="single"/>
          <w:lang w:eastAsia="zh-CN" w:bidi="ar"/>
        </w:rPr>
        <w:t>邹城市钢山街道杜家庄村村民委员会</w:t>
      </w:r>
      <w:r>
        <w:rPr>
          <w:rFonts w:hint="eastAsia" w:ascii="宋体" w:hAnsi="宋体" w:eastAsia="宋体" w:cs="宋体"/>
          <w:b/>
          <w:color w:val="auto"/>
          <w:kern w:val="0"/>
          <w:sz w:val="32"/>
          <w:szCs w:val="32"/>
          <w:lang w:bidi="ar"/>
        </w:rPr>
        <w:t xml:space="preserve"> </w:t>
      </w:r>
    </w:p>
    <w:p w14:paraId="76B265C1">
      <w:pPr>
        <w:widowControl/>
        <w:ind w:firstLine="643" w:firstLineChars="200"/>
        <w:jc w:val="left"/>
        <w:rPr>
          <w:rFonts w:hint="eastAsia" w:ascii="宋体" w:hAnsi="宋体" w:eastAsia="宋体" w:cs="宋体"/>
          <w:b/>
          <w:color w:val="auto"/>
          <w:kern w:val="0"/>
          <w:sz w:val="32"/>
          <w:szCs w:val="32"/>
          <w:lang w:bidi="ar"/>
        </w:rPr>
      </w:pPr>
    </w:p>
    <w:p w14:paraId="1E544FDA">
      <w:pPr>
        <w:widowControl/>
        <w:ind w:firstLine="643" w:firstLineChars="200"/>
        <w:jc w:val="left"/>
        <w:rPr>
          <w:rFonts w:hint="eastAsia" w:ascii="宋体" w:hAnsi="宋体" w:eastAsia="宋体" w:cs="宋体"/>
          <w:b/>
          <w:color w:val="auto"/>
          <w:kern w:val="0"/>
          <w:sz w:val="32"/>
          <w:szCs w:val="32"/>
          <w:u w:val="single"/>
          <w:lang w:bidi="ar"/>
        </w:rPr>
      </w:pPr>
      <w:r>
        <w:rPr>
          <w:rFonts w:hint="eastAsia" w:ascii="宋体" w:hAnsi="宋体" w:eastAsia="宋体" w:cs="宋体"/>
          <w:b/>
          <w:color w:val="auto"/>
          <w:kern w:val="0"/>
          <w:sz w:val="32"/>
          <w:szCs w:val="32"/>
          <w:lang w:bidi="ar"/>
        </w:rPr>
        <w:t>承包方（乙方）：</w:t>
      </w:r>
      <w:r>
        <w:rPr>
          <w:rFonts w:hint="eastAsia" w:ascii="宋体" w:hAnsi="宋体" w:eastAsia="宋体" w:cs="宋体"/>
          <w:b/>
          <w:color w:val="auto"/>
          <w:kern w:val="0"/>
          <w:sz w:val="32"/>
          <w:szCs w:val="32"/>
          <w:u w:val="single"/>
          <w:lang w:bidi="ar"/>
        </w:rPr>
        <w:t xml:space="preserve"> </w:t>
      </w:r>
      <w:r>
        <w:rPr>
          <w:rFonts w:hint="eastAsia" w:ascii="宋体" w:hAnsi="宋体" w:eastAsia="宋体" w:cs="宋体"/>
          <w:b/>
          <w:color w:val="auto"/>
          <w:kern w:val="0"/>
          <w:sz w:val="32"/>
          <w:szCs w:val="32"/>
          <w:u w:val="single"/>
          <w:lang w:eastAsia="zh-CN" w:bidi="ar"/>
        </w:rPr>
        <w:t xml:space="preserve">                    </w:t>
      </w:r>
      <w:r>
        <w:rPr>
          <w:rFonts w:hint="eastAsia" w:ascii="宋体" w:hAnsi="宋体" w:eastAsia="宋体" w:cs="宋体"/>
          <w:b/>
          <w:color w:val="auto"/>
          <w:kern w:val="0"/>
          <w:sz w:val="32"/>
          <w:szCs w:val="32"/>
          <w:u w:val="single"/>
          <w:lang w:val="en-US" w:eastAsia="zh-CN" w:bidi="ar"/>
        </w:rPr>
        <w:t xml:space="preserve">  </w:t>
      </w:r>
      <w:r>
        <w:rPr>
          <w:rFonts w:hint="eastAsia" w:ascii="宋体" w:hAnsi="宋体" w:eastAsia="宋体" w:cs="宋体"/>
          <w:b/>
          <w:color w:val="auto"/>
          <w:kern w:val="0"/>
          <w:sz w:val="32"/>
          <w:szCs w:val="32"/>
          <w:u w:val="single"/>
          <w:lang w:eastAsia="zh-CN" w:bidi="ar"/>
        </w:rPr>
        <w:t xml:space="preserve">       </w:t>
      </w:r>
      <w:r>
        <w:rPr>
          <w:rFonts w:hint="eastAsia" w:ascii="宋体" w:hAnsi="宋体" w:eastAsia="宋体" w:cs="宋体"/>
          <w:b/>
          <w:color w:val="auto"/>
          <w:kern w:val="0"/>
          <w:sz w:val="32"/>
          <w:szCs w:val="32"/>
          <w:u w:val="single"/>
          <w:lang w:bidi="ar"/>
        </w:rPr>
        <w:t xml:space="preserve"> </w:t>
      </w:r>
    </w:p>
    <w:p w14:paraId="207E58F2">
      <w:pPr>
        <w:widowControl/>
        <w:ind w:firstLine="643" w:firstLineChars="200"/>
        <w:jc w:val="left"/>
        <w:rPr>
          <w:rFonts w:hint="eastAsia" w:ascii="宋体" w:hAnsi="宋体" w:eastAsia="宋体" w:cs="宋体"/>
          <w:b/>
          <w:color w:val="auto"/>
          <w:kern w:val="0"/>
          <w:sz w:val="32"/>
          <w:szCs w:val="32"/>
          <w:lang w:bidi="ar"/>
        </w:rPr>
      </w:pPr>
    </w:p>
    <w:p w14:paraId="46A91973">
      <w:pPr>
        <w:widowControl/>
        <w:ind w:firstLine="643" w:firstLineChars="200"/>
        <w:jc w:val="left"/>
        <w:rPr>
          <w:rFonts w:hint="eastAsia" w:ascii="宋体" w:hAnsi="宋体" w:eastAsia="宋体" w:cs="宋体"/>
          <w:b/>
          <w:color w:val="auto"/>
          <w:kern w:val="0"/>
          <w:sz w:val="32"/>
          <w:szCs w:val="32"/>
          <w:lang w:bidi="ar"/>
        </w:rPr>
      </w:pPr>
      <w:r>
        <w:rPr>
          <w:rFonts w:hint="eastAsia" w:ascii="宋体" w:hAnsi="宋体" w:eastAsia="宋体" w:cs="宋体"/>
          <w:b/>
          <w:color w:val="auto"/>
          <w:kern w:val="0"/>
          <w:sz w:val="32"/>
          <w:szCs w:val="32"/>
          <w:lang w:bidi="ar"/>
        </w:rPr>
        <w:t>合同订立时间：</w:t>
      </w:r>
      <w:r>
        <w:rPr>
          <w:rFonts w:hint="eastAsia" w:ascii="宋体" w:hAnsi="宋体" w:eastAsia="宋体" w:cs="宋体"/>
          <w:b/>
          <w:color w:val="auto"/>
          <w:kern w:val="0"/>
          <w:sz w:val="32"/>
          <w:szCs w:val="32"/>
          <w:u w:val="single"/>
          <w:lang w:eastAsia="zh-CN" w:bidi="ar"/>
        </w:rPr>
        <w:t>2024</w:t>
      </w:r>
      <w:r>
        <w:rPr>
          <w:rFonts w:hint="eastAsia" w:ascii="宋体" w:hAnsi="宋体" w:eastAsia="宋体" w:cs="宋体"/>
          <w:b/>
          <w:color w:val="auto"/>
          <w:kern w:val="0"/>
          <w:sz w:val="32"/>
          <w:szCs w:val="32"/>
          <w:lang w:bidi="ar"/>
        </w:rPr>
        <w:t>年</w:t>
      </w:r>
      <w:r>
        <w:rPr>
          <w:rFonts w:hint="eastAsia" w:ascii="宋体" w:hAnsi="宋体" w:eastAsia="宋体" w:cs="宋体"/>
          <w:b/>
          <w:color w:val="auto"/>
          <w:kern w:val="0"/>
          <w:sz w:val="32"/>
          <w:szCs w:val="32"/>
          <w:u w:val="single"/>
          <w:lang w:bidi="ar"/>
        </w:rPr>
        <w:t xml:space="preserve">     </w:t>
      </w:r>
      <w:r>
        <w:rPr>
          <w:rFonts w:hint="eastAsia" w:ascii="宋体" w:hAnsi="宋体" w:eastAsia="宋体" w:cs="宋体"/>
          <w:b/>
          <w:color w:val="auto"/>
          <w:kern w:val="0"/>
          <w:sz w:val="32"/>
          <w:szCs w:val="32"/>
          <w:lang w:bidi="ar"/>
        </w:rPr>
        <w:t>月</w:t>
      </w:r>
      <w:r>
        <w:rPr>
          <w:rFonts w:hint="eastAsia" w:ascii="宋体" w:hAnsi="宋体" w:eastAsia="宋体" w:cs="宋体"/>
          <w:b/>
          <w:color w:val="auto"/>
          <w:kern w:val="0"/>
          <w:sz w:val="32"/>
          <w:szCs w:val="32"/>
          <w:u w:val="single"/>
          <w:lang w:bidi="ar"/>
        </w:rPr>
        <w:t xml:space="preserve">    </w:t>
      </w:r>
      <w:r>
        <w:rPr>
          <w:rFonts w:hint="eastAsia" w:ascii="宋体" w:hAnsi="宋体" w:eastAsia="宋体" w:cs="宋体"/>
          <w:b/>
          <w:color w:val="auto"/>
          <w:kern w:val="0"/>
          <w:sz w:val="32"/>
          <w:szCs w:val="32"/>
          <w:lang w:bidi="ar"/>
        </w:rPr>
        <w:t xml:space="preserve">日  </w:t>
      </w:r>
    </w:p>
    <w:p w14:paraId="3D769E58">
      <w:pPr>
        <w:widowControl/>
        <w:ind w:firstLine="643" w:firstLineChars="200"/>
        <w:jc w:val="left"/>
        <w:rPr>
          <w:rFonts w:hint="eastAsia" w:ascii="宋体" w:hAnsi="宋体" w:eastAsia="宋体" w:cs="宋体"/>
          <w:b/>
          <w:color w:val="auto"/>
          <w:kern w:val="0"/>
          <w:sz w:val="32"/>
          <w:szCs w:val="32"/>
          <w:lang w:bidi="ar"/>
        </w:rPr>
      </w:pPr>
    </w:p>
    <w:p w14:paraId="6AB875AB">
      <w:pPr>
        <w:widowControl/>
        <w:ind w:firstLine="643" w:firstLineChars="200"/>
        <w:jc w:val="left"/>
        <w:rPr>
          <w:rFonts w:ascii="宋体" w:hAnsi="宋体" w:eastAsia="宋体" w:cs="宋体"/>
          <w:color w:val="auto"/>
          <w:kern w:val="0"/>
          <w:sz w:val="24"/>
          <w:u w:val="single"/>
          <w:lang w:bidi="ar"/>
        </w:rPr>
      </w:pPr>
      <w:r>
        <w:rPr>
          <w:rFonts w:hint="eastAsia" w:ascii="宋体" w:hAnsi="宋体" w:eastAsia="宋体" w:cs="宋体"/>
          <w:b/>
          <w:color w:val="auto"/>
          <w:kern w:val="0"/>
          <w:sz w:val="32"/>
          <w:szCs w:val="32"/>
          <w:lang w:bidi="ar"/>
        </w:rPr>
        <w:t>合同订立地点：</w:t>
      </w:r>
      <w:r>
        <w:rPr>
          <w:rFonts w:hint="eastAsia" w:ascii="宋体" w:hAnsi="宋体" w:cs="宋体"/>
          <w:b/>
          <w:color w:val="auto"/>
          <w:kern w:val="0"/>
          <w:sz w:val="32"/>
          <w:szCs w:val="32"/>
          <w:u w:val="single"/>
          <w:lang w:eastAsia="zh-CN" w:bidi="ar"/>
        </w:rPr>
        <w:t>邹城市钢山街道杜家庄村村民委员会</w:t>
      </w:r>
      <w:r>
        <w:rPr>
          <w:rFonts w:hint="eastAsia" w:ascii="宋体" w:hAnsi="宋体" w:eastAsia="宋体" w:cs="宋体"/>
          <w:b/>
          <w:color w:val="auto"/>
          <w:kern w:val="0"/>
          <w:sz w:val="32"/>
          <w:szCs w:val="32"/>
          <w:u w:val="single"/>
          <w:lang w:bidi="ar"/>
        </w:rPr>
        <w:t xml:space="preserve"> </w:t>
      </w:r>
    </w:p>
    <w:p w14:paraId="44939816">
      <w:pPr>
        <w:pStyle w:val="3"/>
        <w:rPr>
          <w:rFonts w:ascii="宋体" w:hAnsi="宋体" w:eastAsia="宋体" w:cs="宋体"/>
          <w:color w:val="auto"/>
          <w:sz w:val="24"/>
        </w:rPr>
        <w:sectPr>
          <w:headerReference r:id="rId9" w:type="default"/>
          <w:footerReference r:id="rId10" w:type="default"/>
          <w:footerReference r:id="rId11" w:type="even"/>
          <w:pgSz w:w="11906" w:h="16838"/>
          <w:pgMar w:top="1418" w:right="1418" w:bottom="1304" w:left="1418" w:header="851" w:footer="851" w:gutter="0"/>
          <w:pgNumType w:fmt="decimal"/>
          <w:cols w:space="720" w:num="1"/>
          <w:docGrid w:linePitch="312" w:charSpace="0"/>
        </w:sectPr>
      </w:pPr>
    </w:p>
    <w:p w14:paraId="2DBD4F11">
      <w:pPr>
        <w:pStyle w:val="3"/>
        <w:rPr>
          <w:rFonts w:ascii="宋体" w:hAnsi="宋体" w:eastAsia="宋体" w:cs="宋体"/>
          <w:color w:val="auto"/>
          <w:sz w:val="24"/>
        </w:rPr>
      </w:pPr>
    </w:p>
    <w:p w14:paraId="328CB9E0">
      <w:pPr>
        <w:pStyle w:val="3"/>
        <w:ind w:firstLine="482" w:firstLineChars="200"/>
        <w:jc w:val="center"/>
        <w:rPr>
          <w:rFonts w:ascii="宋体" w:hAnsi="宋体" w:eastAsia="宋体" w:cs="宋体"/>
          <w:color w:val="auto"/>
          <w:sz w:val="24"/>
        </w:rPr>
        <w:sectPr>
          <w:footerReference r:id="rId12" w:type="default"/>
          <w:type w:val="continuous"/>
          <w:pgSz w:w="11906" w:h="16838"/>
          <w:pgMar w:top="1418" w:right="1418" w:bottom="1304" w:left="1418" w:header="851" w:footer="851" w:gutter="0"/>
          <w:pgNumType w:fmt="decimal"/>
          <w:cols w:space="720" w:num="1"/>
          <w:docGrid w:linePitch="312" w:charSpace="0"/>
        </w:sectPr>
      </w:pPr>
    </w:p>
    <w:p w14:paraId="061E8433">
      <w:pPr>
        <w:pStyle w:val="3"/>
        <w:widowControl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第一节 合同协议书</w:t>
      </w:r>
    </w:p>
    <w:p w14:paraId="1987640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发包人（全称）：</w:t>
      </w:r>
      <w:r>
        <w:rPr>
          <w:rFonts w:hint="eastAsia" w:ascii="宋体" w:hAnsi="宋体" w:eastAsia="宋体" w:cs="宋体"/>
          <w:b/>
          <w:color w:val="auto"/>
          <w:sz w:val="24"/>
          <w:szCs w:val="24"/>
          <w:u w:val="single"/>
        </w:rPr>
        <w:t xml:space="preserve"> </w:t>
      </w:r>
      <w:r>
        <w:rPr>
          <w:rFonts w:hint="eastAsia" w:ascii="宋体" w:hAnsi="宋体" w:cs="宋体"/>
          <w:b/>
          <w:color w:val="auto"/>
          <w:sz w:val="24"/>
          <w:szCs w:val="24"/>
          <w:u w:val="single"/>
          <w:lang w:eastAsia="zh-CN"/>
        </w:rPr>
        <w:t>邹城市钢山街道杜家庄村村民委员会</w:t>
      </w:r>
      <w:r>
        <w:rPr>
          <w:rFonts w:hint="eastAsia" w:ascii="宋体" w:hAnsi="宋体" w:eastAsia="宋体" w:cs="宋体"/>
          <w:b/>
          <w:color w:val="auto"/>
          <w:sz w:val="24"/>
          <w:szCs w:val="24"/>
          <w:u w:val="single"/>
        </w:rPr>
        <w:t xml:space="preserve"> （以下简称发包人）</w:t>
      </w:r>
      <w:r>
        <w:rPr>
          <w:rFonts w:hint="eastAsia" w:ascii="宋体" w:hAnsi="宋体" w:eastAsia="宋体" w:cs="宋体"/>
          <w:b/>
          <w:color w:val="auto"/>
          <w:sz w:val="24"/>
          <w:szCs w:val="24"/>
        </w:rPr>
        <w:t xml:space="preserve">       </w:t>
      </w:r>
    </w:p>
    <w:p w14:paraId="2DA2FFBF">
      <w:pPr>
        <w:widowControl w:val="0"/>
        <w:kinsoku/>
        <w:wordWrap/>
        <w:overflowPunct/>
        <w:topLinePunct w:val="0"/>
        <w:autoSpaceDE/>
        <w:autoSpaceDN/>
        <w:bidi w:val="0"/>
        <w:spacing w:line="360" w:lineRule="auto"/>
        <w:textAlignment w:val="auto"/>
        <w:rPr>
          <w:rFonts w:hint="eastAsia" w:ascii="宋体" w:hAnsi="宋体" w:eastAsia="宋体" w:cs="宋体"/>
          <w:b/>
          <w:color w:val="auto"/>
          <w:spacing w:val="10"/>
          <w:sz w:val="24"/>
          <w:szCs w:val="24"/>
        </w:rPr>
      </w:pPr>
      <w:r>
        <w:rPr>
          <w:rFonts w:hint="eastAsia" w:ascii="宋体" w:hAnsi="宋体" w:eastAsia="宋体" w:cs="宋体"/>
          <w:b/>
          <w:color w:val="auto"/>
          <w:spacing w:val="30"/>
          <w:sz w:val="24"/>
          <w:szCs w:val="24"/>
        </w:rPr>
        <w:t>法定代表人</w:t>
      </w:r>
      <w:r>
        <w:rPr>
          <w:rFonts w:hint="eastAsia" w:ascii="宋体" w:hAnsi="宋体" w:eastAsia="宋体" w:cs="宋体"/>
          <w:b/>
          <w:color w:val="auto"/>
          <w:spacing w:val="10"/>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 xml:space="preserve">           </w:t>
      </w:r>
    </w:p>
    <w:p w14:paraId="797A27B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u w:val="single"/>
        </w:rPr>
      </w:pPr>
      <w:r>
        <w:rPr>
          <w:rFonts w:hint="eastAsia" w:ascii="宋体" w:hAnsi="宋体" w:eastAsia="宋体" w:cs="宋体"/>
          <w:b/>
          <w:color w:val="auto"/>
          <w:spacing w:val="10"/>
          <w:sz w:val="24"/>
          <w:szCs w:val="24"/>
        </w:rPr>
        <w:t>法定注册地址：</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14:paraId="38DABA0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eastAsia="zh-CN"/>
        </w:rPr>
        <w:t xml:space="preserve">                                      </w:t>
      </w:r>
      <w:r>
        <w:rPr>
          <w:rFonts w:hint="eastAsia" w:ascii="宋体" w:hAnsi="宋体" w:eastAsia="宋体" w:cs="宋体"/>
          <w:b/>
          <w:color w:val="auto"/>
          <w:sz w:val="24"/>
          <w:szCs w:val="24"/>
          <w:u w:val="single"/>
        </w:rPr>
        <w:t>（以下简称承包人）</w:t>
      </w:r>
    </w:p>
    <w:p w14:paraId="093EEFA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pacing w:val="30"/>
          <w:sz w:val="24"/>
          <w:szCs w:val="24"/>
        </w:rPr>
        <w:t>法定代表人：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14:paraId="26BA0EFB">
      <w:pPr>
        <w:widowControl w:val="0"/>
        <w:kinsoku/>
        <w:wordWrap/>
        <w:overflowPunct/>
        <w:topLinePunct w:val="0"/>
        <w:autoSpaceDE/>
        <w:autoSpaceDN/>
        <w:bidi w:val="0"/>
        <w:spacing w:after="120" w:afterLines="50"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pacing w:val="10"/>
          <w:sz w:val="24"/>
          <w:szCs w:val="24"/>
        </w:rPr>
        <w:t>法定注册地址：</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14:paraId="1796700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发包人为建设</w:t>
      </w:r>
      <w:r>
        <w:rPr>
          <w:rFonts w:hint="eastAsia" w:ascii="宋体" w:hAnsi="宋体" w:cs="宋体"/>
          <w:color w:val="auto"/>
          <w:sz w:val="24"/>
          <w:szCs w:val="24"/>
          <w:u w:val="single"/>
          <w:lang w:eastAsia="zh-CN"/>
        </w:rPr>
        <w:t>邹城市钢山街道杜家庄村义和佳苑车棚建设工程</w:t>
      </w:r>
      <w:r>
        <w:rPr>
          <w:rFonts w:hint="eastAsia" w:ascii="宋体" w:hAnsi="宋体" w:eastAsia="宋体" w:cs="宋体"/>
          <w:color w:val="auto"/>
          <w:sz w:val="24"/>
          <w:szCs w:val="24"/>
          <w:u w:val="single"/>
        </w:rPr>
        <w:t>施工</w:t>
      </w:r>
      <w:r>
        <w:rPr>
          <w:rFonts w:hint="eastAsia" w:ascii="宋体" w:hAnsi="宋体" w:eastAsia="宋体" w:cs="宋体"/>
          <w:color w:val="auto"/>
          <w:sz w:val="24"/>
          <w:szCs w:val="24"/>
        </w:rPr>
        <w:t>(以下简称“本工程”)，已接受承包人提出的承担本工程的施工、竣工、交付并维修其任何缺陷的投标。根据国家及地方有关法律、行政法规的规定、遵循平等、自愿、公平和诚实信用的原则，双方共同达成并订立如下协议。</w:t>
      </w:r>
    </w:p>
    <w:p w14:paraId="73F48ADE">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一、工程概况</w:t>
      </w:r>
    </w:p>
    <w:p w14:paraId="324AA4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工程名称：</w:t>
      </w:r>
      <w:r>
        <w:rPr>
          <w:rFonts w:hint="eastAsia" w:ascii="宋体" w:hAnsi="宋体" w:cs="宋体"/>
          <w:color w:val="auto"/>
          <w:sz w:val="24"/>
          <w:szCs w:val="24"/>
          <w:u w:val="single"/>
          <w:lang w:eastAsia="zh-CN"/>
        </w:rPr>
        <w:t>邹城市钢山街道杜家庄村义和佳苑车棚建设工程</w:t>
      </w:r>
      <w:r>
        <w:rPr>
          <w:rFonts w:hint="eastAsia" w:ascii="宋体" w:hAnsi="宋体" w:eastAsia="宋体" w:cs="宋体"/>
          <w:color w:val="auto"/>
          <w:sz w:val="24"/>
          <w:szCs w:val="24"/>
          <w:u w:val="single"/>
        </w:rPr>
        <w:t>施工</w:t>
      </w:r>
    </w:p>
    <w:p w14:paraId="0682C24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工程地点：</w:t>
      </w:r>
      <w:r>
        <w:rPr>
          <w:rFonts w:hint="eastAsia" w:ascii="宋体" w:hAnsi="宋体" w:cs="宋体"/>
          <w:color w:val="auto"/>
          <w:sz w:val="24"/>
          <w:szCs w:val="24"/>
          <w:u w:val="single"/>
          <w:lang w:eastAsia="zh-CN"/>
        </w:rPr>
        <w:t>邹城市钢山街道杜家庄村义和佳苑</w:t>
      </w:r>
    </w:p>
    <w:p w14:paraId="7E7C4B8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工程内容：</w:t>
      </w:r>
      <w:r>
        <w:rPr>
          <w:rFonts w:hint="eastAsia" w:ascii="宋体" w:hAnsi="宋体" w:cs="宋体"/>
          <w:color w:val="auto"/>
          <w:sz w:val="24"/>
          <w:szCs w:val="24"/>
          <w:highlight w:val="none"/>
          <w:lang w:eastAsia="zh-CN"/>
        </w:rPr>
        <w:t>邹城市钢山街道杜家庄村义和佳苑车棚建设工程</w:t>
      </w:r>
      <w:r>
        <w:rPr>
          <w:rFonts w:hint="eastAsia" w:ascii="宋体" w:hAnsi="宋体" w:eastAsia="宋体" w:cs="宋体"/>
          <w:color w:val="auto"/>
          <w:sz w:val="24"/>
          <w:szCs w:val="24"/>
          <w:highlight w:val="none"/>
          <w:lang w:eastAsia="zh-CN"/>
        </w:rPr>
        <w:t>包括图纸范围内（以施工界面划分为准）的全部内容，主要包括</w:t>
      </w:r>
      <w:r>
        <w:rPr>
          <w:rFonts w:hint="eastAsia" w:ascii="宋体" w:hAnsi="宋体" w:cs="宋体"/>
          <w:color w:val="auto"/>
          <w:sz w:val="24"/>
          <w:szCs w:val="24"/>
          <w:highlight w:val="none"/>
          <w:lang w:eastAsia="zh-CN"/>
        </w:rPr>
        <w:t>4#楼东、5#楼东、8#楼北、托儿所大门口、加热站西、14#楼北、18#楼北、28#楼北、30#楼北、32#楼北、34#楼南、35#楼北、36#楼北、38#楼北等14个车棚的土建、安装工程</w:t>
      </w:r>
      <w:r>
        <w:rPr>
          <w:rFonts w:hint="eastAsia" w:ascii="宋体" w:hAnsi="宋体" w:eastAsia="宋体" w:cs="宋体"/>
          <w:color w:val="auto"/>
          <w:sz w:val="24"/>
          <w:szCs w:val="24"/>
          <w:highlight w:val="none"/>
          <w:lang w:eastAsia="zh-CN"/>
        </w:rPr>
        <w:t>等全部内容（详见工程量清单，以工程量清单为准）。</w:t>
      </w:r>
    </w:p>
    <w:p w14:paraId="089D24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工程立项批准文号：</w:t>
      </w:r>
      <w:r>
        <w:rPr>
          <w:rFonts w:hint="eastAsia" w:ascii="宋体" w:hAnsi="宋体" w:eastAsia="宋体" w:cs="宋体"/>
          <w:color w:val="auto"/>
          <w:sz w:val="24"/>
          <w:szCs w:val="24"/>
          <w:u w:val="single"/>
        </w:rPr>
        <w:t xml:space="preserve">                                         </w:t>
      </w:r>
    </w:p>
    <w:p w14:paraId="6AE279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资金来源：</w:t>
      </w:r>
      <w:r>
        <w:rPr>
          <w:rFonts w:hint="eastAsia" w:ascii="宋体" w:hAnsi="宋体" w:eastAsia="宋体" w:cs="宋体"/>
          <w:color w:val="auto"/>
          <w:sz w:val="24"/>
          <w:szCs w:val="24"/>
          <w:u w:val="single"/>
        </w:rPr>
        <w:t xml:space="preserve">   自筹                                              </w:t>
      </w:r>
    </w:p>
    <w:p w14:paraId="119960FF">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二、工程承包范围</w:t>
      </w:r>
    </w:p>
    <w:p w14:paraId="38473F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承包范围：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邹城市钢山街道杜家庄村义和佳苑车棚建设工程</w:t>
      </w:r>
      <w:r>
        <w:rPr>
          <w:rFonts w:hint="eastAsia" w:ascii="宋体" w:hAnsi="宋体" w:eastAsia="宋体" w:cs="宋体"/>
          <w:color w:val="auto"/>
          <w:sz w:val="24"/>
          <w:szCs w:val="24"/>
          <w:highlight w:val="none"/>
          <w:u w:val="single"/>
          <w:lang w:eastAsia="zh-CN"/>
        </w:rPr>
        <w:t>包括图纸范围内（以施工界面划分为准）的全部内容，主要包括</w:t>
      </w:r>
      <w:r>
        <w:rPr>
          <w:rFonts w:hint="eastAsia" w:ascii="宋体" w:hAnsi="宋体" w:cs="宋体"/>
          <w:color w:val="auto"/>
          <w:sz w:val="24"/>
          <w:szCs w:val="24"/>
          <w:highlight w:val="none"/>
          <w:u w:val="single"/>
          <w:lang w:eastAsia="zh-CN"/>
        </w:rPr>
        <w:t>4#楼东、5#楼东、8#楼北、托儿所大门口、加热站西、14#楼北、18#楼北、28#楼北、30#楼北、32#楼北、34#楼南、35#楼北、36#楼北、38#楼北等14个车棚的土建、安装工程</w:t>
      </w:r>
      <w:r>
        <w:rPr>
          <w:rFonts w:hint="eastAsia" w:ascii="宋体" w:hAnsi="宋体" w:eastAsia="宋体" w:cs="宋体"/>
          <w:color w:val="auto"/>
          <w:sz w:val="24"/>
          <w:szCs w:val="24"/>
          <w:highlight w:val="none"/>
          <w:u w:val="single"/>
          <w:lang w:eastAsia="zh-CN"/>
        </w:rPr>
        <w:t>等全部内容（详见工程量清单，以工程量清单为准）。</w:t>
      </w:r>
      <w:r>
        <w:rPr>
          <w:rFonts w:hint="eastAsia" w:ascii="宋体" w:hAnsi="宋体" w:eastAsia="宋体" w:cs="宋体"/>
          <w:color w:val="auto"/>
          <w:sz w:val="24"/>
          <w:szCs w:val="24"/>
          <w:highlight w:val="none"/>
          <w:u w:val="single"/>
        </w:rPr>
        <w:t>所有施工的项目工程质量必须一次性满足设计图纸中的规定及要求，并达到一次性验收合格；否则，承包人无偿返工至验收合格为止。</w:t>
      </w:r>
    </w:p>
    <w:p w14:paraId="253061D8">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三、合同工期</w:t>
      </w:r>
    </w:p>
    <w:p w14:paraId="4411EF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日至</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日。</w:t>
      </w:r>
    </w:p>
    <w:p w14:paraId="2140FC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工程期限：共计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历天。实际开工日期以发包人签署的开工指令为准；竣工日期以发包人及监理等五方共同书面确认的全部工程竣工验收通过日期为准。承包人须根据发包人进度要求进行施工，除发包人书面调整外，无论何种原因，竣工日期不变。以上工期总日历天数的约定已考虑施工期间的节假日、以及城市创卫、环保扬尘治理、冬雨季施工、施工现场场地条件和环境条件、农忙及恶劣气候（包括但不限于大风、沙尘、冰雹、持续高温等）、疫情、政府部门政治性会议或其他事件对施工的限制、设计变更导致工程量的增加或工程的返工工期等因素（一次性设计变更超过合同价款的5%并经发包人书面签证的除外）。</w:t>
      </w:r>
    </w:p>
    <w:p w14:paraId="4E8F46D1">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四、质量标准</w:t>
      </w:r>
    </w:p>
    <w:p w14:paraId="368750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工程质量标准：合格</w:t>
      </w:r>
      <w:r>
        <w:rPr>
          <w:rFonts w:hint="eastAsia" w:ascii="宋体" w:hAnsi="宋体" w:eastAsia="宋体" w:cs="宋体"/>
          <w:color w:val="auto"/>
          <w:sz w:val="24"/>
          <w:szCs w:val="24"/>
        </w:rPr>
        <w:t xml:space="preserve">      </w:t>
      </w:r>
    </w:p>
    <w:p w14:paraId="21037E01">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五、合同形式 </w:t>
      </w:r>
    </w:p>
    <w:p w14:paraId="760324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本合同采用固定含税全费用综合单价合同形式。</w:t>
      </w:r>
    </w:p>
    <w:p w14:paraId="73889F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此合同价款包括施工设备、劳务、材料（含辅材）、安装、运输、维护、保险（含劳动保险等）、管理费、</w:t>
      </w:r>
      <w:r>
        <w:rPr>
          <w:rFonts w:hint="eastAsia" w:ascii="宋体" w:hAnsi="宋体" w:cs="宋体"/>
          <w:color w:val="auto"/>
          <w:sz w:val="24"/>
          <w:szCs w:val="24"/>
          <w:lang w:eastAsia="zh-CN"/>
        </w:rPr>
        <w:t>利润及税金、</w:t>
      </w:r>
      <w:r>
        <w:rPr>
          <w:rFonts w:hint="eastAsia" w:ascii="宋体" w:hAnsi="宋体" w:eastAsia="宋体" w:cs="宋体"/>
          <w:color w:val="auto"/>
          <w:sz w:val="24"/>
          <w:szCs w:val="24"/>
        </w:rPr>
        <w:t>安全文明施工费、规费、调试费、措施费、扬尘治理、安全、工期、质量、垃圾清理及外运、分批次进出场产生的费用（不因现场情况机械进出多少次，只计算一次机械进出场费用）、二次搬运费、材料的保管费、检验费、验收费、总包配合费用、社群关系协调费、意外伤害、伤亡事故、政策性文件规定、不明地质变化及合同实施期内包含的所有风险、责任等各项应有费用，并考虑所有风险及包含律师费、诉讼费、保全费、公告费、鉴定费、交通食宿费、预期的市场价格的涨跌引起的费用、政策性文件规定以及施工期间政策调整而发生的风险、在限定的工期内完成施工项目及整项工程并达到合同约定的质量标准所需要的费用、</w:t>
      </w:r>
      <w:r>
        <w:rPr>
          <w:rFonts w:hint="eastAsia" w:ascii="宋体" w:hAnsi="宋体" w:cs="宋体"/>
          <w:color w:val="auto"/>
          <w:sz w:val="24"/>
          <w:szCs w:val="24"/>
          <w:lang w:eastAsia="zh-CN"/>
        </w:rPr>
        <w:t>隐含的为完成该项目而必须发生的费用（包括发包人分包的给水系统、热力系统、强电、强电系统、燃气系统等各项施工中的配合及预留的接口闭合等相关费用）</w:t>
      </w:r>
      <w:r>
        <w:rPr>
          <w:rFonts w:hint="eastAsia" w:ascii="宋体" w:hAnsi="宋体" w:eastAsia="宋体" w:cs="宋体"/>
          <w:color w:val="auto"/>
          <w:sz w:val="24"/>
          <w:szCs w:val="24"/>
        </w:rPr>
        <w:t>、在合同实施期间不因市场变化因素而变动。除固定含税全费用综合单价外，承包人无权再向发包人主张任何价款及费用。</w:t>
      </w:r>
    </w:p>
    <w:p w14:paraId="10201CC3">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六、签约合同价</w:t>
      </w:r>
    </w:p>
    <w:p w14:paraId="0E0718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rPr>
        <w:t>含税合同金额（小写）</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none"/>
        </w:rPr>
        <w:t>；</w:t>
      </w:r>
      <w:r>
        <w:rPr>
          <w:rFonts w:hint="eastAsia" w:ascii="宋体" w:hAnsi="宋体" w:eastAsia="宋体" w:cs="宋体"/>
          <w:b w:val="0"/>
          <w:bCs w:val="0"/>
          <w:color w:val="auto"/>
          <w:sz w:val="24"/>
          <w:szCs w:val="24"/>
        </w:rPr>
        <w:t xml:space="preserve"> (大写）：</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none"/>
        </w:rPr>
        <w:t>。</w:t>
      </w:r>
    </w:p>
    <w:p w14:paraId="265B9F6D">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七、承包人项目经理：</w:t>
      </w:r>
    </w:p>
    <w:p w14:paraId="1661F2F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职称：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p>
    <w:p w14:paraId="7EC9AA0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rPr>
        <w:t>建造师执业印章号：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6174D9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E059D39">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八、合同文件的组成</w:t>
      </w:r>
    </w:p>
    <w:p w14:paraId="3A54B9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下列文件共同构成合同文件：</w:t>
      </w:r>
    </w:p>
    <w:p w14:paraId="0525AB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1、本协议书；</w:t>
      </w:r>
    </w:p>
    <w:p w14:paraId="5A9F83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2、中标通知书；</w:t>
      </w:r>
    </w:p>
    <w:p w14:paraId="5F20FE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3、投标函及投标函附录、投标报价文件；</w:t>
      </w:r>
    </w:p>
    <w:p w14:paraId="2130947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4、专用合同条款；</w:t>
      </w:r>
    </w:p>
    <w:p w14:paraId="1F4790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6C0D53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7E66CB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560C208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8、其他合同文件。</w:t>
      </w:r>
    </w:p>
    <w:p w14:paraId="28BDDC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上述文件互相补充和解释，如有不明确或不一致之处，以合同约定次序在先者为准。</w:t>
      </w:r>
    </w:p>
    <w:p w14:paraId="26685CC2">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九、本协议书中有关词语定义与合同条款中的定义相同。</w:t>
      </w:r>
    </w:p>
    <w:p w14:paraId="1985BB2E">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十、承包人承诺按照合同约定进行施工、竣工、交付并在缺陷责任期内对工程缺陷承担维修责任。</w:t>
      </w:r>
    </w:p>
    <w:p w14:paraId="4DFFA714">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十一、发包人承诺按照合同约定的条件</w:t>
      </w:r>
      <w:bookmarkStart w:id="162" w:name="_GoBack"/>
      <w:bookmarkEnd w:id="162"/>
      <w:r>
        <w:rPr>
          <w:rFonts w:hint="eastAsia" w:ascii="宋体" w:hAnsi="宋体" w:eastAsia="宋体" w:cs="宋体"/>
          <w:b/>
          <w:bCs/>
          <w:color w:val="auto"/>
          <w:sz w:val="24"/>
          <w:szCs w:val="24"/>
        </w:rPr>
        <w:t>、期限和方式向承包人支付合同价款。</w:t>
      </w:r>
    </w:p>
    <w:p w14:paraId="4EF83881">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十二、本协议书连同其他合同文件正本一式 </w:t>
      </w:r>
      <w:r>
        <w:rPr>
          <w:rFonts w:hint="eastAsia" w:ascii="宋体" w:hAnsi="宋体" w:eastAsia="宋体" w:cs="宋体"/>
          <w:b/>
          <w:bCs/>
          <w:color w:val="auto"/>
          <w:sz w:val="24"/>
          <w:szCs w:val="24"/>
          <w:u w:val="single"/>
        </w:rPr>
        <w:t xml:space="preserve">两 </w:t>
      </w:r>
      <w:r>
        <w:rPr>
          <w:rFonts w:hint="eastAsia" w:ascii="宋体" w:hAnsi="宋体" w:eastAsia="宋体" w:cs="宋体"/>
          <w:b/>
          <w:bCs/>
          <w:color w:val="auto"/>
          <w:sz w:val="24"/>
          <w:szCs w:val="24"/>
        </w:rPr>
        <w:t>份，合同双方各执一份；副本一式</w:t>
      </w:r>
      <w:r>
        <w:rPr>
          <w:rFonts w:hint="eastAsia" w:ascii="宋体" w:hAnsi="宋体" w:eastAsia="宋体" w:cs="宋体"/>
          <w:b/>
          <w:bCs/>
          <w:color w:val="auto"/>
          <w:sz w:val="24"/>
          <w:szCs w:val="24"/>
          <w:u w:val="single"/>
        </w:rPr>
        <w:t xml:space="preserve"> 陆 </w:t>
      </w:r>
      <w:r>
        <w:rPr>
          <w:rFonts w:hint="eastAsia" w:ascii="宋体" w:hAnsi="宋体" w:eastAsia="宋体" w:cs="宋体"/>
          <w:b/>
          <w:bCs/>
          <w:color w:val="auto"/>
          <w:sz w:val="24"/>
          <w:szCs w:val="24"/>
        </w:rPr>
        <w:t>份，发包人</w:t>
      </w:r>
      <w:r>
        <w:rPr>
          <w:rFonts w:hint="eastAsia" w:ascii="宋体" w:hAnsi="宋体" w:eastAsia="宋体" w:cs="宋体"/>
          <w:b/>
          <w:bCs/>
          <w:color w:val="auto"/>
          <w:sz w:val="24"/>
          <w:szCs w:val="24"/>
          <w:u w:val="single"/>
        </w:rPr>
        <w:t xml:space="preserve"> 肆 </w:t>
      </w:r>
      <w:r>
        <w:rPr>
          <w:rFonts w:hint="eastAsia" w:ascii="宋体" w:hAnsi="宋体" w:eastAsia="宋体" w:cs="宋体"/>
          <w:b/>
          <w:bCs/>
          <w:color w:val="auto"/>
          <w:sz w:val="24"/>
          <w:szCs w:val="24"/>
        </w:rPr>
        <w:t>份，承包人</w:t>
      </w:r>
      <w:r>
        <w:rPr>
          <w:rFonts w:hint="eastAsia" w:ascii="宋体" w:hAnsi="宋体" w:eastAsia="宋体" w:cs="宋体"/>
          <w:b/>
          <w:bCs/>
          <w:color w:val="auto"/>
          <w:sz w:val="24"/>
          <w:szCs w:val="24"/>
          <w:u w:val="single"/>
        </w:rPr>
        <w:t xml:space="preserve"> 贰 </w:t>
      </w:r>
      <w:r>
        <w:rPr>
          <w:rFonts w:hint="eastAsia" w:ascii="宋体" w:hAnsi="宋体" w:eastAsia="宋体" w:cs="宋体"/>
          <w:b/>
          <w:bCs/>
          <w:color w:val="auto"/>
          <w:sz w:val="24"/>
          <w:szCs w:val="24"/>
        </w:rPr>
        <w:t>份其中一份在合同报送建设行政主管部门备案时留存。</w:t>
      </w:r>
    </w:p>
    <w:p w14:paraId="1FB8E608">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十三、合同未尽事宜，双方另行签订补充协议，即成为原合同不可分割的组成部分，与原合同具有同等法律效力，与原合同冲突时，已补充协议为准。</w:t>
      </w:r>
    </w:p>
    <w:p w14:paraId="5D9FC396">
      <w:pPr>
        <w:pStyle w:val="10"/>
        <w:rPr>
          <w:rFonts w:hint="eastAsia"/>
        </w:rPr>
      </w:pPr>
    </w:p>
    <w:p w14:paraId="400D348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(盖单位章)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承包人：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5E1A98A8">
      <w:pPr>
        <w:widowControl w:val="0"/>
        <w:kinsoku/>
        <w:wordWrap/>
        <w:overflowPunct/>
        <w:topLinePunct w:val="0"/>
        <w:autoSpaceDE/>
        <w:autoSpaceDN/>
        <w:bidi w:val="0"/>
        <w:spacing w:line="360" w:lineRule="auto"/>
        <w:ind w:firstLine="960" w:firstLineChars="400"/>
        <w:textAlignment w:val="auto"/>
        <w:rPr>
          <w:rFonts w:hint="eastAsia" w:ascii="宋体" w:hAnsi="宋体" w:eastAsia="宋体" w:cs="宋体"/>
          <w:color w:val="auto"/>
          <w:sz w:val="24"/>
          <w:szCs w:val="24"/>
        </w:rPr>
      </w:pPr>
    </w:p>
    <w:p w14:paraId="559617A4">
      <w:pPr>
        <w:widowControl w:val="0"/>
        <w:kinsoku/>
        <w:wordWrap/>
        <w:overflowPunct/>
        <w:topLinePunct w:val="0"/>
        <w:autoSpaceDE/>
        <w:autoSpaceDN/>
        <w:bidi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6CB070B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14:paraId="5419E6A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      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(签字)</w:t>
      </w:r>
    </w:p>
    <w:p w14:paraId="1B5DD72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15DBDCF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0559E6D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签约地点：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599C42C2">
      <w:pPr>
        <w:pStyle w:val="3"/>
        <w:widowControl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br w:type="page"/>
      </w:r>
      <w:bookmarkStart w:id="30" w:name="_Toc2029"/>
      <w:r>
        <w:rPr>
          <w:rFonts w:hint="eastAsia" w:ascii="宋体" w:hAnsi="宋体" w:eastAsia="宋体" w:cs="宋体"/>
          <w:color w:val="auto"/>
          <w:sz w:val="24"/>
          <w:szCs w:val="24"/>
        </w:rPr>
        <w:t>第二节  通用合同条款</w:t>
      </w:r>
      <w:bookmarkEnd w:id="30"/>
    </w:p>
    <w:p w14:paraId="4734FB3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31" w:name="_Toc224699375"/>
      <w:bookmarkStart w:id="32" w:name="_Toc196637767"/>
      <w:bookmarkStart w:id="33" w:name="_Toc184635098"/>
      <w:bookmarkStart w:id="34" w:name="_Toc196637649"/>
      <w:bookmarkStart w:id="35" w:name="_Toc196637413"/>
      <w:r>
        <w:rPr>
          <w:rFonts w:hint="eastAsia" w:ascii="宋体" w:hAnsi="宋体" w:eastAsia="宋体" w:cs="宋体"/>
          <w:color w:val="auto"/>
          <w:sz w:val="24"/>
          <w:szCs w:val="24"/>
        </w:rPr>
        <w:t>1、一般约定</w:t>
      </w:r>
      <w:bookmarkEnd w:id="31"/>
      <w:bookmarkEnd w:id="32"/>
      <w:bookmarkEnd w:id="33"/>
      <w:bookmarkEnd w:id="34"/>
      <w:bookmarkEnd w:id="35"/>
    </w:p>
    <w:p w14:paraId="3C466FF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 词语定义</w:t>
      </w:r>
    </w:p>
    <w:p w14:paraId="37DB80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通用合同条款、专用合同条款中的下列词语应具有本款所赋予的含义。</w:t>
      </w:r>
    </w:p>
    <w:p w14:paraId="716DE6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合同</w:t>
      </w:r>
    </w:p>
    <w:p w14:paraId="108454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1.1.1.1 合同文件（或称合同）：指合同协议书、中标通知书、投标函及投标函附录、专用合同条款、通用合同条款、技术标准和要求、图纸、投标报价文件，以及其他合同文件。</w:t>
      </w:r>
    </w:p>
    <w:p w14:paraId="1DD84B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1.1.1.2 合同协议书：指第1.5 款所指的合同协议书。</w:t>
      </w:r>
    </w:p>
    <w:p w14:paraId="215E31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1.1.1.3 中标通知书：指发包人通知承包人中标的函件。</w:t>
      </w:r>
    </w:p>
    <w:p w14:paraId="728D47A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1.1.1.4 投标函：指构成合同文件组成部分的由承包人填写并签署的投标函。</w:t>
      </w:r>
    </w:p>
    <w:p w14:paraId="1C1E82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1.1.1.5 投标函附录：指附在投标函后构成合同文件的投标函附录。</w:t>
      </w:r>
    </w:p>
    <w:p w14:paraId="254CAA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1.1.1.6 技术标准和要求：指构成合同文件组成部分的名为技术标准和要求的文件，包括合同双方当事人约定对其所作的修改或补充。</w:t>
      </w:r>
    </w:p>
    <w:p w14:paraId="124E1A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1.1.1.7 图纸：指包含在合同中的工程图纸，以及由发包人按合同约定提供的任何补充和修改的图纸，包括配套的说明。</w:t>
      </w:r>
    </w:p>
    <w:p w14:paraId="3EE0DF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1.1.1.8其他合同文件：指经合同双方当事人确认构成合同文件的其他文件。</w:t>
      </w:r>
    </w:p>
    <w:p w14:paraId="523BF4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 合同当事人和人员</w:t>
      </w:r>
    </w:p>
    <w:p w14:paraId="6983EE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1.1.2.1 合同当事人：指发包人和（或）承包人。</w:t>
      </w:r>
    </w:p>
    <w:p w14:paraId="66FC12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1.1.2.2 发包人：指专用合同条款中指明并与承包人在合同协议书中签字的当事人。</w:t>
      </w:r>
    </w:p>
    <w:p w14:paraId="1B42A07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1.1.2.3 承包人：指与发包人签订合同协议书的当事人。</w:t>
      </w:r>
    </w:p>
    <w:p w14:paraId="53506D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1.1.2.4 承包人项目经理：指承包人派驻施工场地的全权负责人。</w:t>
      </w:r>
    </w:p>
    <w:p w14:paraId="703E53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1.1.2.5 分包人：指从承包人处分包合同中某一部分工程，并与其签订分包合同的分包人。</w:t>
      </w:r>
    </w:p>
    <w:p w14:paraId="6C2DE0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1.1.2.6 监理人：指在专用合同条款中指明的，受发包人委托对合同履行实施管理的法人或其他组织。</w:t>
      </w:r>
    </w:p>
    <w:p w14:paraId="0AEB08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1.1.2.7 总监理工程师（总监）：指由监理人委派常驻施工场地对合同履行实施管理的全权负责人。</w:t>
      </w:r>
    </w:p>
    <w:p w14:paraId="175973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14:paraId="6BDD3CE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 工程：指永久工程和（或）临时工程。</w:t>
      </w:r>
    </w:p>
    <w:p w14:paraId="3FA49B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1.1.3.2 永久工程：指按合同约定建造并移交给发包人的工程，包括工程设备。</w:t>
      </w:r>
    </w:p>
    <w:p w14:paraId="68094A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1.1.3.3 临时工程：指为完成合同约定的永久工程所修建的各类临时性工程，不包括施工设备。</w:t>
      </w:r>
    </w:p>
    <w:p w14:paraId="45EEA3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1.1.3.4 单位工程：指专用合同条款中指明特定范围的永久工程。</w:t>
      </w:r>
    </w:p>
    <w:p w14:paraId="66717F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1.1.3.5 工程设备：指构成或计划构成永久工程一部分的机电设备、金属结构设备、仪器装置及其他类似的设备和装置。</w:t>
      </w:r>
    </w:p>
    <w:p w14:paraId="53C06E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1.1.3.6 施工设备：指为完成合同约定的各项工作所需的设备、器具和其他物品，不包括临时工程和材料。</w:t>
      </w:r>
    </w:p>
    <w:p w14:paraId="4217B6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1.1.3.7 临时设施：指为完成合同约定的各项工作所服务的临时性生产和生活设施。</w:t>
      </w:r>
    </w:p>
    <w:p w14:paraId="18A173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1.1.3.8 承包人设备：指承包人自带的施工设备。</w:t>
      </w:r>
    </w:p>
    <w:p w14:paraId="5DB941F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1.1.3.9 施工场地（或称工地、现场）：指用于合同工程施工的场所，以及在合同中指定作为施工场地组成部分的其他场所，包括永久占地和临时占地。</w:t>
      </w:r>
    </w:p>
    <w:p w14:paraId="2A84AAE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1.1.3.10 永久占地：指专用合同条款中指明为实施合同工程需永久占用的土地。</w:t>
      </w:r>
    </w:p>
    <w:p w14:paraId="7B4B88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1.1.3.11 临时占地：指专用合同条款中指明为实施合同工程需临时占用的土地。</w:t>
      </w:r>
    </w:p>
    <w:p w14:paraId="69A29AB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 日期</w:t>
      </w:r>
    </w:p>
    <w:p w14:paraId="2FF66F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1.1.4.1 开工通知：指监理人按第11.1 款通知承包人开工的函件。</w:t>
      </w:r>
    </w:p>
    <w:p w14:paraId="507AB3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1.1.4.2 开工日期：指监理人按第11.1 款发出的开工通知中写明的开工日期。</w:t>
      </w:r>
    </w:p>
    <w:p w14:paraId="1B97B13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1.1.4.3 工期：指承包人在投标函中承诺的完成合同工程所需的期限，包括按第11.3 款、第11.4 款和第11.6 款约定所作的变更。</w:t>
      </w:r>
    </w:p>
    <w:p w14:paraId="6D5377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1.1.4.4 竣工日期：指第1.1.4.3 目约定工期届满时的日期。实际竣工日期以工程接收证书中写明的日期为准。</w:t>
      </w:r>
    </w:p>
    <w:p w14:paraId="7A7200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1.1.4.5 缺陷责任期：指履行第19.2 款约定的缺陷责任的期限，具体期限由专用合同条款约定，包括根据第19.3 款约定所作的延长。</w:t>
      </w:r>
    </w:p>
    <w:p w14:paraId="223862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1.1.4.6 基准日期：指投标截止时间前28 天的日期。</w:t>
      </w:r>
    </w:p>
    <w:p w14:paraId="5A921A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1.1.4.7 天：除特别指明外，指日历天。合同中按天计算时间的，开始当天不计入，从次日开始计算。期限最后一天的截止时间为当天24:00。</w:t>
      </w:r>
    </w:p>
    <w:p w14:paraId="14FD8E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 合同价格和费用</w:t>
      </w:r>
    </w:p>
    <w:p w14:paraId="7CF3EFC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1.1.5.1 签约合同价：指签定合同时合同协议书中写明的，包括了暂估价的合同总金额。</w:t>
      </w:r>
    </w:p>
    <w:p w14:paraId="19A2C1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1.1.5.2 合同价格：指承包人按合同约定完成了包括缺陷责任期内的全部承包工作后，发包人应付给承包人的金额，包括在履行合同过程中按合同约定进行的变更和调整。</w:t>
      </w:r>
    </w:p>
    <w:p w14:paraId="3B70070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1.1.5.3 费用：指为履行合同所发生的或将要发生的所有合理开支，包括管理费和应分摊的其他费用，但不包括利润。</w:t>
      </w:r>
    </w:p>
    <w:p w14:paraId="0DDF2FC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1.1.5.4 质量保证金（或称保留金）：指按第17. 4.1项约定用于保证在缺陷责任期内履行缺陷修复义务的金额。</w:t>
      </w:r>
    </w:p>
    <w:p w14:paraId="475AB2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 其他</w:t>
      </w:r>
    </w:p>
    <w:p w14:paraId="6870EF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1.1.6.1 书面形式：指合同文件、信函、电报、传真等可以有形地表现所载内容的形式。</w:t>
      </w:r>
    </w:p>
    <w:p w14:paraId="4F4F74E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 语言文字</w:t>
      </w:r>
    </w:p>
    <w:p w14:paraId="6C7212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除专用术语外，合同使用的语言文字为中文。必要时专用术语应附有中文注释。</w:t>
      </w:r>
    </w:p>
    <w:p w14:paraId="3883756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 法律</w:t>
      </w:r>
    </w:p>
    <w:p w14:paraId="00D049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适用于合同的法律包括中华人民共和国法律、行政法规、部门规章，以及工程所在地的地方法规、自治条例、单行条例和地方政府规章。</w:t>
      </w:r>
    </w:p>
    <w:p w14:paraId="12DBDD7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 合同文件的优先顺序</w:t>
      </w:r>
    </w:p>
    <w:p w14:paraId="2B5CC1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组成合同的各项文件应互相解释，互为说明。除专用合同条款另有约定外，解释合同文件的优先顺序如下：</w:t>
      </w:r>
    </w:p>
    <w:p w14:paraId="69F5A3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(l）合同协议书；</w:t>
      </w:r>
    </w:p>
    <w:p w14:paraId="698D2C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(2）中标通知书；</w:t>
      </w:r>
    </w:p>
    <w:p w14:paraId="45B407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(3）投标函及投标函附录；</w:t>
      </w:r>
    </w:p>
    <w:p w14:paraId="75FED0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(4）专用合同条款；</w:t>
      </w:r>
    </w:p>
    <w:p w14:paraId="7E23DD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248BBF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43BA24F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07328A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(8）投标报价文件；</w:t>
      </w:r>
    </w:p>
    <w:p w14:paraId="797399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(9）其他合同文件。</w:t>
      </w:r>
    </w:p>
    <w:p w14:paraId="23EEF9C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 合同协议书</w:t>
      </w:r>
    </w:p>
    <w:p w14:paraId="70732D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14:paraId="2ACE47FE">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 图纸和承包人文件</w:t>
      </w:r>
    </w:p>
    <w:p w14:paraId="456AB3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 图纸的提供</w:t>
      </w:r>
    </w:p>
    <w:p w14:paraId="43BABB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除专用合同条款另有约定外，图纸应在合理的期限内按照合同约定的数量提供给承包人。由于发包人未按时提供图纸造成工期延误的，按第11.3 款的约定办理。</w:t>
      </w:r>
    </w:p>
    <w:p w14:paraId="7A9DDA4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 承包人提供的文件</w:t>
      </w:r>
    </w:p>
    <w:p w14:paraId="415A89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按专用合同条款约定由承包人提供的文件，包括部分工程的大样图、加工图等，承包人应按约定的数量和期限报送监理人。监理人应在专用合同条款约定的期限内批复。</w:t>
      </w:r>
    </w:p>
    <w:p w14:paraId="5E9F93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6.3 图纸的修改</w:t>
      </w:r>
    </w:p>
    <w:p w14:paraId="0B6EF51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图纸需要修改和补充的，应由监理人取得发包人同意后，在该工程或工程相应部位施工前的合理期限内签发图纸修改图给承包人，具体签发期限在专用合同条款中约定。承包人应按修改后的图纸施工。</w:t>
      </w:r>
    </w:p>
    <w:p w14:paraId="2D3405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1.6.4 图纸的错误</w:t>
      </w:r>
    </w:p>
    <w:p w14:paraId="2961DE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承包人发现发包人提供的图纸存在明显错误或疏忽，应及时通知监理人。</w:t>
      </w:r>
    </w:p>
    <w:p w14:paraId="7431DC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1.6.5 图纸和承包人文件的保管</w:t>
      </w:r>
    </w:p>
    <w:p w14:paraId="24E34D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监理人和承包人均应在施工场地各保存一套完整的包含第1.6.1 项、第1.6.2 项、第1.6.3 项约定内容的图纸和承包人文件。</w:t>
      </w:r>
    </w:p>
    <w:p w14:paraId="2925FB0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 联络</w:t>
      </w:r>
    </w:p>
    <w:p w14:paraId="51FAD3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 与合同有关的通知、批准、证明、证书、指示、要求、请求、同意、意见、确定和决定等，均应采用书面形式。</w:t>
      </w:r>
    </w:p>
    <w:p w14:paraId="5BAB2E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 第1.7.1 项中的通知、批准、证明、证书、指示、要求、请求、同意、意见、确定和决定等来往函件，均应在合同约定的期限内送达指定地点和接收人，并办理签收手续。</w:t>
      </w:r>
    </w:p>
    <w:p w14:paraId="300A740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 转让</w:t>
      </w:r>
    </w:p>
    <w:p w14:paraId="263CCA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除合同另有约定外，未经对方当事人同意，一方当事人不得将合同权利全部或部分转让给第三人，也不得全部或部分转移合同义务。</w:t>
      </w:r>
    </w:p>
    <w:p w14:paraId="4416361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 严禁贿赂</w:t>
      </w:r>
    </w:p>
    <w:p w14:paraId="0F99A5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合同双方当事人不得以贿赂或变相贿赂的方式，谋取不当利益或损害对方权益。因贿赂造成对方损失的，行为人应赔偿损失，并承担相应的法律责任。</w:t>
      </w:r>
    </w:p>
    <w:p w14:paraId="3AE0E07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1.10 化石、文物</w:t>
      </w:r>
    </w:p>
    <w:p w14:paraId="3AB415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64BF5D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1.10.2 承包人发现文物后不及时报告或隐瞒不报，致使文物丢失或损坏的，应赔偿损失，并承担相应的法律责任。</w:t>
      </w:r>
    </w:p>
    <w:p w14:paraId="5D3F320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1.11 专利技术</w:t>
      </w:r>
    </w:p>
    <w:p w14:paraId="4D5ACA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1.11.1 承包人在使用任何材料、承包人设备、工程设备或采用施工工艺时，因侵犯专利权或其他知识产权所引起的责任，由承包人承担，但由于遵照发包人提供的设计或技术标准和要求引起的除外。</w:t>
      </w:r>
    </w:p>
    <w:p w14:paraId="07C3C70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1.11.2 承包人在投标文件中采用专利技术的，专利技术的使用费包含在投标报价内。</w:t>
      </w:r>
    </w:p>
    <w:p w14:paraId="676D12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1.11.3 承包人的技术秘密和声明需要保密的资料和信息，发包人和监理人不得为合同以外的目的泄露给他人。</w:t>
      </w:r>
    </w:p>
    <w:p w14:paraId="5492850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1.12 图纸和文件的保密</w:t>
      </w:r>
    </w:p>
    <w:p w14:paraId="3EE2B71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1.12.1 发包人提供的图纸和文件，未经发包人同意，承包人不得为合同以外的目的泄露给他人或公开发表与引用。</w:t>
      </w:r>
    </w:p>
    <w:p w14:paraId="1F371D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1.12.2 承包人提供的文件，未经承包人同意，发包人和监理人不得为合同以外的目的泄露给他人或公开发表与引用。</w:t>
      </w:r>
    </w:p>
    <w:p w14:paraId="0373593B">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36" w:name="_Toc196637650"/>
      <w:bookmarkStart w:id="37" w:name="_Toc196637414"/>
      <w:bookmarkStart w:id="38" w:name="_Toc196637768"/>
      <w:bookmarkStart w:id="39" w:name="_Toc184635099"/>
      <w:bookmarkStart w:id="40" w:name="_Toc224699376"/>
      <w:r>
        <w:rPr>
          <w:rFonts w:hint="eastAsia" w:ascii="宋体" w:hAnsi="宋体" w:eastAsia="宋体" w:cs="宋体"/>
          <w:color w:val="auto"/>
          <w:sz w:val="24"/>
          <w:szCs w:val="24"/>
        </w:rPr>
        <w:t>2．发包人义务</w:t>
      </w:r>
      <w:bookmarkEnd w:id="36"/>
      <w:bookmarkEnd w:id="37"/>
      <w:bookmarkEnd w:id="38"/>
      <w:bookmarkEnd w:id="39"/>
      <w:bookmarkEnd w:id="40"/>
    </w:p>
    <w:p w14:paraId="6C26335E">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 遵守法律</w:t>
      </w:r>
    </w:p>
    <w:p w14:paraId="568ED2E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发包人在履行合同过程中应遵守法律，并保证承包人免于承担因发包人违反法律而引起的任何责任。</w:t>
      </w:r>
    </w:p>
    <w:p w14:paraId="641B307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2.2 发出开工通知</w:t>
      </w:r>
    </w:p>
    <w:p w14:paraId="38AE72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发包人应委托监理人按第11.1 款的约定向承包人发出开工通知。</w:t>
      </w:r>
    </w:p>
    <w:p w14:paraId="170378B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 提供施工场地</w:t>
      </w:r>
    </w:p>
    <w:p w14:paraId="39043E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发包人应按专用合同条款约定向承包人提供施工场地，以及施工场地内地下管线和地下设施等有关资料，并保证资料的真实、准确、完整。</w:t>
      </w:r>
    </w:p>
    <w:p w14:paraId="364AF7A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 协助承包人办理证件和批件</w:t>
      </w:r>
    </w:p>
    <w:p w14:paraId="1CD34E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发包人应协助承包人办理法律规定的有关施工证件和批件。</w:t>
      </w:r>
    </w:p>
    <w:p w14:paraId="24F71DD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2.5 组织设计交底</w:t>
      </w:r>
    </w:p>
    <w:p w14:paraId="44FF22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发包人应根据合同进度计划，组织设计单位向承包人进行设计交底。</w:t>
      </w:r>
    </w:p>
    <w:p w14:paraId="190A8EE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2.6 支付合同价款</w:t>
      </w:r>
    </w:p>
    <w:p w14:paraId="4EB44B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发包人应按合同约定向承包人及时支付合同价款。</w:t>
      </w:r>
    </w:p>
    <w:p w14:paraId="79691AD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2.7 组织竣工验收</w:t>
      </w:r>
    </w:p>
    <w:p w14:paraId="40C2D3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发包人应按合同约定及时组织竣工验收。</w:t>
      </w:r>
    </w:p>
    <w:p w14:paraId="283C8AA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2.8 其他义务</w:t>
      </w:r>
    </w:p>
    <w:p w14:paraId="545562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发包人应履行合同约定的其他义务。</w:t>
      </w:r>
    </w:p>
    <w:p w14:paraId="04A166A7">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41" w:name="_Toc224699377"/>
      <w:bookmarkStart w:id="42" w:name="_Toc196637769"/>
      <w:bookmarkStart w:id="43" w:name="_Toc196637415"/>
      <w:bookmarkStart w:id="44" w:name="_Toc196637651"/>
      <w:bookmarkStart w:id="45" w:name="_Toc184635100"/>
      <w:r>
        <w:rPr>
          <w:rFonts w:hint="eastAsia" w:ascii="宋体" w:hAnsi="宋体" w:eastAsia="宋体" w:cs="宋体"/>
          <w:color w:val="auto"/>
          <w:sz w:val="24"/>
          <w:szCs w:val="24"/>
        </w:rPr>
        <w:t>3、监理人</w:t>
      </w:r>
      <w:bookmarkEnd w:id="41"/>
      <w:bookmarkEnd w:id="42"/>
      <w:bookmarkEnd w:id="43"/>
      <w:bookmarkEnd w:id="44"/>
      <w:bookmarkEnd w:id="45"/>
    </w:p>
    <w:p w14:paraId="77C48A7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3.1 监理人的职责和权力</w:t>
      </w:r>
    </w:p>
    <w:p w14:paraId="079520D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3.1.1 监理人受发包人委托，享有合同约定的权力。监理人在行使某项权力前需要经发</w:t>
      </w:r>
    </w:p>
    <w:p w14:paraId="0BCE77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包人事先批准而通用合同条款没有指明的，应在专用合同条款中指明。</w:t>
      </w:r>
    </w:p>
    <w:p w14:paraId="1C691C5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3.1.2 监理人发出的任何指示应视为已得到发包人的批准，但监理人无权免除或变更合同约定的发包人和承包人的权利、义务和责任。</w:t>
      </w:r>
    </w:p>
    <w:p w14:paraId="6D1E3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3.1.3 合同约定应由承包人承担的义务和责任，不因监理人对承包人提交文件的审查或批准，对工程、材料和设备的检查和检验，以及为实施监理作出的指示等职务行为而减轻或解除。</w:t>
      </w:r>
    </w:p>
    <w:p w14:paraId="611B7BA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3.2 总监理工程师</w:t>
      </w:r>
    </w:p>
    <w:p w14:paraId="080402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发包人应在发出开工通知前将总监理工程师的任命通知承包人。总监理工程师更换时，应在调离14 天前通知承包人。总监理工程师短期离开施工场地的，应委派代表代行其职责，并通知承包人。</w:t>
      </w:r>
    </w:p>
    <w:p w14:paraId="56A5F1C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3.3 监理人员</w:t>
      </w:r>
    </w:p>
    <w:p w14:paraId="05263F7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15EAF8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47301ED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3.3.3 承包人对总监理工程师授权的监理人员发出的指示有疑问的，可向总监理工程师提出书面异议，总监理工程师应在48小时内对该指示予以确认、更改或撤销。</w:t>
      </w:r>
    </w:p>
    <w:p w14:paraId="0BB10AC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3.3.4 除专用合同条款另有约定外，总监理工程师不应将第3.5 款约定应由总监理工程师作出确定的权力授权或委托给其他监理人员。</w:t>
      </w:r>
    </w:p>
    <w:p w14:paraId="0086440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3.4 监理人的指示</w:t>
      </w:r>
    </w:p>
    <w:p w14:paraId="50FDD2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3.4.1 监理人应按第3.1 款的约定向承包人发出指示，监理人的指示应盖有监理人授权的施工场地机构章，并由总监理工程师或总监理工程师按第3.3.1 项约定授权的监理人员签字。</w:t>
      </w:r>
    </w:p>
    <w:p w14:paraId="501ACC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3.4.2 承包人收到监理人按第3.4.1 项作出的指示后应遵照执行。指示构成变更的，应按第15条处理。</w:t>
      </w:r>
    </w:p>
    <w:p w14:paraId="1C9D99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4B6934A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3.4.4 除合同另有约定外，承包人只从总监理工程师或按第3.3.1 项被授权的监理人员处取得指示。</w:t>
      </w:r>
    </w:p>
    <w:p w14:paraId="248F39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3.4.5 由于监理人未能按合同约定发出指示、指示延误或指示错误而导致承包人费用增加和（或）工期延误的，由发包人承担赔偿责任。</w:t>
      </w:r>
    </w:p>
    <w:p w14:paraId="2738043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3.5 商定或确定</w:t>
      </w:r>
    </w:p>
    <w:p w14:paraId="4ACF48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3.5.1 合同约定总监理工程师应按照本款对任何事项进行商定或确定时，总监理工程师应与合同当事人协商，尽量达成一致。不能达成一致的，总监理工程师应认真研究后审慎确定。</w:t>
      </w:r>
    </w:p>
    <w:p w14:paraId="1B900F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14:paraId="7C8B9C8C">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46" w:name="_Toc184635101"/>
      <w:bookmarkStart w:id="47" w:name="_Toc196637652"/>
      <w:bookmarkStart w:id="48" w:name="_Toc224699378"/>
      <w:bookmarkStart w:id="49" w:name="_Toc196637416"/>
      <w:bookmarkStart w:id="50" w:name="_Toc196637770"/>
      <w:r>
        <w:rPr>
          <w:rFonts w:hint="eastAsia" w:ascii="宋体" w:hAnsi="宋体" w:eastAsia="宋体" w:cs="宋体"/>
          <w:color w:val="auto"/>
          <w:sz w:val="24"/>
          <w:szCs w:val="24"/>
        </w:rPr>
        <w:t>4、承包人</w:t>
      </w:r>
      <w:bookmarkEnd w:id="46"/>
      <w:bookmarkEnd w:id="47"/>
      <w:bookmarkEnd w:id="48"/>
      <w:bookmarkEnd w:id="49"/>
      <w:bookmarkEnd w:id="50"/>
    </w:p>
    <w:p w14:paraId="2A8D1A1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4.1 承包人的一般义务</w:t>
      </w:r>
    </w:p>
    <w:p w14:paraId="569FF5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 遵守法律</w:t>
      </w:r>
    </w:p>
    <w:p w14:paraId="7BE3AE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承包人在履行合同过程中应遵守法律，并保证发包人免于承担因承包人违反法律而引起的任何责任。</w:t>
      </w:r>
    </w:p>
    <w:p w14:paraId="3D9EE0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4.1.2 依法纳税</w:t>
      </w:r>
    </w:p>
    <w:p w14:paraId="2B6C03B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承包人应按有关法律规定纳税，应缴纳的税金包括在合同价格内。</w:t>
      </w:r>
    </w:p>
    <w:p w14:paraId="51C24D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4.1.3 完成各项承包工作</w:t>
      </w:r>
    </w:p>
    <w:p w14:paraId="79D770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承包人应按合同约定以及监理人根据第3.4 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2364A1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4.1.4 对施工作业和施工方法的完备性负责</w:t>
      </w:r>
    </w:p>
    <w:p w14:paraId="6A12EB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承包人应按合同约定的工作内容和施工进度要求，编制施工组织设计和施工措施计划，并对所有施工作业和施工方法的完备性和安全可靠性负责。</w:t>
      </w:r>
    </w:p>
    <w:p w14:paraId="59DB47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4.1.5 保证工程施工和人员的安全</w:t>
      </w:r>
    </w:p>
    <w:p w14:paraId="358F1B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承包人应按第9.2 款约定采取施工安全措施，确保工程及其人员、材料、设备和设施的安全，防止因工程施工造成的人身伤害和财产损失。</w:t>
      </w:r>
    </w:p>
    <w:p w14:paraId="6BE2E9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4.1.6 负责施工场地及其周边环境与生态的保护工作</w:t>
      </w:r>
    </w:p>
    <w:p w14:paraId="28B2B02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承包人应按照第9.4 款约定负责施工场地及其周边环境与生态的保护工作。</w:t>
      </w:r>
    </w:p>
    <w:p w14:paraId="2C7688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4.1.7 避免施工对公众与他人的利益造成损害</w:t>
      </w:r>
    </w:p>
    <w:p w14:paraId="77A454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9DC61B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4.1.8 为他人提供方便</w:t>
      </w:r>
    </w:p>
    <w:p w14:paraId="7A2CA3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承包人应按监理人的指示为他人在施工场地或附近实施与工程有关的其他各项工作提供可能的条件。除合同另有约定外，提供有关条件的内容和可能发生的费用，由监理人按第3.5 款商定或确定。</w:t>
      </w:r>
    </w:p>
    <w:p w14:paraId="33F26A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4.1.9 工程的维护和照管</w:t>
      </w:r>
    </w:p>
    <w:p w14:paraId="2AA676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工程接收证书颁发前，承包人应负责照管和维护工程。工程接收证书颁发时尚有部分未竣工工程的，承包人还应负责该未竣工工程的照管和维护工作，直至竣工后移交给发包人为止。</w:t>
      </w:r>
    </w:p>
    <w:p w14:paraId="726812F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4.1.10 其他义务</w:t>
      </w:r>
    </w:p>
    <w:p w14:paraId="16FCAD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承包人应履行合同约定的其他义务。</w:t>
      </w:r>
    </w:p>
    <w:p w14:paraId="0129062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4.2 履约担保</w:t>
      </w:r>
    </w:p>
    <w:p w14:paraId="2F7664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承包人应保证其履约担保在发包人颁发工程接收证书前一直有效。发包人应在工程接收证书颁发后28 天内把履约担保退还给承包人。</w:t>
      </w:r>
    </w:p>
    <w:p w14:paraId="1D2A45E7">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4.3 分包</w:t>
      </w:r>
    </w:p>
    <w:p w14:paraId="263B2D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4.3.1 承包人不得将其承包的全部工程转包给第三人，或将其承包的全部工程肢解后以分包的名义转包给第三人。</w:t>
      </w:r>
    </w:p>
    <w:p w14:paraId="397F3C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 承包人不得将工程主体、关键性工作分包给第三人。除专用合同条款另有约定外，未经发包人同意，承包人不得将工程的其他部分或工作分包给第三人。</w:t>
      </w:r>
    </w:p>
    <w:p w14:paraId="1C6B08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4.3.3 分包人的资格能力应与其分包工程的标准和规模相适应。</w:t>
      </w:r>
    </w:p>
    <w:p w14:paraId="6E09671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4.3.4 按投标函附录约定分包工程的，承包人应向发包人和监理人提交分包合同副本。</w:t>
      </w:r>
    </w:p>
    <w:p w14:paraId="0F9B86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4.3.5 承包人应与分包人就分包工程向发包人承担连带责任。</w:t>
      </w:r>
    </w:p>
    <w:p w14:paraId="09FD4A9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4.4 联合体</w:t>
      </w:r>
    </w:p>
    <w:p w14:paraId="2CEEFD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4.4.1 联合体各方应共同与发包人签订合同协议书。联合体各方应为履行合同承担连带责任。</w:t>
      </w:r>
    </w:p>
    <w:p w14:paraId="7DD0C0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4.4.2 联合体协议经发包人确认后作为合同附件。在履行合同过程中，未经发包人同意，不得修改联合体协议。</w:t>
      </w:r>
    </w:p>
    <w:p w14:paraId="7D4B62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4.4.3 联合体牵头人负责与发包人和监理人联系，并接受指示，负责组织联合体各成员全面履行合同。</w:t>
      </w:r>
    </w:p>
    <w:p w14:paraId="464EBCD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4.5 承包人项目经理</w:t>
      </w:r>
    </w:p>
    <w:p w14:paraId="7046AE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0F7546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4.5.2 承包人项目经理应按合同约定以及监理人按第3.4 款作出的指示，负责组织合同工程的实施。在情况紧急且无法与监理人取得联系时，可采取保证工程和人员生命财产安全的紧急措施，并在采取措施后24小时内向监理人提交书面报告。</w:t>
      </w:r>
    </w:p>
    <w:p w14:paraId="2D49F9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4.5.3 承包人为履行合同发出的一切函件均应盖有承包人授权的施工场地管理机构章，并由承包人项目经理或其授权代表签字。</w:t>
      </w:r>
    </w:p>
    <w:p w14:paraId="0D9B99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4.5.4 承包人项目经理可以授权其下属人员履行其某项职责，但事先应将这些人员的姓名和授权范围通知监理人。</w:t>
      </w:r>
    </w:p>
    <w:p w14:paraId="78065C7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4.6 承包人人员的管理</w:t>
      </w:r>
    </w:p>
    <w:p w14:paraId="75D6A9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11154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4.6.2 为完成合同约定的各项工作，承包人应向施工场地派遣或雇佣足够数量的下列人员：</w:t>
      </w:r>
    </w:p>
    <w:p w14:paraId="7B41F1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(1）具有相应资格的专业技工和合格的普工；</w:t>
      </w:r>
    </w:p>
    <w:p w14:paraId="0E7A69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(2）具有相应施工经验的技术人员；</w:t>
      </w:r>
    </w:p>
    <w:p w14:paraId="6A07D4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(3）具有相应岗位资格的各级管理人员。</w:t>
      </w:r>
    </w:p>
    <w:p w14:paraId="174E39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4.6.3 承包人安排在施工场地的主要管理人员和技术骨干应相对稳定。承包人更换主要管理人员和技术骨干时，应取得监理人的同意。</w:t>
      </w:r>
    </w:p>
    <w:p w14:paraId="6F8284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4.6.4 特殊岗位的工作人员均应持有相应的资格证明，监理人有权随时检查。监理人认为有必要时，可进行现场考核。</w:t>
      </w:r>
    </w:p>
    <w:p w14:paraId="6FC6F82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4.7 撤换承包人项目经理和其他人员</w:t>
      </w:r>
    </w:p>
    <w:p w14:paraId="355991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承包人应对其项目经理和其他人员进行有效管理。监理人要求撤换不能胜任本职工作、行为不端或玩忽职守的承包人项目经理和其他人员的，承包人应予以撤换。</w:t>
      </w:r>
    </w:p>
    <w:p w14:paraId="45AF0D9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4.8 保障承包人人员的合法权益</w:t>
      </w:r>
    </w:p>
    <w:p w14:paraId="70BA4D2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4.8.1 承包人应与其雇佣的人员签订劳动合同，并按时发放工资。</w:t>
      </w:r>
    </w:p>
    <w:p w14:paraId="79435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4652680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4.8.3 承包人应为其雇佣人员提供必要的食宿条件，以及符合环境保护和卫生要求的生活环境，在远离城镇的施工场地，还应配备必要的伤病防治和急救的医务人员与医疗设施。</w:t>
      </w:r>
    </w:p>
    <w:p w14:paraId="2ACBC6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7C7608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4.8.5 承包人应按有关法律规定和合同约定，为其雇佣人员办理保险。</w:t>
      </w:r>
    </w:p>
    <w:p w14:paraId="74615C0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4.8.6 承包人应负责处理其雇佣人员因工伤亡事故的善后事宜。</w:t>
      </w:r>
    </w:p>
    <w:p w14:paraId="691F1AD7">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4.9 工程价款应专款专用</w:t>
      </w:r>
    </w:p>
    <w:p w14:paraId="6C3DED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发包人按合同约定支付给承包人的各项价款应专用于合同工程。</w:t>
      </w:r>
    </w:p>
    <w:p w14:paraId="42C56E4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4.10 承包人现场查勘</w:t>
      </w:r>
    </w:p>
    <w:p w14:paraId="1BAF3D4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4.10.1 发包人应将其持有的现场地质勘探资料、水文气象资料提供给承包人，并对其准确性负责。但承包人应对其阅读上述有关资料后所作出的解释和推断负责。</w:t>
      </w:r>
    </w:p>
    <w:p w14:paraId="3EEE68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1CD47D2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4.11 不利物质条件</w:t>
      </w:r>
    </w:p>
    <w:p w14:paraId="2219C7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4.11.1 不利物质条件，除专用合同条款另有约定外，是指承包人在施工场地遇到的不可预见的自然物质条件、非自然的物质障碍和污染物，包括地下和水文条件，但不包括气候条件。</w:t>
      </w:r>
    </w:p>
    <w:p w14:paraId="0C78AC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5F3FD58C">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51" w:name="_Toc184635102"/>
      <w:bookmarkStart w:id="52" w:name="_Toc196637771"/>
      <w:bookmarkStart w:id="53" w:name="_Toc224699379"/>
      <w:bookmarkStart w:id="54" w:name="_Toc196637417"/>
      <w:bookmarkStart w:id="55" w:name="_Toc196637653"/>
      <w:r>
        <w:rPr>
          <w:rFonts w:hint="eastAsia" w:ascii="宋体" w:hAnsi="宋体" w:eastAsia="宋体" w:cs="宋体"/>
          <w:color w:val="auto"/>
          <w:sz w:val="24"/>
          <w:szCs w:val="24"/>
        </w:rPr>
        <w:t>5．材料和工程设备</w:t>
      </w:r>
      <w:bookmarkEnd w:id="51"/>
      <w:bookmarkEnd w:id="52"/>
      <w:bookmarkEnd w:id="53"/>
      <w:bookmarkEnd w:id="54"/>
      <w:bookmarkEnd w:id="55"/>
    </w:p>
    <w:p w14:paraId="126A01E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5.1 承包人提供的材料和工程设备</w:t>
      </w:r>
    </w:p>
    <w:p w14:paraId="5BE362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5.1.1 除专用合同条款另有约定外，承包人提供的材料和工程设备均由承包人负责采购、运输和保管。承包人应对其采购的材料和工程设备负责。</w:t>
      </w:r>
    </w:p>
    <w:p w14:paraId="1205EB3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763159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072F468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5.2 发包人提供的材料和工程设备</w:t>
      </w:r>
    </w:p>
    <w:p w14:paraId="5F0DA6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5.2.1 发包人提供的材料和工程设备，应在专用合同条款中写明材料和工程设备的名称、规格、数量、价格、交货方式、交货地点和计划交货日期等。</w:t>
      </w:r>
    </w:p>
    <w:p w14:paraId="0C8261D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5.2.2 承包人应根据合同进度计划的安排，向监理人报送要求发包人交货的日期计划。发包人应按照监理人与合同双方当事人商定的交货日期，向承包人提交材料和工程设备。</w:t>
      </w:r>
    </w:p>
    <w:p w14:paraId="61CABD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3 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14:paraId="4C1B0A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5.2.4 发包人要求向承包人提前交货的，承包人不得拒绝，但发包人应承担承包人由此增加的费用。</w:t>
      </w:r>
    </w:p>
    <w:p w14:paraId="08F6B1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5.2.5 承包人要求更改交货日期或地点的，应事先报请监理人批准。由于承包人要求更改交货时间或地点所增加的费用和（或）工期延误由承包人承担。</w:t>
      </w:r>
    </w:p>
    <w:p w14:paraId="0A2927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1F1ACAE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5.3 材料和工程设备专用于合同工程</w:t>
      </w:r>
    </w:p>
    <w:p w14:paraId="02453D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5.3.1 运入施工场地的材料、工程设备，包括备品备件、安装专用工器具与随机资料，必须专用于合同工程，未经监理人同意，承包人不得运出施工场地或挪作他用。</w:t>
      </w:r>
    </w:p>
    <w:p w14:paraId="42E775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3034D3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5.4 禁止使用不合格的材料和工程设备</w:t>
      </w:r>
    </w:p>
    <w:p w14:paraId="72B75BF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5.4.1 监理人有权拒绝承包人提供的不合格材料或工程设备，并要求承包人立即进行更换。监理人应在更换后再次进行检查和检验，由此增加的费用和（或）工期延误由承包人承担。</w:t>
      </w:r>
    </w:p>
    <w:p w14:paraId="4FC9C6F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5.4.2 监理人发现承包人使用了不合格的材料和工程设备，应即时发出指示要求承包人立即改正，并禁止在工程中继续使用不合格的材料和工程设备。</w:t>
      </w:r>
    </w:p>
    <w:p w14:paraId="22EDE2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5.4.3 发包人提供的材料或工程设备不符合合同要求的，承包人有权拒绝，并可要求发包人更换，由此增加的费用和（或）工期延误由发包人承担。</w:t>
      </w:r>
    </w:p>
    <w:p w14:paraId="75FADD25">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56" w:name="_Toc224699380"/>
      <w:bookmarkStart w:id="57" w:name="_Toc196637418"/>
      <w:bookmarkStart w:id="58" w:name="_Toc184635103"/>
      <w:bookmarkStart w:id="59" w:name="_Toc196637654"/>
      <w:bookmarkStart w:id="60" w:name="_Toc196637772"/>
      <w:r>
        <w:rPr>
          <w:rFonts w:hint="eastAsia" w:ascii="宋体" w:hAnsi="宋体" w:eastAsia="宋体" w:cs="宋体"/>
          <w:color w:val="auto"/>
          <w:sz w:val="24"/>
          <w:szCs w:val="24"/>
        </w:rPr>
        <w:t>6、施工设备和临时设施</w:t>
      </w:r>
      <w:bookmarkEnd w:id="56"/>
      <w:bookmarkEnd w:id="57"/>
      <w:bookmarkEnd w:id="58"/>
      <w:bookmarkEnd w:id="59"/>
      <w:bookmarkEnd w:id="60"/>
    </w:p>
    <w:p w14:paraId="6FAF0BB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6.1 承包人提供的施工设备和临时设施</w:t>
      </w:r>
    </w:p>
    <w:p w14:paraId="218053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6.1.1 承包人应按合同进度计划的要求，及时配置施工设备和修建临时设施。进入施工场地的承包人设备需经监理人核查后才能投入使用。承包人更换合同约定的承包人设备的，应报监理人批准。</w:t>
      </w:r>
    </w:p>
    <w:p w14:paraId="4EB51D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6.1.2 除专用合同条款另有约定外，承包人应自行承担修建临时设施的费用，需要临时占地的，应由发包人办理申请手续并承担相应费用。</w:t>
      </w:r>
    </w:p>
    <w:p w14:paraId="77246C6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6.2 发包人提供的施工设备和临时设施</w:t>
      </w:r>
    </w:p>
    <w:p w14:paraId="18C4EE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发包人提供的施工设备或临时设施在专用合同条款中约定。</w:t>
      </w:r>
    </w:p>
    <w:p w14:paraId="0E27D13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6.3 要求承包人增加或更换施工设备</w:t>
      </w:r>
    </w:p>
    <w:p w14:paraId="5B806C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承包人使用的施工设备不能满足合同进度计划和（或）质量要求时，监理人有权要求承包人增加或更换施工设备，承包人应及时增加或更换，由此增加的费用和（或）工期延误由承包人承担。</w:t>
      </w:r>
    </w:p>
    <w:p w14:paraId="4924723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6.4 施工设备和临时设施专用于合同工程</w:t>
      </w:r>
    </w:p>
    <w:p w14:paraId="27B771E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6.4.1 除合同另有约定外，运入施工场地的所有施工设备以及在施工场地建设的临时设施应专用于合同工程。未经监理人同意，不得将上述施工设备和临时设施中的任何部分运出施工场地或挪作他用。</w:t>
      </w:r>
    </w:p>
    <w:p w14:paraId="0B8947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6.4.2 经监理人同意，承包人可根据合同进度计划撤走闲置的施工设备。</w:t>
      </w:r>
    </w:p>
    <w:p w14:paraId="17365A5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61" w:name="_Toc184635104"/>
      <w:bookmarkStart w:id="62" w:name="_Toc224699381"/>
      <w:bookmarkStart w:id="63" w:name="_Toc196637773"/>
      <w:bookmarkStart w:id="64" w:name="_Toc196637655"/>
      <w:bookmarkStart w:id="65" w:name="_Toc196637419"/>
      <w:r>
        <w:rPr>
          <w:rFonts w:hint="eastAsia" w:ascii="宋体" w:hAnsi="宋体" w:eastAsia="宋体" w:cs="宋体"/>
          <w:color w:val="auto"/>
          <w:sz w:val="24"/>
          <w:szCs w:val="24"/>
        </w:rPr>
        <w:t>7．交通运输</w:t>
      </w:r>
      <w:bookmarkEnd w:id="61"/>
      <w:bookmarkEnd w:id="62"/>
      <w:bookmarkEnd w:id="63"/>
      <w:bookmarkEnd w:id="64"/>
      <w:bookmarkEnd w:id="65"/>
    </w:p>
    <w:p w14:paraId="3AEF703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7.1 道路通行权和场外设施</w:t>
      </w:r>
    </w:p>
    <w:p w14:paraId="31CBE4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39D0CBB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7.2 场内施工道路</w:t>
      </w:r>
    </w:p>
    <w:p w14:paraId="2F48C4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7.2.1 除专用合同条款另有约定外，承包人应负责修建、维修、养护和管理施工所需的临时道路和交通设施，包括维修、养护和管理发包人提供的道路和交通设施，并承担相应费用。</w:t>
      </w:r>
    </w:p>
    <w:p w14:paraId="5E0E18D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7.2.2 除专用合同条款另有约定外，承包人修建的临时道路和交通设施应免费提供发包人和监理人使用。</w:t>
      </w:r>
    </w:p>
    <w:p w14:paraId="7C4D736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7.3 场外交通</w:t>
      </w:r>
    </w:p>
    <w:p w14:paraId="67093F6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7.3.1 承包人车辆外出行驶所需的场外公共道路的通行费、养路费和税款等由承包人承担。</w:t>
      </w:r>
    </w:p>
    <w:p w14:paraId="060100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7.3.2 承包人应遵守有关交通法规，严格按照道路和桥梁的限制荷重安全行驶，并服从交通管理部门的检查和监督。</w:t>
      </w:r>
    </w:p>
    <w:p w14:paraId="7161EB4E">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7.4 超大件和超重件的运输</w:t>
      </w:r>
    </w:p>
    <w:p w14:paraId="4A648F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E9EF14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7.5 道路和桥梁的损坏责任</w:t>
      </w:r>
    </w:p>
    <w:p w14:paraId="395C28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因承包人运输造成施工场地内外公共道路和桥梁损坏的，由承包人承担修复损坏的全部费用和可能引起的赔偿。</w:t>
      </w:r>
    </w:p>
    <w:p w14:paraId="1F7C906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7.6 水路和航空运输</w:t>
      </w:r>
    </w:p>
    <w:p w14:paraId="2CB185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本条上述各款的内容适用于水路运输和航空运输，其中“道路”一词的涵义包括河道、航线、船闸、机场、码头、堤防以及水路或航空运输中其他相似结构物；“车辆”一词的涵义包括船舶和飞机等。</w:t>
      </w:r>
    </w:p>
    <w:p w14:paraId="72BAE777">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66" w:name="_Toc184635105"/>
      <w:bookmarkStart w:id="67" w:name="_Toc224699382"/>
      <w:bookmarkStart w:id="68" w:name="_Toc196637774"/>
      <w:bookmarkStart w:id="69" w:name="_Toc196637420"/>
      <w:bookmarkStart w:id="70" w:name="_Toc196637656"/>
      <w:r>
        <w:rPr>
          <w:rFonts w:hint="eastAsia" w:ascii="宋体" w:hAnsi="宋体" w:eastAsia="宋体" w:cs="宋体"/>
          <w:color w:val="auto"/>
          <w:sz w:val="24"/>
          <w:szCs w:val="24"/>
        </w:rPr>
        <w:t>8．测量放线</w:t>
      </w:r>
      <w:bookmarkEnd w:id="66"/>
      <w:bookmarkEnd w:id="67"/>
      <w:bookmarkEnd w:id="68"/>
      <w:bookmarkEnd w:id="69"/>
      <w:bookmarkEnd w:id="70"/>
    </w:p>
    <w:p w14:paraId="77E0F84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8.1 施工控制网</w:t>
      </w:r>
    </w:p>
    <w:p w14:paraId="2BB3F6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59B66D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8.1.2 承包人应负责管理施工控制网点。施工控制网点丢失或损坏的，承包人应及时修复。承包人应承担施工控制网点的管理与修复费用，并在工程竣工后将施工控制网点移交发包人。</w:t>
      </w:r>
    </w:p>
    <w:p w14:paraId="290B140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8.2 施工测量</w:t>
      </w:r>
    </w:p>
    <w:p w14:paraId="237F5E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8.2.1 承包人应负责施工过程中的全部施工测量放线工作，并配置合格的人员、仪器、设备和其他物品。</w:t>
      </w:r>
    </w:p>
    <w:p w14:paraId="2A99CB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8.2.2 监理人可以指示承包人进行抽样复测，当复测中发现错误或出现超过合同约定的误差时，承包人应按监理人指示进行修正或补测，并承担相应的复测费用。</w:t>
      </w:r>
    </w:p>
    <w:p w14:paraId="162FB0A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8.3 基准资料错误的责任</w:t>
      </w:r>
    </w:p>
    <w:p w14:paraId="1CCC3E8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235CD0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8.4 监理人使用施工控制网</w:t>
      </w:r>
    </w:p>
    <w:p w14:paraId="4153A07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监理人需要使用施工控制网的，承包人应提供必要的协助，发包人不再为此支付费用。</w:t>
      </w:r>
    </w:p>
    <w:p w14:paraId="123AB4F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71" w:name="_Toc184635106"/>
      <w:bookmarkStart w:id="72" w:name="_Toc196637421"/>
      <w:bookmarkStart w:id="73" w:name="_Toc196637775"/>
      <w:bookmarkStart w:id="74" w:name="_Toc196637657"/>
      <w:bookmarkStart w:id="75" w:name="_Toc224699383"/>
      <w:r>
        <w:rPr>
          <w:rFonts w:hint="eastAsia" w:ascii="宋体" w:hAnsi="宋体" w:eastAsia="宋体" w:cs="宋体"/>
          <w:color w:val="auto"/>
          <w:sz w:val="24"/>
          <w:szCs w:val="24"/>
        </w:rPr>
        <w:t>9．施工安全、治安保卫和环境保护</w:t>
      </w:r>
      <w:bookmarkEnd w:id="71"/>
      <w:bookmarkEnd w:id="72"/>
      <w:bookmarkEnd w:id="73"/>
      <w:bookmarkEnd w:id="74"/>
      <w:bookmarkEnd w:id="75"/>
    </w:p>
    <w:p w14:paraId="76111BE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9.1 发包人的施工安全责任</w:t>
      </w:r>
    </w:p>
    <w:p w14:paraId="740F06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9.1.1 发包人应按合同约定履行安全职责，授权监理人按合同约定的安全工作内容监督、检查承包人安全工作的实施，组织承包人和有关单位进行安全检查。</w:t>
      </w:r>
    </w:p>
    <w:p w14:paraId="0941D0D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9.1.2 发包人应对其现场机构雇佣的全部人员的工伤事故承担责任，但由于承包人原因造成发包人人员工伤的，应由承包人承担责任。</w:t>
      </w:r>
    </w:p>
    <w:p w14:paraId="75970D0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9.1.3 发包人应负责赔偿以下各种情况造成的第三者人身伤亡和财产损失：</w:t>
      </w:r>
    </w:p>
    <w:p w14:paraId="2C84FF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(l）工程或工程的任何部分对土地的占用所造成的第三者财产损失；</w:t>
      </w:r>
    </w:p>
    <w:p w14:paraId="6FDC78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(2）由于发包人原因在施工场地及其毗邻地带造成的第三者人身伤亡和财产损失。</w:t>
      </w:r>
    </w:p>
    <w:p w14:paraId="34F7995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9.2 承包人的施工安全责任</w:t>
      </w:r>
    </w:p>
    <w:p w14:paraId="04F67F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9.2.1 承包人应按合同约定履行安全职责，执行监理人有关安全工作的指示，并在专用合同条款约定的期限内，按合同约定的安全工作内容，编制施工安全措施计划报送监理人审批。</w:t>
      </w:r>
    </w:p>
    <w:p w14:paraId="655D5D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9.2.2 承包人应加强施工作业安全管理，特别应加强易燃、易爆材料、火工器材、有毒与腐蚀性材料和其他危险品的管理，以及对爆破作业和地下工程施工等危险作业的管理。</w:t>
      </w:r>
    </w:p>
    <w:p w14:paraId="24FD33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9.2.3 承包人应严格按照国家安全标准制定施工安全操作规程，配备必要的安全生产和劳动保护设施，加强对承包人人员的安全教育，并发放安全工作手册和劳动保护用具。</w:t>
      </w:r>
    </w:p>
    <w:p w14:paraId="7DBB70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9.2.4 承包人应按监理人的指示制定应对灾害的紧急预案，报送监理人审批。承包人还应按预案做好安全检查，配置必要的救助物资和器材，切实保护好有关人员的人身和财产安全。</w:t>
      </w:r>
    </w:p>
    <w:p w14:paraId="500F7D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9.2.5 合同约定的安全作业环境及安全施工措施所需费用应遵守有关规定，并包括在相关工作的合同价格中。因采取合同未约定的安全作业环境及安全施工措施增加的费用，由监理人按第3.5 款商定或确定。</w:t>
      </w:r>
    </w:p>
    <w:p w14:paraId="12B6CB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9.2.6 承包人应对其履行合同所雇佣的全部人员，包括分包人人员的工伤事故承担责任，但由于发包人原因造成承包人人员工伤事故的，应由发包人承担责任。</w:t>
      </w:r>
    </w:p>
    <w:p w14:paraId="368C87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9.2.7 由于承包人原因在施工场地内及其毗邻地带造成的第三者人员伤亡和财产损失，由承包人负责赔偿。</w:t>
      </w:r>
    </w:p>
    <w:p w14:paraId="3DA172B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9.3 治安保卫</w:t>
      </w:r>
    </w:p>
    <w:p w14:paraId="035EE0D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9.3.1 除合同另有约定外，发包人应与当地公安部门协商，在现场建立治安管理机构或联防组织，统一管理施工场地的治安保卫事项，履行合同工程的治安保卫职责。</w:t>
      </w:r>
    </w:p>
    <w:p w14:paraId="4EEC3A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9.3.2 发包人和承包人除应协助现场治安管理机构或联防组织维护施工场地的社会治安外，还应做好包括生活区在内的各自管辖区的治安保卫工作。</w:t>
      </w:r>
    </w:p>
    <w:p w14:paraId="1A1E92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89C0AF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9.4 环境保护</w:t>
      </w:r>
    </w:p>
    <w:p w14:paraId="3C5EF0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9.4.1 承包人在施工过程中，应遵守有关环境保护的法律，履行合同约定的环境保护义务，并对违反法律和合同约定义务所造成的环境破坏、人身伤害和财产损失负责。</w:t>
      </w:r>
    </w:p>
    <w:p w14:paraId="5E30C0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9.4.2 承包人应按合同约定的环保工作内容，编制施工环保措施计划，报送监理人审批。</w:t>
      </w:r>
    </w:p>
    <w:p w14:paraId="709FF8F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31E68B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9.4.4 承包人应按合同约定采取有效措施，对施工开挖的边坡及时进行支护，维护排水设施，并进行水土保护，避免因施工造成的地质灾害。</w:t>
      </w:r>
    </w:p>
    <w:p w14:paraId="3A208E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9.4.5 承包人应按国家饮用水管理标准定期对饮用水源进行监测，防止施工活动污染饮用水源。</w:t>
      </w:r>
    </w:p>
    <w:p w14:paraId="568CBC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9.4.6 承包人应按合同约定，加强对噪声、粉尘、废气、废水和废油的控制，努力降低噪声，控制粉尘和废气浓度，做好废水和废油的治理和排放。</w:t>
      </w:r>
    </w:p>
    <w:p w14:paraId="53696A4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9.5 事故处理</w:t>
      </w:r>
    </w:p>
    <w:p w14:paraId="1D68E3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1131C72">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76" w:name="_Toc184635107"/>
      <w:bookmarkStart w:id="77" w:name="_Toc196637776"/>
      <w:bookmarkStart w:id="78" w:name="_Toc196637658"/>
      <w:bookmarkStart w:id="79" w:name="_Toc224699384"/>
      <w:bookmarkStart w:id="80" w:name="_Toc196637422"/>
      <w:r>
        <w:rPr>
          <w:rFonts w:hint="eastAsia" w:ascii="宋体" w:hAnsi="宋体" w:eastAsia="宋体" w:cs="宋体"/>
          <w:color w:val="auto"/>
          <w:sz w:val="24"/>
          <w:szCs w:val="24"/>
        </w:rPr>
        <w:t>10．进度计划</w:t>
      </w:r>
      <w:bookmarkEnd w:id="76"/>
      <w:bookmarkEnd w:id="77"/>
      <w:bookmarkEnd w:id="78"/>
      <w:bookmarkEnd w:id="79"/>
      <w:bookmarkEnd w:id="80"/>
    </w:p>
    <w:p w14:paraId="7CA23C2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10.1 合同进度计划</w:t>
      </w:r>
    </w:p>
    <w:p w14:paraId="0DC84C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2BA83C1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10.2 合同进度计划的修订</w:t>
      </w:r>
    </w:p>
    <w:p w14:paraId="044AF4B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不论何种原因造成工程的实际进度与第10.1 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7440247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81" w:name="_Toc184635108"/>
      <w:bookmarkStart w:id="82" w:name="_Toc196637659"/>
      <w:bookmarkStart w:id="83" w:name="_Toc196637777"/>
      <w:bookmarkStart w:id="84" w:name="_Toc224699385"/>
      <w:bookmarkStart w:id="85" w:name="_Toc196637423"/>
      <w:r>
        <w:rPr>
          <w:rFonts w:hint="eastAsia" w:ascii="宋体" w:hAnsi="宋体" w:eastAsia="宋体" w:cs="宋体"/>
          <w:color w:val="auto"/>
          <w:sz w:val="24"/>
          <w:szCs w:val="24"/>
        </w:rPr>
        <w:t>11、开工和竣工</w:t>
      </w:r>
      <w:bookmarkEnd w:id="81"/>
      <w:bookmarkEnd w:id="82"/>
      <w:bookmarkEnd w:id="83"/>
      <w:bookmarkEnd w:id="84"/>
      <w:bookmarkEnd w:id="85"/>
    </w:p>
    <w:p w14:paraId="3505EE1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11.1 开工</w:t>
      </w:r>
    </w:p>
    <w:p w14:paraId="19DB77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11.1.1 监理人应在开工日期7 天前向承包人发出开工通知。监理人在发出开工通知前应获得发包人同意。工期自监理人发出的开工通知中载明的开工日期起计算。承包人应在开工日期后尽快施工。</w:t>
      </w:r>
    </w:p>
    <w:p w14:paraId="3CECB3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11.1.2 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3EE0DDC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11.2 竣工</w:t>
      </w:r>
    </w:p>
    <w:p w14:paraId="60679B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承包人应在第1.1.4.3 目约定的期限内完成合同工程。实际竣工日期在接收证书中写明。</w:t>
      </w:r>
    </w:p>
    <w:p w14:paraId="51A6DAA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11.3 发包人的工期延误</w:t>
      </w:r>
    </w:p>
    <w:p w14:paraId="679E8C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在履行合同过程中，由于发包人的下列原因造成工期延误的，承包人有权要求发包人延长工期和（或）增加费用，并支付合理利润。需要修订合同进度计划的，按照第10.2 款的约定办理。</w:t>
      </w:r>
    </w:p>
    <w:p w14:paraId="6663DF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(l）增加合同工作内容；</w:t>
      </w:r>
    </w:p>
    <w:p w14:paraId="434A8F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(2）改变合同中任何一项工作的质量要求或其他特性；</w:t>
      </w:r>
    </w:p>
    <w:p w14:paraId="3ABE04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(3）发包人迟延提供材料、工程设备或变更交货地点的；</w:t>
      </w:r>
    </w:p>
    <w:p w14:paraId="1EC0983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(4）因发包人原因导致的暂停施工；</w:t>
      </w:r>
    </w:p>
    <w:p w14:paraId="6B44FE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(5）提供图纸延误；</w:t>
      </w:r>
    </w:p>
    <w:p w14:paraId="6AC0723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(6）未按合同约定及时支付预付款、进度款；</w:t>
      </w:r>
    </w:p>
    <w:p w14:paraId="5B7FF2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(7）发包人造成工期延误的其他原因。</w:t>
      </w:r>
    </w:p>
    <w:p w14:paraId="245CBDF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11.4 异常恶劣的气候条件</w:t>
      </w:r>
    </w:p>
    <w:p w14:paraId="254352B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由于出现专用合同条款规定的异常恶劣气候的条件导致工期延误的，承包人有权要求发包人延长工期。</w:t>
      </w:r>
    </w:p>
    <w:p w14:paraId="64393B9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11.5 承包人的工期延误</w:t>
      </w:r>
    </w:p>
    <w:p w14:paraId="6D35EE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0E003CC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11.6 工期提前</w:t>
      </w:r>
    </w:p>
    <w:p w14:paraId="496A97A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08F82E9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86" w:name="_Toc184635109"/>
      <w:bookmarkStart w:id="87" w:name="_Toc196637424"/>
      <w:bookmarkStart w:id="88" w:name="_Toc224699386"/>
      <w:bookmarkStart w:id="89" w:name="_Toc196637660"/>
      <w:bookmarkStart w:id="90" w:name="_Toc196637778"/>
      <w:r>
        <w:rPr>
          <w:rFonts w:hint="eastAsia" w:ascii="宋体" w:hAnsi="宋体" w:eastAsia="宋体" w:cs="宋体"/>
          <w:color w:val="auto"/>
          <w:sz w:val="24"/>
          <w:szCs w:val="24"/>
        </w:rPr>
        <w:t>12．暂停施工</w:t>
      </w:r>
      <w:bookmarkEnd w:id="86"/>
      <w:bookmarkEnd w:id="87"/>
      <w:bookmarkEnd w:id="88"/>
      <w:bookmarkEnd w:id="89"/>
      <w:bookmarkEnd w:id="90"/>
    </w:p>
    <w:p w14:paraId="071D4BE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12.1 承包人暂停施工的责任</w:t>
      </w:r>
    </w:p>
    <w:p w14:paraId="0D8FDD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因下列暂停施工增加的费用和（或）工期延误由承包人承担：</w:t>
      </w:r>
    </w:p>
    <w:p w14:paraId="56C162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(1）承包人违约引起的暂停施工；</w:t>
      </w:r>
    </w:p>
    <w:p w14:paraId="544539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(2）由于承包人原因为工程合理施工和安全保障所必需的暂停施工；</w:t>
      </w:r>
    </w:p>
    <w:p w14:paraId="5E251F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(3）承包人擅自暂停施工；</w:t>
      </w:r>
    </w:p>
    <w:p w14:paraId="5764FE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(4）承包人其他原因引起的暂停施工；</w:t>
      </w:r>
    </w:p>
    <w:p w14:paraId="04EC6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(5）专用合同条款约定由承包人承担的其他暂停施工。</w:t>
      </w:r>
    </w:p>
    <w:p w14:paraId="4E30E8D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12.2 发包人暂停施工的责任</w:t>
      </w:r>
    </w:p>
    <w:p w14:paraId="3F3AED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由于发包人原因引起的暂停施工造成工期延误的，承包人有权要求发包人延长工期和（或）增加费用，并支付合理利润。</w:t>
      </w:r>
    </w:p>
    <w:p w14:paraId="2240B8A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12.3 监理人暂停施工指示</w:t>
      </w:r>
    </w:p>
    <w:p w14:paraId="5C19E7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12.3.1 监理人认为有必要时，可向承包人作出暂停施工的指示，承包人应按监理人指示暂停施工。不论由于何种原因引起的暂停施工，暂停施工期间承包人应负责妥善保护工程并提供安全保障。</w:t>
      </w:r>
    </w:p>
    <w:p w14:paraId="60F086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0A31879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12.4 暂停施工后的复工</w:t>
      </w:r>
    </w:p>
    <w:p w14:paraId="712507D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5FCDA30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12.4.2 承包人无故拖延和拒绝复工的，由此增加的费用和工期延误由承包人承担；因发包人原因无法按时复工的，承包人有权要求发包人延长工期和（或）增加费用，并支付合理利润。</w:t>
      </w:r>
    </w:p>
    <w:p w14:paraId="1305771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12.5 暂停施工持续56 天以上</w:t>
      </w:r>
    </w:p>
    <w:p w14:paraId="2D196B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12.5.1 监理人发出暂停施工指示后56 天内未向承包人发出复工通知，除了该项停工属于第12.1 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 款的规定办理。</w:t>
      </w:r>
    </w:p>
    <w:p w14:paraId="72F3CC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12.5.2 由于承包人责任引起的暂停施工，如承包人在收到监理人暂停施工指示后56 天内不认真采取有效的复工措施，造成工期延误，可视为承包人违约，应按第22.1 款的规定办理。</w:t>
      </w:r>
    </w:p>
    <w:p w14:paraId="471156B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91" w:name="_Toc196637425"/>
      <w:bookmarkStart w:id="92" w:name="_Toc196637661"/>
      <w:bookmarkStart w:id="93" w:name="_Toc184635110"/>
      <w:bookmarkStart w:id="94" w:name="_Toc196637779"/>
      <w:bookmarkStart w:id="95" w:name="_Toc224699387"/>
      <w:r>
        <w:rPr>
          <w:rFonts w:hint="eastAsia" w:ascii="宋体" w:hAnsi="宋体" w:eastAsia="宋体" w:cs="宋体"/>
          <w:color w:val="auto"/>
          <w:sz w:val="24"/>
          <w:szCs w:val="24"/>
        </w:rPr>
        <w:t>13．工程质量</w:t>
      </w:r>
      <w:bookmarkEnd w:id="91"/>
      <w:bookmarkEnd w:id="92"/>
      <w:bookmarkEnd w:id="93"/>
      <w:bookmarkEnd w:id="94"/>
      <w:bookmarkEnd w:id="95"/>
    </w:p>
    <w:p w14:paraId="421511A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13.1 工程质量要求</w:t>
      </w:r>
    </w:p>
    <w:p w14:paraId="060BE4F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13.1.1 工程质量验收按合同约定验收标准执行。</w:t>
      </w:r>
    </w:p>
    <w:p w14:paraId="4693AA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13.1.2 因承包人原因造成工程质量达不到合同约定验收标准的，监理人有权要求承包人返工直至符合合同要求为止，由此造成的费用增加和（或）工期延误由承包人承担。</w:t>
      </w:r>
    </w:p>
    <w:p w14:paraId="41477D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13.1.3 因发包人原因造成工程质量达不到合同约定验收标准的，发包人应承担由于承包人返工造成的费用增加和（或）工期延误，并支付承包人合理利润。</w:t>
      </w:r>
    </w:p>
    <w:p w14:paraId="2100E6A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13.2 承包人的质量管理</w:t>
      </w:r>
    </w:p>
    <w:p w14:paraId="44A8898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68B014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13.2.2 承包人应加强对施工人员的质量教育和技术培训，定期考核施工人员的劳动技能，严格执行规范和操作规程。</w:t>
      </w:r>
    </w:p>
    <w:p w14:paraId="5234A07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13.3 承包人的质量检查</w:t>
      </w:r>
    </w:p>
    <w:p w14:paraId="5380A7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承包人应按合同约定对材料、工程设备以及工程的所有部位及其施工工艺进行全过程的质量检查和检验，并作详细记录，编制工程质量报表，报送监理人审查。</w:t>
      </w:r>
    </w:p>
    <w:p w14:paraId="7D57381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13.4 监理人的质量检查</w:t>
      </w:r>
    </w:p>
    <w:p w14:paraId="133CA2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04BC58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13.5 工程隐蔽部位覆盖前的检查</w:t>
      </w:r>
    </w:p>
    <w:p w14:paraId="677C0FE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13.5.1 通知监理人检查</w:t>
      </w:r>
    </w:p>
    <w:p w14:paraId="2FD9DA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2AE69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13.5.2 监理人未到场检查</w:t>
      </w:r>
    </w:p>
    <w:p w14:paraId="6189D5B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监理人未按第13.5.l 项约定的时间进行检查的，除监理人另有指示外，承包人可自行完成覆盖工作，并作相应记录报送监理人，监理人应签字确认。监理人事后对检查记录有疑问的，可按第 13.5.3 项的约定重新检查。</w:t>
      </w:r>
    </w:p>
    <w:p w14:paraId="41E45B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13.5.3 监理人重新检查</w:t>
      </w:r>
    </w:p>
    <w:p w14:paraId="2DFB86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DC075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13.5.4 承包人私自覆盖</w:t>
      </w:r>
    </w:p>
    <w:p w14:paraId="55DF76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承包人未通知监理人到场检查，私自将工程隐蔽部位覆盖的，监理人有权指示承包人钻孔探测或揭开检查，由此增加的费用和（或）工期延误由承包人承担。</w:t>
      </w:r>
    </w:p>
    <w:p w14:paraId="7B498D4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13.6 清除不合格工程</w:t>
      </w:r>
    </w:p>
    <w:p w14:paraId="48C89F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6D012D4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13.6.2 由于发包人提供的材料或工程设备不合格造成的工程不合格，需要承包人采取措施补救的，发包人应承担由此增加的费用和（或）工期延误，并支付承包人合理利润。</w:t>
      </w:r>
    </w:p>
    <w:p w14:paraId="3439668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96" w:name="_Toc184635111"/>
      <w:bookmarkStart w:id="97" w:name="_Toc196637426"/>
      <w:bookmarkStart w:id="98" w:name="_Toc196637780"/>
      <w:bookmarkStart w:id="99" w:name="_Toc224699388"/>
      <w:bookmarkStart w:id="100" w:name="_Toc196637662"/>
      <w:r>
        <w:rPr>
          <w:rFonts w:hint="eastAsia" w:ascii="宋体" w:hAnsi="宋体" w:eastAsia="宋体" w:cs="宋体"/>
          <w:color w:val="auto"/>
          <w:sz w:val="24"/>
          <w:szCs w:val="24"/>
        </w:rPr>
        <w:t>14．试验和检验</w:t>
      </w:r>
      <w:bookmarkEnd w:id="96"/>
      <w:bookmarkEnd w:id="97"/>
      <w:bookmarkEnd w:id="98"/>
      <w:bookmarkEnd w:id="99"/>
      <w:bookmarkEnd w:id="100"/>
    </w:p>
    <w:p w14:paraId="4036283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14.1 材料、工程设备和工程的试验和检验</w:t>
      </w:r>
    </w:p>
    <w:p w14:paraId="269C57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677C2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14.1.2 监理人未按合同约定派员参加试验和检验的，除监理人另有指示外，承包人可自行试验和检验，并应立即将试验和检验结果报送监理人，监理人应签字确认。</w:t>
      </w:r>
    </w:p>
    <w:p w14:paraId="7C63B2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9DDCBD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14.2 现场材料试验</w:t>
      </w:r>
    </w:p>
    <w:p w14:paraId="1E5120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14.2.1 承包人根据合同约定或监理人指示进行的现场材料试验，应由承包人提供试验场所、试验人员、试验设备器材以及其他必要的试验条件。</w:t>
      </w:r>
    </w:p>
    <w:p w14:paraId="23BC92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14.2.2 监理人在必要时可以使用承包人的试验场所、试验设备器材以及其他试验条件，进行以工程质量检查为目的的复核性材料试验，承包人应予以协助。</w:t>
      </w:r>
    </w:p>
    <w:p w14:paraId="6456E89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14.3 现场工艺试验</w:t>
      </w:r>
    </w:p>
    <w:p w14:paraId="51E0E88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承包人应按合同约定或监理人指示进行现场工艺试验。对大型的现场工艺试验，监理人认为必要时，应由承包人根据监理人提出的工艺试验要求，编制工艺试验措施计划，报送监理人审批。</w:t>
      </w:r>
    </w:p>
    <w:p w14:paraId="4B01C75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01" w:name="_Toc224699389"/>
      <w:bookmarkStart w:id="102" w:name="_Toc196637427"/>
      <w:bookmarkStart w:id="103" w:name="_Toc196637663"/>
      <w:bookmarkStart w:id="104" w:name="_Toc184635112"/>
      <w:bookmarkStart w:id="105" w:name="_Toc196637781"/>
      <w:r>
        <w:rPr>
          <w:rFonts w:hint="eastAsia" w:ascii="宋体" w:hAnsi="宋体" w:eastAsia="宋体" w:cs="宋体"/>
          <w:color w:val="auto"/>
          <w:sz w:val="24"/>
          <w:szCs w:val="24"/>
        </w:rPr>
        <w:t>15．变更</w:t>
      </w:r>
      <w:bookmarkEnd w:id="101"/>
      <w:bookmarkEnd w:id="102"/>
      <w:bookmarkEnd w:id="103"/>
      <w:bookmarkEnd w:id="104"/>
      <w:bookmarkEnd w:id="105"/>
    </w:p>
    <w:p w14:paraId="737697B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15.1 变更的范围和内容</w:t>
      </w:r>
    </w:p>
    <w:p w14:paraId="673171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除专用合同条款另有约定外，在履行合同中发生以下情形之一，应按照本条规定进行变更。</w:t>
      </w:r>
    </w:p>
    <w:p w14:paraId="5C5B06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(1）取消合同中任何一项工作，但被取消的工作不能转由发包人或其他人实施；</w:t>
      </w:r>
    </w:p>
    <w:p w14:paraId="2E181C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(2）改变合同中任何一项工作的质量或其他特性；</w:t>
      </w:r>
    </w:p>
    <w:p w14:paraId="24FA95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(3）改变合同工程的基线、标高、位置或尺寸；</w:t>
      </w:r>
    </w:p>
    <w:p w14:paraId="2DA4F16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(4）改变合同中任何一项工作的施工时间或改变已批准的施工工艺或顺序；</w:t>
      </w:r>
    </w:p>
    <w:p w14:paraId="637D6A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(5）为完成工程需要追加的额外工作。</w:t>
      </w:r>
    </w:p>
    <w:p w14:paraId="271D19E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15.2 变更权</w:t>
      </w:r>
    </w:p>
    <w:p w14:paraId="6AB009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在履行合同过程中，经发包人同意，监理人可按第15.3 款约定的变更程序向承包人作出变更指示，承包人应遵照执行。没有监理人的变更指示，承包人不得擅自变更。</w:t>
      </w:r>
    </w:p>
    <w:p w14:paraId="01102DA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15.3 变更程序</w:t>
      </w:r>
    </w:p>
    <w:p w14:paraId="4D0C66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15.3.1变更的提出</w:t>
      </w:r>
    </w:p>
    <w:p w14:paraId="13E3EF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14:paraId="63BB0B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(2）在合同履行过程中，发生第15.1 款约定情形的，监理人应按照第15.3.3 项约定向承包人发出变更指示。</w:t>
      </w:r>
    </w:p>
    <w:p w14:paraId="28554D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5153163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(4）若承包人收到监理人的变更意向书后认为难以实施此项变更，应立即通知监理人，说明原因并附详细依据。监理人与承包人和发包人协商后确定撤销、改变或不改变原变更意向书。</w:t>
      </w:r>
    </w:p>
    <w:p w14:paraId="1AA8CB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15.3.2 变更估价</w:t>
      </w:r>
    </w:p>
    <w:p w14:paraId="71941E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14:paraId="37D567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(2）变更工作影响工期的，承包人应提出调整工期的具体细节。监理人认为有必要时，可要求承包人提交要求提前或延长工期的施工进度计划及相应施工措施等详细资料。</w:t>
      </w:r>
    </w:p>
    <w:p w14:paraId="783BAC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(3）除专用合同条款对期限另有约定外，监理人收到承包人变更报价书后的14 天内，根据第15.4 款约定的估价原则，按照第3.5 款商定或确定变更价格。</w:t>
      </w:r>
    </w:p>
    <w:p w14:paraId="577B57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15.3.3 变更指示</w:t>
      </w:r>
    </w:p>
    <w:p w14:paraId="4078CD8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(l）变更指示只能由监理人发出。</w:t>
      </w:r>
    </w:p>
    <w:p w14:paraId="2D6595C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(2）变更指示应说明变更的目的、范围、变更内容以及变更的工程量及其进度和技术要求，并附有关图纸和文件。承包人收到变更指示后，应按变更指示进行变更工作。</w:t>
      </w:r>
    </w:p>
    <w:p w14:paraId="246B8367">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15.4 变更的估价原则</w:t>
      </w:r>
    </w:p>
    <w:p w14:paraId="50F5702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在专用条款中约定。</w:t>
      </w:r>
    </w:p>
    <w:p w14:paraId="1CF4918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15.5 承包人的合理化建议</w:t>
      </w:r>
    </w:p>
    <w:p w14:paraId="0EDA2D0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62C4F2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15.5.2 承包人提出的合理化建议降低了合同价格、缩短了工期或者提高了工程经济效益的，发包人可按国家有关规定在专用合同条款中约定给予奖励。</w:t>
      </w:r>
    </w:p>
    <w:p w14:paraId="49EDC90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15.6 暂列金额</w:t>
      </w:r>
    </w:p>
    <w:p w14:paraId="2687C8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本条不适用于本工程。</w:t>
      </w:r>
    </w:p>
    <w:p w14:paraId="5C0CA65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15.7 计日工</w:t>
      </w:r>
    </w:p>
    <w:p w14:paraId="4B6957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本条不适用于本工程。</w:t>
      </w:r>
    </w:p>
    <w:p w14:paraId="52D3608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15.8 暂估价</w:t>
      </w:r>
    </w:p>
    <w:p w14:paraId="1CFECD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15.8.1 发包人给定暂估价的材料、工程设备属于依法必须招标的范围并达到规定的规模标准的，由发包人和承包人以招标的方式选择供应商或分包人。发包人和承包人的权利义务关系在专用合同条款中约定。中标金额与暂估价的金额差以及相应的税金等其他费用列入合同价格。</w:t>
      </w:r>
    </w:p>
    <w:p w14:paraId="433151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15.8.2 发包人给定暂估价的材料和工程设备不属于依法必须招标的范围或未达到规定的规模标准的，应由承包人按第5.1 款的约定提供。经监理人确认的材料、工程设备的价格与暂估价的金额差以及相应的税金等其他费用列入合同价格。</w:t>
      </w:r>
    </w:p>
    <w:p w14:paraId="53FAEE3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06" w:name="_Toc196637428"/>
      <w:bookmarkStart w:id="107" w:name="_Toc196637782"/>
      <w:bookmarkStart w:id="108" w:name="_Toc224699390"/>
      <w:bookmarkStart w:id="109" w:name="_Toc196637664"/>
      <w:bookmarkStart w:id="110" w:name="_Toc184635113"/>
      <w:r>
        <w:rPr>
          <w:rFonts w:hint="eastAsia" w:ascii="宋体" w:hAnsi="宋体" w:eastAsia="宋体" w:cs="宋体"/>
          <w:color w:val="auto"/>
          <w:sz w:val="24"/>
          <w:szCs w:val="24"/>
        </w:rPr>
        <w:t>16．价格调整</w:t>
      </w:r>
      <w:bookmarkEnd w:id="106"/>
      <w:bookmarkEnd w:id="107"/>
      <w:bookmarkEnd w:id="108"/>
      <w:bookmarkEnd w:id="109"/>
      <w:bookmarkEnd w:id="110"/>
    </w:p>
    <w:p w14:paraId="2A62618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16.1 物价波动引起的价格调整</w:t>
      </w:r>
    </w:p>
    <w:p w14:paraId="61C6CA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在专用条款中约定。</w:t>
      </w:r>
    </w:p>
    <w:p w14:paraId="172DF77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16.2 法律变化引起的价格调整</w:t>
      </w:r>
    </w:p>
    <w:p w14:paraId="08F868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在基准日后，因法律变化导致承包人在合同履行中所需要的工程费用发生除第16.1 款约定以外的增减时，监理人应根据法律、国家或省、自治区、直辖市有关部门的规定，按第3.5 款商定或确定需调整的合同价款。</w:t>
      </w:r>
    </w:p>
    <w:p w14:paraId="68B23A4E">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11" w:name="_Toc196637665"/>
      <w:bookmarkStart w:id="112" w:name="_Toc184635114"/>
      <w:bookmarkStart w:id="113" w:name="_Toc196637429"/>
      <w:bookmarkStart w:id="114" w:name="_Toc224699391"/>
      <w:bookmarkStart w:id="115" w:name="_Toc196637783"/>
      <w:r>
        <w:rPr>
          <w:rFonts w:hint="eastAsia" w:ascii="宋体" w:hAnsi="宋体" w:eastAsia="宋体" w:cs="宋体"/>
          <w:color w:val="auto"/>
          <w:sz w:val="24"/>
          <w:szCs w:val="24"/>
        </w:rPr>
        <w:t>17．计量与支付</w:t>
      </w:r>
      <w:bookmarkEnd w:id="111"/>
      <w:bookmarkEnd w:id="112"/>
      <w:bookmarkEnd w:id="113"/>
      <w:bookmarkEnd w:id="114"/>
      <w:bookmarkEnd w:id="115"/>
    </w:p>
    <w:p w14:paraId="0D02415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17.1 计量</w:t>
      </w:r>
    </w:p>
    <w:p w14:paraId="74D1AF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在专用条款中约定。</w:t>
      </w:r>
    </w:p>
    <w:p w14:paraId="13EDF577">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17.2 预付款</w:t>
      </w:r>
    </w:p>
    <w:p w14:paraId="2BDD95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17.2.1 预付款</w:t>
      </w:r>
    </w:p>
    <w:p w14:paraId="6120A4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预付款用于承包人为合同工程施工购置材料、工程设备、施工设备、修建临时设施以及组织施工队伍进场等。预付款的额度和预付办法在专用合同条款中约定。预付款必须专用于合同工程。</w:t>
      </w:r>
    </w:p>
    <w:p w14:paraId="399116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17.2.2 预付款保函</w:t>
      </w:r>
    </w:p>
    <w:p w14:paraId="0732EB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除专用合同条款另有约定外，承包人应在收到预付款的同时向发包人提交预付款保函，预付款保函的担保金额应与预付款金额相同。保函的担保金额可根据预付款扣回的金额相应递减。</w:t>
      </w:r>
    </w:p>
    <w:p w14:paraId="149B74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17.2.3 预付款的扣回与还清</w:t>
      </w:r>
    </w:p>
    <w:p w14:paraId="57959AB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预付款在进度付款中扣回，扣回办法在专用合同条款中约定。在颁发工程接收证书前，由于不可抗力或其他原因解除合同时，预付款尚未扣清的，尚未扣清的预付款余额应作为承包人的到期应付款。</w:t>
      </w:r>
    </w:p>
    <w:p w14:paraId="27F541D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17.3 工程进度付款</w:t>
      </w:r>
    </w:p>
    <w:p w14:paraId="4B5C0E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17.3.1 付款周期</w:t>
      </w:r>
    </w:p>
    <w:p w14:paraId="4296DC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付款周期同计量周期。</w:t>
      </w:r>
    </w:p>
    <w:p w14:paraId="57E2E6D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17.3.2 进度付款申请单</w:t>
      </w:r>
    </w:p>
    <w:p w14:paraId="4E5646D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7F7E1A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(l）截至本次付款周期末已实施工程的价款；</w:t>
      </w:r>
    </w:p>
    <w:p w14:paraId="11DB15D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(2）根据第15条应增加和扣减的变更金额；</w:t>
      </w:r>
    </w:p>
    <w:p w14:paraId="7C47CD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(3）根据第23 条应增加和扣减的索赔金额；</w:t>
      </w:r>
    </w:p>
    <w:p w14:paraId="72BB608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(4）根据第17.2 款约定应支付的预付款和扣减的返还预付款；</w:t>
      </w:r>
    </w:p>
    <w:p w14:paraId="362BE0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(5）根据第17.4.1 项约定应扣减的质量保证金；</w:t>
      </w:r>
    </w:p>
    <w:p w14:paraId="3E177E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(6）根据合同应增加和扣减的其他金额。</w:t>
      </w:r>
    </w:p>
    <w:p w14:paraId="148C5D9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17.3.3 进度付款证书和支付时间</w:t>
      </w:r>
    </w:p>
    <w:p w14:paraId="6C9BC2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B18F2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(2）发包人应在监理人收到进度付款申请单后的28 天内，将进度应付款支付给承包人。发包人不按期支付的，按专用合同条款的约定支付逾期付款违约金。</w:t>
      </w:r>
    </w:p>
    <w:p w14:paraId="4AB273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(3）监理人出具进度付款证书，不应视为监理人已同意、批准或接受了承包人完成的该部分工作。</w:t>
      </w:r>
    </w:p>
    <w:p w14:paraId="0E84BA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(4）进度付款涉及政府投资资金的，按照国库集中支付等国家相关规定和专用合同条款的约定办理。</w:t>
      </w:r>
    </w:p>
    <w:p w14:paraId="27D5D1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17.3.4 工程进度付款的修正</w:t>
      </w:r>
    </w:p>
    <w:p w14:paraId="5FA43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在对以往历次已签发的进度付款证书进行汇总和复核中发现错、漏或重复的，监理人有权予以修正，承包人也有权提出修正申请。经双方复核同意的修正，应在本次进度付款中支付或扣除。</w:t>
      </w:r>
    </w:p>
    <w:p w14:paraId="4A4FB6F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17.4 质量保证金</w:t>
      </w:r>
    </w:p>
    <w:p w14:paraId="6AD7D8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081BBC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17.4.2 在第1.1.4.5 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4FD586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17.4.3 在第1.1.4.5 目约定的缺陷责任期满时，承包人没有完成缺陷责任的，发包人有权扣留与未履行责任剩余工作所需金额相应的质量保证金余额，并有权根据第19.3 款约定要求延长缺陷责任期，直至完成剩余工作为止。</w:t>
      </w:r>
    </w:p>
    <w:p w14:paraId="71A7E02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17.5 竣工结算</w:t>
      </w:r>
    </w:p>
    <w:p w14:paraId="66AC6E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17.5.1 竣工付款申请单</w:t>
      </w:r>
    </w:p>
    <w:p w14:paraId="451B33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555219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(2）监理人对竣工付款申请单有异议的，有权要求承包人进行修正和提供补充资料。经监理人和承包人协商后，由承包人向监理人提交修正后的竣工付款申请单。</w:t>
      </w:r>
    </w:p>
    <w:p w14:paraId="3DE059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17.5.2 竣工付款证书及支付时间</w:t>
      </w:r>
    </w:p>
    <w:p w14:paraId="2F8146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5DE197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(2）发包人应在监理人出具竣工付款证书后的14 天内，将应支付款支付给承包人。发包人不按期支付的，按第17.3.3(2）目的约定，将逾期付款违约金支付给承包人。</w:t>
      </w:r>
    </w:p>
    <w:p w14:paraId="364DD47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(3）承包人对发包人签认的竣工付款证书有异议的，发包人可出具竣工付款申请单中承包人已同意部分的临时付款证书。存在争议的部分，按第24条的约定办理。</w:t>
      </w:r>
    </w:p>
    <w:p w14:paraId="367ED3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(4）竣工付款涉及政府投资资金的，按第17.3.3(4）目的约定办理。</w:t>
      </w:r>
    </w:p>
    <w:p w14:paraId="750E23A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17.6 最终结清</w:t>
      </w:r>
    </w:p>
    <w:p w14:paraId="285917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17.6.1 最终结清申请单</w:t>
      </w:r>
    </w:p>
    <w:p w14:paraId="3E914C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(1）缺陷责任期终止证书签发后，承包人可按专用合同条款约定的份数和期限向监理人提交最终结清申请单，并提供相关证明材料。</w:t>
      </w:r>
    </w:p>
    <w:p w14:paraId="3C83C7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(2）发包人对最终结清申请单内容有异议的，有权要求承包人进行修正和提供补充资料，由承包人向监理人提交修正后的最终结清申请单。</w:t>
      </w:r>
    </w:p>
    <w:p w14:paraId="45E38D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17.6.2 最终结清证书和支付时间</w:t>
      </w:r>
    </w:p>
    <w:p w14:paraId="443E5E9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7995D25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(2）发包人应在监理人出具最终结清证书后的14 天内，将应支付款支付给承包人。</w:t>
      </w:r>
    </w:p>
    <w:p w14:paraId="56C7D6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发包人不按期支付的，按第17.3.3(2）目的约定，将逾期付款违约金支付给承包人。</w:t>
      </w:r>
    </w:p>
    <w:p w14:paraId="7516B2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(3）承包人对发包人签认的最终结清证书有异议的，按第24条的约定办理。</w:t>
      </w:r>
    </w:p>
    <w:p w14:paraId="5E99FE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(4）最终结清付款涉及政府投资资金的，按第17.3.3(4）目的约定办理。</w:t>
      </w:r>
    </w:p>
    <w:p w14:paraId="19C6203B">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16" w:name="_Toc224699392"/>
      <w:bookmarkStart w:id="117" w:name="_Toc196637784"/>
      <w:bookmarkStart w:id="118" w:name="_Toc196637666"/>
      <w:bookmarkStart w:id="119" w:name="_Toc196637430"/>
      <w:bookmarkStart w:id="120" w:name="_Toc184635115"/>
      <w:r>
        <w:rPr>
          <w:rFonts w:hint="eastAsia" w:ascii="宋体" w:hAnsi="宋体" w:eastAsia="宋体" w:cs="宋体"/>
          <w:color w:val="auto"/>
          <w:sz w:val="24"/>
          <w:szCs w:val="24"/>
        </w:rPr>
        <w:t>18．竣工验收</w:t>
      </w:r>
      <w:bookmarkEnd w:id="116"/>
      <w:bookmarkEnd w:id="117"/>
      <w:bookmarkEnd w:id="118"/>
      <w:bookmarkEnd w:id="119"/>
      <w:bookmarkEnd w:id="120"/>
    </w:p>
    <w:p w14:paraId="7728B51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18.1 竣工验收的含义</w:t>
      </w:r>
    </w:p>
    <w:p w14:paraId="796E2C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18.1.1 竣工验收指承包人完成了全部合同工作后，发包人按合同要求进行的验收。</w:t>
      </w:r>
    </w:p>
    <w:p w14:paraId="3936706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18.1.2 国家验收是政府有关部门根据法律、规范、规程和政策要求，针对发包人全面组织实施的整个工程正式交付投运前的验收。</w:t>
      </w:r>
    </w:p>
    <w:p w14:paraId="24B5ADB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18.1.3 需要进行国家验收的，竣工验收是国家验收的一部分。竣工验收所采用的各项验收和评定标准应符合国家验收标准。发包人和承包人为竣工验收提供的各项竣工验收资料应符合国家验收的要求。</w:t>
      </w:r>
    </w:p>
    <w:p w14:paraId="514B614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18.2 竣工验收申请报告</w:t>
      </w:r>
    </w:p>
    <w:p w14:paraId="6A114F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当工程具备以下条件时，承包人即可向监理人报送竣工验收申请报告：</w:t>
      </w:r>
    </w:p>
    <w:p w14:paraId="091DCE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(1）除监理人同意列入缺陷责任期内完成的尾工（甩项）工程和缺陷修补工作外，合同范围内的全部单位工程以及有关工作，包括合同要求的试验、试运行以及检验和验收均已完成，并符合合同要求；</w:t>
      </w:r>
    </w:p>
    <w:p w14:paraId="0E557F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(2）已按合同约定的内容和份数备齐了符合要求的竣工资料；</w:t>
      </w:r>
    </w:p>
    <w:p w14:paraId="7DDE47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(3）已按监理人的要求编制了在缺陷责任期内完成的尾工（甩项）工程和缺陷修补工作清单以及相应施工计划；</w:t>
      </w:r>
    </w:p>
    <w:p w14:paraId="764D29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(4）监理人要求在竣工验收前应完成的其他工作：</w:t>
      </w:r>
    </w:p>
    <w:p w14:paraId="03F37F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(5）监理人要求提交的竣工验收资料清单。</w:t>
      </w:r>
    </w:p>
    <w:p w14:paraId="29FCECC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18.3 验收</w:t>
      </w:r>
    </w:p>
    <w:p w14:paraId="38BF55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监理人收到承包人按第18.2 款约定提交的竣工验收申请报告后，应审查申请报告的各项内容，并按以下不同情况进行处理。</w:t>
      </w:r>
    </w:p>
    <w:p w14:paraId="512453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69E5D4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18.3.2 监理人审查后认为已具备竣工验收条件的，应在收到竣工验收申请报告后的28天内提请发包人进行工程验收。</w:t>
      </w:r>
    </w:p>
    <w:p w14:paraId="327155B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32AC95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 项、第18.3.2 项和第18.3.3 项的约定进行。</w:t>
      </w:r>
    </w:p>
    <w:p w14:paraId="36BBC3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18.3.5 除专用合同条款另有约定外，经验收合格工程的实际竣工日期，以提交竣工验收申请报告的日期为准，并在工程接收证书中写明。</w:t>
      </w:r>
    </w:p>
    <w:p w14:paraId="514C4F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18.3.6 发包人在收到承包人竣工验收申请报告56 天后未进行验收的，视为验收合格，实际竣工日期以提交竣工验收申请报告的日期为准，但发包人由于不可抗力不能进行验收的除外。</w:t>
      </w:r>
    </w:p>
    <w:p w14:paraId="425E089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18.4 单位工程验收</w:t>
      </w:r>
    </w:p>
    <w:p w14:paraId="652D76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18.4.1 发包人根据合同进度计划安排，在全部工程竣工前需要使用已经竣工的单位工程时，或承包人提出经发包人同意时，可进行单位工程验收。验收的程序可参照第18.2 款与第18.3 款的约定进行。验收合格后，由监理人向承包人出具经发包人签认的单位工程验收证书。已签发单位工程接收证书的单位工程由发包人负责照管。单位工程的验收成果和结论作为全部工程竣上验收申请报告的附件。</w:t>
      </w:r>
    </w:p>
    <w:p w14:paraId="064884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18.4.2 发包人在全部工程竣工前，使用已接收的单位工程导致承包人费用增加的，发包人应承担由此增加的费用和（或）工期延误，并支付承包人合理利润。</w:t>
      </w:r>
    </w:p>
    <w:p w14:paraId="62BB9E6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18.5 施工期运行</w:t>
      </w:r>
    </w:p>
    <w:p w14:paraId="1367A6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18.5.1 施工期运行是指合同工程尚未全部竣工，其中某项或某几项单位工程或工程设备安装已竣工，根据专用合同条款约定，需要投入施工期运行的，经发包人按第18.4 款的约定验收合格，证明能确保安全后，才能在施工期投入运行。</w:t>
      </w:r>
    </w:p>
    <w:p w14:paraId="12E36D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18.5.2 在施工期运行中发现工程或工程设备损坏或存在缺陷的，由承包人按第19.2 款约定进行修复。</w:t>
      </w:r>
    </w:p>
    <w:p w14:paraId="5AA989E7">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18.6 试运行</w:t>
      </w:r>
    </w:p>
    <w:p w14:paraId="580F3E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18.6.1 除专用合同条款另有约定外，承包人应按专用合同条款约定进行工程及工程设备试运行，负责提供试运行所需的人员、器材和必要的条件，并承担全部试运行费用。</w:t>
      </w:r>
    </w:p>
    <w:p w14:paraId="64C177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77C35F4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18.7 竣工清场</w:t>
      </w:r>
    </w:p>
    <w:p w14:paraId="091290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18.7.1 除合同另有约定外，工程接收证书颁发后，承包人应按以下要求对施工场地进行清理，直至监理人检验合格为止。竣工清场费用由承包人承担。</w:t>
      </w:r>
    </w:p>
    <w:p w14:paraId="40252C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(1）施工场地内残留的垃圾已全部清除出场；</w:t>
      </w:r>
    </w:p>
    <w:p w14:paraId="61CB79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(2）临时工程已拆除，场地已按合同要求进行清理、平整或复原；</w:t>
      </w:r>
    </w:p>
    <w:p w14:paraId="106BF4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(3）按合同约定应撤离的承包人设备和剩余的材料，包括废弃的施工设备和材料，已按计划撤离施工场地；</w:t>
      </w:r>
    </w:p>
    <w:p w14:paraId="155464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(4）工程建筑物周边及其附近道路、河道的施工堆积物，已按监理人指示全部清理；</w:t>
      </w:r>
    </w:p>
    <w:p w14:paraId="38552A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(5）监理人指示的其他场地清理工作已全部完成。</w:t>
      </w:r>
    </w:p>
    <w:p w14:paraId="56F17E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18.7.2 承包人未按监理人的要求恢复临时占地，或者场地清理未达到合同约定的，发包人有权委托其他人恢复或清理，所发生的金额从拟支付给承包人的款项中扣除。</w:t>
      </w:r>
    </w:p>
    <w:p w14:paraId="69C9264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18.8 施工队伍的撤离</w:t>
      </w:r>
    </w:p>
    <w:p w14:paraId="7D9FA7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4EDE6607">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21" w:name="_Toc196637667"/>
      <w:bookmarkStart w:id="122" w:name="_Toc184635116"/>
      <w:bookmarkStart w:id="123" w:name="_Toc224699393"/>
      <w:bookmarkStart w:id="124" w:name="_Toc196637431"/>
      <w:bookmarkStart w:id="125" w:name="_Toc196637785"/>
      <w:r>
        <w:rPr>
          <w:rFonts w:hint="eastAsia" w:ascii="宋体" w:hAnsi="宋体" w:eastAsia="宋体" w:cs="宋体"/>
          <w:color w:val="auto"/>
          <w:sz w:val="24"/>
          <w:szCs w:val="24"/>
        </w:rPr>
        <w:t>19、缺陷责任与保修责任</w:t>
      </w:r>
      <w:bookmarkEnd w:id="121"/>
      <w:bookmarkEnd w:id="122"/>
      <w:bookmarkEnd w:id="123"/>
      <w:bookmarkEnd w:id="124"/>
      <w:bookmarkEnd w:id="125"/>
    </w:p>
    <w:p w14:paraId="5AE18AD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19.1 缺陷责任期的起算时间</w:t>
      </w:r>
    </w:p>
    <w:p w14:paraId="77309B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缺陷责任期自实际竣工日期起计算。在全部工程竣工验收前，已经发包人提前验收的单位工程，其缺陷责任期的起算日期相应提前。</w:t>
      </w:r>
    </w:p>
    <w:p w14:paraId="6949316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19.2 缺陷责任</w:t>
      </w:r>
    </w:p>
    <w:p w14:paraId="7D35F3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19.2.1 承包人应在缺陷责任期内对已交付使用的工程承担缺陷责任。</w:t>
      </w:r>
    </w:p>
    <w:p w14:paraId="6F3E21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0ACD8C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122AAC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19.2.4 承包人不能在合理时间内修复缺陷的，发包人可自行修复或委托其他人修复，所需费用和利润的承担，按第19.2.3 项约定办理。</w:t>
      </w:r>
    </w:p>
    <w:p w14:paraId="0FD240C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19.3 缺陷责任期的延长</w:t>
      </w:r>
    </w:p>
    <w:p w14:paraId="0D7851E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由于承包人原因造成某项缺陷或损坏使某项工程或工程设备不能按原定目标使用而需要再次检查、检验和修复的，发包人有权要求承包人相应延长缺陷责任期，但缺陷责任期最长不超过2年。</w:t>
      </w:r>
    </w:p>
    <w:p w14:paraId="75D4189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19.4 进一步试验和试运行</w:t>
      </w:r>
    </w:p>
    <w:p w14:paraId="4B8659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任何一项缺陷或损坏修复后，经检查证明其影响了工程或工程设备的使用性能，承包人应重新进行合同约定的试验和试运行，试验和试运行的全部费用应由责任方承担。</w:t>
      </w:r>
    </w:p>
    <w:p w14:paraId="1DA79FA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19.5 承包人的进入权</w:t>
      </w:r>
    </w:p>
    <w:p w14:paraId="419E87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缺陷责任期内承包人为缺陷修复工作需要，有权进入工程现场，但应遵守发包人的保安和保密规定。</w:t>
      </w:r>
    </w:p>
    <w:p w14:paraId="20B2C1D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19.6 缺陷责任期终止证书</w:t>
      </w:r>
    </w:p>
    <w:p w14:paraId="4E8774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在第1.1.4.5目约定的缺陷责任期，包括根据第19.3款延长的期限终止后14天内，由监理人向承包人出具经发包人签认的缺陷责任期终止证书，并退还剩余的质量保证金。</w:t>
      </w:r>
    </w:p>
    <w:p w14:paraId="1200B15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19.7 保修责任</w:t>
      </w:r>
    </w:p>
    <w:p w14:paraId="4717133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224E4A7C">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26" w:name="_Toc224699394"/>
      <w:bookmarkStart w:id="127" w:name="_Toc196637432"/>
      <w:bookmarkStart w:id="128" w:name="_Toc196637668"/>
      <w:bookmarkStart w:id="129" w:name="_Toc184635117"/>
      <w:bookmarkStart w:id="130" w:name="_Toc196637786"/>
      <w:r>
        <w:rPr>
          <w:rFonts w:hint="eastAsia" w:ascii="宋体" w:hAnsi="宋体" w:eastAsia="宋体" w:cs="宋体"/>
          <w:color w:val="auto"/>
          <w:sz w:val="24"/>
          <w:szCs w:val="24"/>
        </w:rPr>
        <w:t>20、保险</w:t>
      </w:r>
      <w:bookmarkEnd w:id="126"/>
      <w:bookmarkEnd w:id="127"/>
      <w:bookmarkEnd w:id="128"/>
      <w:bookmarkEnd w:id="129"/>
      <w:bookmarkEnd w:id="130"/>
    </w:p>
    <w:p w14:paraId="047DA1AE">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20.1 工程保险</w:t>
      </w:r>
    </w:p>
    <w:p w14:paraId="6C949C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7598436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20.2 人员工伤事故的保险</w:t>
      </w:r>
    </w:p>
    <w:p w14:paraId="784AEAF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20.2.1 承包人员工伤事故的保险</w:t>
      </w:r>
    </w:p>
    <w:p w14:paraId="3627DCE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承包人应依照有关法律规定参加工伤保险，为其履行合同所雇佣的全部人员，缴纳工伤保险费，并要求其分包人也进行此项保险。</w:t>
      </w:r>
    </w:p>
    <w:p w14:paraId="67C10CB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20.2.2 发包人员工伤事故的保险</w:t>
      </w:r>
    </w:p>
    <w:p w14:paraId="653352B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发包人应依照有关法律规定参加工伤保险，为其现场机构雇佣的全部人员，缴纳工伤保险费，并要求其监理人也进行此项保险。</w:t>
      </w:r>
    </w:p>
    <w:p w14:paraId="45CD0C5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20.3 人身意外伤害险</w:t>
      </w:r>
    </w:p>
    <w:p w14:paraId="106CDE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20.3.1 发包人应在整个施工期间为其现场机构雇用的全部人员，投保人身意外伤害险，缴纳保险费，并要求其监理人也进行此项保险。</w:t>
      </w:r>
    </w:p>
    <w:p w14:paraId="67FA99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20.3.2 承包人应在整个施工期间为其现场机构雇用的全部人员，投保人身意外伤害险，缴纳保险费，并要求其分包人也进行此项保险。</w:t>
      </w:r>
    </w:p>
    <w:p w14:paraId="4E982C5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20.4 第三者责任险</w:t>
      </w:r>
    </w:p>
    <w:p w14:paraId="699B6D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37A464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20.4.2 在缺陷责任期终止证书颁发前，承包人应以承包人和发包人的共同名义，投保第20.4.1 项约定的第三者责任险，其保险费率、保险金额等有关内容在专用合同条款中约定。</w:t>
      </w:r>
    </w:p>
    <w:p w14:paraId="4E4A323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20.5 其他保险</w:t>
      </w:r>
    </w:p>
    <w:p w14:paraId="260463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除专用合同条款另有约定外，承包人应为其施工设备、进场的材料和工程设备等办理保险。</w:t>
      </w:r>
    </w:p>
    <w:p w14:paraId="02307F8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20.6 对各项保险的一般要求</w:t>
      </w:r>
    </w:p>
    <w:p w14:paraId="37EAA6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20.6.1 保险凭证</w:t>
      </w:r>
    </w:p>
    <w:p w14:paraId="5FAB47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承包人应在专用合同条款约定的期限内向发包人提交各项保险生效的证据和保险单副本，保险单必须与专用合同条款约定的条件保持一致。</w:t>
      </w:r>
    </w:p>
    <w:p w14:paraId="0A8470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20.6.2 保险合同条款的变动</w:t>
      </w:r>
    </w:p>
    <w:p w14:paraId="292FD34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承包人需要变动保险合同条款时，应事先征得发包人同意，并通知监理人。保险人作出变动的，承包人应在收到保险人通知后立即通知发包人和监理人。</w:t>
      </w:r>
    </w:p>
    <w:p w14:paraId="3CFF11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20.6.3 持续保险</w:t>
      </w:r>
    </w:p>
    <w:p w14:paraId="60A53D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承包人应与保险人保持联系，使保险人能够随时了解工程实施中的变动，并确保按保险合同条款要求持续保险。</w:t>
      </w:r>
    </w:p>
    <w:p w14:paraId="45E553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20.6.4 保险金不足的补偿</w:t>
      </w:r>
    </w:p>
    <w:p w14:paraId="6E469F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保险金不足以补偿损失的，应由承包人和（或）发包人按合同约定负责补偿。</w:t>
      </w:r>
    </w:p>
    <w:p w14:paraId="07B4927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20.6.5 未按约定投保的补救</w:t>
      </w:r>
    </w:p>
    <w:p w14:paraId="4D4D57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(l）由于负有投保义务的一方当事人未按合同约定办理保险，或未能使保险持续有效的，另一方当事人可代为办理，所需费用由对方当事人承担。</w:t>
      </w:r>
    </w:p>
    <w:p w14:paraId="7564A0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(2）由于负有投保义务的一方当事人未按合同约定办理某项保险，导致受益人未能得到保险人的赔偿，原应从该项保险得到的保险金应由负有投保义务的一方当事人支付。</w:t>
      </w:r>
    </w:p>
    <w:p w14:paraId="484B79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20.6.6 报告义务</w:t>
      </w:r>
    </w:p>
    <w:p w14:paraId="0C6216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当保险事故发生时，投保人应按照保险单规定的条件和期限及时向保险人报告。</w:t>
      </w:r>
    </w:p>
    <w:p w14:paraId="66626874">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31" w:name="_Toc196637433"/>
      <w:bookmarkStart w:id="132" w:name="_Toc184635118"/>
      <w:bookmarkStart w:id="133" w:name="_Toc224699395"/>
      <w:bookmarkStart w:id="134" w:name="_Toc196637669"/>
      <w:bookmarkStart w:id="135" w:name="_Toc196637787"/>
      <w:r>
        <w:rPr>
          <w:rFonts w:hint="eastAsia" w:ascii="宋体" w:hAnsi="宋体" w:eastAsia="宋体" w:cs="宋体"/>
          <w:color w:val="auto"/>
          <w:sz w:val="24"/>
          <w:szCs w:val="24"/>
        </w:rPr>
        <w:t>21、不可抗力</w:t>
      </w:r>
      <w:bookmarkEnd w:id="131"/>
      <w:bookmarkEnd w:id="132"/>
      <w:bookmarkEnd w:id="133"/>
      <w:bookmarkEnd w:id="134"/>
      <w:bookmarkEnd w:id="135"/>
    </w:p>
    <w:p w14:paraId="39D30AB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21.1 不可抗力的确认</w:t>
      </w:r>
    </w:p>
    <w:p w14:paraId="6306FF7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73BB6C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21.1.2 不可抗力发生后，发包人和承包人应及时认真统计所造成的损失，收集不可抗力造成损失的证据。合同双方对是否属于不可抗力或其损失的意见不一致的，由监理人按第3.5 款商定或确定。发生争议时，按第24条的约定办理。</w:t>
      </w:r>
    </w:p>
    <w:p w14:paraId="4FCA54A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21.2 不可抗力的通知</w:t>
      </w:r>
    </w:p>
    <w:p w14:paraId="1E332B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21.2.1 合同一方当事人遇到不可抗力事件，使其履行合同义务受到阻碍时，应立即通知合同另一方当事人和监理人，书面说明不可抗力和受阻碍的详细情况，并提供必要的证明。</w:t>
      </w:r>
    </w:p>
    <w:p w14:paraId="7206AB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21.2.2 如不可抗力持续发生，合同一方当事人应及时向合同另一方当事人和监理人提交中间报告，说明不可抗力和履行合同受阻的情况，并于不可抗力事件结束后28天内提交最终报告及有关资料。</w:t>
      </w:r>
    </w:p>
    <w:p w14:paraId="34289E8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21.3 不可抗力后果及其处理</w:t>
      </w:r>
    </w:p>
    <w:p w14:paraId="629909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21.3.1 不可抗力造成损害的责任</w:t>
      </w:r>
    </w:p>
    <w:p w14:paraId="2DFB4A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除专用合同条款另有约定外，不可抗力导致的人员伤亡、财产损失、费用增加和（或）工期延误等后果，由合同双方按以下原则承担：</w:t>
      </w:r>
    </w:p>
    <w:p w14:paraId="2AB64C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(1）永久工程，包括已运至施工场地的材料和工程设备的损害，以及因工程损害造成的第三者人员伤亡和财产损失由发包人承担；</w:t>
      </w:r>
    </w:p>
    <w:p w14:paraId="75FDE2D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(2）承包人设备的损坏由承包人承担；</w:t>
      </w:r>
    </w:p>
    <w:p w14:paraId="670220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(3）发包人和承包人各自承担其人员伤亡和其他财产损失及其相关费用；</w:t>
      </w:r>
    </w:p>
    <w:p w14:paraId="66522F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(4）承包人的停工损失由承包人承担，但停工期间应监理人要求照管工程和清理、修复工程的金额由发包人承担；</w:t>
      </w:r>
    </w:p>
    <w:p w14:paraId="616A1F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(5）不能按期竣工的，应合理延长工期，承包人不需支付逾期竣工违约金。发包人要求赶工的，承包人应采取赶工措施，赶工费用由发包人承担。</w:t>
      </w:r>
    </w:p>
    <w:p w14:paraId="0680C0E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21.3.2 延迟履行期间发生的不可抗力</w:t>
      </w:r>
    </w:p>
    <w:p w14:paraId="049FF4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合同一方当事人延迟履行，在延迟履行期间发生不可抗力的，不免除其责任。</w:t>
      </w:r>
    </w:p>
    <w:p w14:paraId="70E91EF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21.3.3 避免和减少不可抗力损失</w:t>
      </w:r>
    </w:p>
    <w:p w14:paraId="7A4A155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不可抗力发生后，发包人和承包人均应采取措施尽量避免和减少损失的扩大，任何一方没有采取有效措施导致损失扩大的，应对扩大的损失承担责任。</w:t>
      </w:r>
    </w:p>
    <w:p w14:paraId="530F70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21.3.4 因不可抗力解除合同</w:t>
      </w:r>
    </w:p>
    <w:p w14:paraId="148B87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14:paraId="2E81E5A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36" w:name="_Toc196637434"/>
      <w:bookmarkStart w:id="137" w:name="_Toc184635119"/>
      <w:bookmarkStart w:id="138" w:name="_Toc196637788"/>
      <w:bookmarkStart w:id="139" w:name="_Toc224699396"/>
      <w:bookmarkStart w:id="140" w:name="_Toc196637670"/>
      <w:r>
        <w:rPr>
          <w:rFonts w:hint="eastAsia" w:ascii="宋体" w:hAnsi="宋体" w:eastAsia="宋体" w:cs="宋体"/>
          <w:color w:val="auto"/>
          <w:sz w:val="24"/>
          <w:szCs w:val="24"/>
        </w:rPr>
        <w:t>22、违约</w:t>
      </w:r>
      <w:bookmarkEnd w:id="136"/>
      <w:bookmarkEnd w:id="137"/>
      <w:bookmarkEnd w:id="138"/>
      <w:bookmarkEnd w:id="139"/>
      <w:bookmarkEnd w:id="140"/>
    </w:p>
    <w:p w14:paraId="5A5A334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22.1 承包人违约</w:t>
      </w:r>
    </w:p>
    <w:p w14:paraId="5BB0AD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22.1.1 承包人违约的情形</w:t>
      </w:r>
    </w:p>
    <w:p w14:paraId="56DA9D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在履行合同过程中发生的下列情况属承包人违约：</w:t>
      </w:r>
    </w:p>
    <w:p w14:paraId="58F3328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(1）承包人违反第1.8 款或第4.3 款的约定，私自将合同的全部或部分权利转让给其他人，或私自将合同的全部或部分义务转移给其他人；</w:t>
      </w:r>
    </w:p>
    <w:p w14:paraId="79B4D83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(2）承包人违反第5.3 款或第6.4 款的约定，未经监理人批准，私自将已按合同约定进入施工场地的施工设备、临时设施或材料撤离施工场地；</w:t>
      </w:r>
    </w:p>
    <w:p w14:paraId="745EC6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(3）承包人违反第5.4 款的约定使用了不合格材料或工程设备，工程质量达不到标准要求，又拒绝清除不合格工程；</w:t>
      </w:r>
    </w:p>
    <w:p w14:paraId="2437A3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(4）承包人未能按合同进度计划及时完成合同约定的工作，已造成或预期造成工期延误；</w:t>
      </w:r>
    </w:p>
    <w:p w14:paraId="6563B1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(5）承包人在缺陷责任期内，未能对工程接收证书所列的缺陷清单的内容或缺陷责任期内发生的缺陷进行修复，而又拒绝按监理人指示再进行修补；</w:t>
      </w:r>
    </w:p>
    <w:p w14:paraId="21F2D4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(6）承包人无法继续履行或明确表示不履行或实质上已停止履行合同；</w:t>
      </w:r>
    </w:p>
    <w:p w14:paraId="7A532D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(7）承包人不按合同约定履行义务的其他情况。</w:t>
      </w:r>
    </w:p>
    <w:p w14:paraId="2E1105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22.1.2 对承包人违约的处理</w:t>
      </w:r>
    </w:p>
    <w:p w14:paraId="796CA6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(l）承包人发生第22.1.1(6）目约定的违约情况时，发包人可通知承包人立即解除合同，并按有关法律处理。</w:t>
      </w:r>
    </w:p>
    <w:p w14:paraId="15A2EF8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(2）承包人发生除第22.1.1(6）目约定以外的其他违约情况时，监理人可向承包人发出整改通知，要求其在指定的期限内改正。承包人应承担其违约所引起的费用增加和（或）工期延误。</w:t>
      </w:r>
    </w:p>
    <w:p w14:paraId="587F8FA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(3）经检查证明承包人已采取了有效措施纠正违约行为，具备复工条件的，可由监理人签发复工通知复工。</w:t>
      </w:r>
    </w:p>
    <w:p w14:paraId="34D4F2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22.1.3 承包人违约解除合同</w:t>
      </w:r>
    </w:p>
    <w:p w14:paraId="3FC2F3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7183E3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22.1.4 合同解除后的估价、付款和结清</w:t>
      </w:r>
    </w:p>
    <w:p w14:paraId="6DD8B9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(1）合同解除后，监理人按第3.5 款商定或确定承包人实际完成工作的价值，以及承包人已提供的材料、施工设备、工程设备和临时工程等的价值。</w:t>
      </w:r>
    </w:p>
    <w:p w14:paraId="5A734C4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(2）合同解除后，发包人应暂停对承包人的一切付款，查清各项付款和已扣款金额，包括承包人应支付的违约金。</w:t>
      </w:r>
    </w:p>
    <w:p w14:paraId="7EFA71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(3）合同解除后，发包人应按第23.4 款的约定向承包人索赔由于解除合同给发包人造成的损失。</w:t>
      </w:r>
    </w:p>
    <w:p w14:paraId="13CCF50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(4）合同双方确认上述往来款项后，出具最终结清付款证书，结清全部合同款项。</w:t>
      </w:r>
    </w:p>
    <w:p w14:paraId="288748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(5）发包人和承包人未能就解除合同后的结清达成一致而形成争议的，按第24条的约定办理。</w:t>
      </w:r>
    </w:p>
    <w:p w14:paraId="50D2A2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22.1.5 协议利益的转让</w:t>
      </w:r>
    </w:p>
    <w:p w14:paraId="1632BF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因承包人违约解除合同的，发包人有权要求承包人将其为实施合同而签订的材料和设备的订货协议或任何服务协议利益转让给发包人，并在解除合同后的14天内，依法办理转让手续。</w:t>
      </w:r>
    </w:p>
    <w:p w14:paraId="7331EC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22.1.6 紧急情况下无能力或不愿进行抢救</w:t>
      </w:r>
    </w:p>
    <w:p w14:paraId="62780AF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20480DB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22.2 发包人违约</w:t>
      </w:r>
    </w:p>
    <w:p w14:paraId="7EAAAC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22.2.1 发包人违约的情形</w:t>
      </w:r>
    </w:p>
    <w:p w14:paraId="6BBABB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在履行合同过程中发生的下列情形，属发包人违约：</w:t>
      </w:r>
    </w:p>
    <w:p w14:paraId="0E9CB6D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(l）发包人未能按合同约定支付预付款或合同价款，或拖延、拒绝批准付款申请和支付凭证，导致付款延误的；</w:t>
      </w:r>
    </w:p>
    <w:p w14:paraId="54BC6B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(2）发包人原因造成停工的；</w:t>
      </w:r>
    </w:p>
    <w:p w14:paraId="27B140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(3）监理人无正当理由没有在约定期限内发出复工指示，导致承包人无法复工的；</w:t>
      </w:r>
    </w:p>
    <w:p w14:paraId="324A47D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(4）发包人无法继续履行或明确表示不履行或实质上已停止履行合同的；</w:t>
      </w:r>
    </w:p>
    <w:p w14:paraId="1FA5AB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(5）发包人不履行合同约定其他义务的。</w:t>
      </w:r>
    </w:p>
    <w:p w14:paraId="0A2E6A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22.2.2 承包人有权暂停施工</w:t>
      </w:r>
    </w:p>
    <w:p w14:paraId="26BFF1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6C3C5F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22.2.3 发包人违约解除合同</w:t>
      </w:r>
    </w:p>
    <w:p w14:paraId="0578AD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(1）发生第22.2.1(4）目的违约情况时，承包人可书面通知发包人解除合同。</w:t>
      </w:r>
    </w:p>
    <w:p w14:paraId="3291F8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(2）承包人按22.2.2 项暂停施工28天后，发包人仍不纠正违约行为的，承包人可向发包人发出解除合同通知。但承包人的这一行动不免除发包人承担的违约责任，也不影响承包人根据合同约定享有的索赔权利。</w:t>
      </w:r>
    </w:p>
    <w:p w14:paraId="09E782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22.2.4 解除合同后的付款</w:t>
      </w:r>
    </w:p>
    <w:p w14:paraId="7EBFE9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因发包人违约解除合同的，发包人应在解除合同后28天内向承包人支付下列金额，承包人应在此期限内及时向发包人提交要求支付下列金额的有关资料和凭证：</w:t>
      </w:r>
    </w:p>
    <w:p w14:paraId="556C30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(l）合同解除日以前所完成工作的价款；</w:t>
      </w:r>
    </w:p>
    <w:p w14:paraId="0E099E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(2）承包人为该工程施工订购并已付款的材料、工程设备和其他物品的金额。发包人付还后，该材料、工程设备和其他物品归发包人所有；</w:t>
      </w:r>
    </w:p>
    <w:p w14:paraId="65EAC3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(3）承包人为完成工程所发生的，而发包人未支付的金额；</w:t>
      </w:r>
    </w:p>
    <w:p w14:paraId="17ED35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(4）承包人撤离施工场地以及遣散承包人人员的金额；</w:t>
      </w:r>
    </w:p>
    <w:p w14:paraId="659AF44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(5）由于解除合同应赔偿的承包人损失；</w:t>
      </w:r>
    </w:p>
    <w:p w14:paraId="4112DA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(6）按合同约定在合同解除日前应支付给承包人的其他金额。</w:t>
      </w:r>
    </w:p>
    <w:p w14:paraId="0C2D1B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发包人应按本项约定支付上述金额并退还质量保证金和履约担保，但有权要求承包人支付应偿还给发包人的各项金额。</w:t>
      </w:r>
    </w:p>
    <w:p w14:paraId="43C11F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22.2.5 解除合同后的承包人撤离</w:t>
      </w:r>
    </w:p>
    <w:p w14:paraId="76561E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因发包人违约而解除合同后，承包人应妥善做好已竣工工程和已购材料、设备的保护和移交工作，按发包人要求将承包人设备和人员撤出施工场地。承包人撤出施工场地应遵守第</w:t>
      </w:r>
    </w:p>
    <w:p w14:paraId="19D14C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18.7.1 项的约定，发包人应为承包人撤出提供必要条件。</w:t>
      </w:r>
    </w:p>
    <w:p w14:paraId="0C2D96C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22.3 第三人造成的违约</w:t>
      </w:r>
    </w:p>
    <w:p w14:paraId="19E27E1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在履行合同过程中，一方当事人因第三人的原因造成违约的，应当向对方当事人承担违约责任。一方当事人和第三人之间的纠纷，依照法律规定或者按照约定解决。</w:t>
      </w:r>
    </w:p>
    <w:p w14:paraId="0309BC8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41" w:name="_Toc184635120"/>
      <w:bookmarkStart w:id="142" w:name="_Toc196637671"/>
      <w:bookmarkStart w:id="143" w:name="_Toc224699397"/>
      <w:bookmarkStart w:id="144" w:name="_Toc196637435"/>
      <w:bookmarkStart w:id="145" w:name="_Toc196637789"/>
      <w:r>
        <w:rPr>
          <w:rFonts w:hint="eastAsia" w:ascii="宋体" w:hAnsi="宋体" w:eastAsia="宋体" w:cs="宋体"/>
          <w:color w:val="auto"/>
          <w:sz w:val="24"/>
          <w:szCs w:val="24"/>
        </w:rPr>
        <w:t>23、索赔</w:t>
      </w:r>
      <w:bookmarkEnd w:id="141"/>
      <w:bookmarkEnd w:id="142"/>
      <w:bookmarkEnd w:id="143"/>
      <w:bookmarkEnd w:id="144"/>
      <w:bookmarkEnd w:id="145"/>
    </w:p>
    <w:p w14:paraId="0866118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23.1 承包人索赔的提出</w:t>
      </w:r>
    </w:p>
    <w:p w14:paraId="3FE0E8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根据合同约定，承包人认为有权得到追加付款和（或）延长工期的，应按以下程序向发包人提出索赔：</w:t>
      </w:r>
    </w:p>
    <w:p w14:paraId="4CB068A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(l）承包人应在知道或应当知道索赔事件发生后28 天内，向监理人递交索赔意向通知书，并说明发生索赔事件的事由。承包人未在前述28天内发出索赔意向通知书的，丧失要求追加付款和（或）延长工期的权利：</w:t>
      </w:r>
    </w:p>
    <w:p w14:paraId="417041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(2）承包人应在发出索赔意向通知书后28天内，向监理人正式递交索赔通知书。索赔通知书应详细说明索赔理由以及要求追加的付款金额和（或）延长的工期，并附必要的记录和证明材料；</w:t>
      </w:r>
    </w:p>
    <w:p w14:paraId="1402938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(3）索赔事件具有连续影响的，承包人应按合理时间间隔继续递交延续索赔通知，说明连续影响的实际情况和记录，列出累计的追加付款金额和（或）工期延长天数；</w:t>
      </w:r>
    </w:p>
    <w:p w14:paraId="3ED130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(4）在索赔事件影响结束后的28天内，承包人应向监理人递交最终索赔通知书，说明最终要求索赔的追加付款金额和延长的工期，并附必要的记录和证明材料。</w:t>
      </w:r>
    </w:p>
    <w:p w14:paraId="5AE0719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23.2 承包人索赔处理程序</w:t>
      </w:r>
    </w:p>
    <w:p w14:paraId="741066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(1）监理人收到承包人提交的索赔通知书后，应及时审查索赔通知书的内容、查验承包人的记录和证明材料，必要时监理人可要求承包人提交全部原始记录副本。</w:t>
      </w:r>
    </w:p>
    <w:p w14:paraId="615F0D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(2）监理人应按第3.5款商定或确定追加的付款和（或）延长的工期，并在收到上述索赔通知书或有关索赔的进一步证明材料后的42天内，将索赔处理结果答复承包人。</w:t>
      </w:r>
    </w:p>
    <w:p w14:paraId="176AF07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(3）承包人接受索赔处理结果的，发包人应在作出索赔处理结果答复后28天内完成赔付。承包人不接受索赔处理结果的，按第24条的约定办理。</w:t>
      </w:r>
    </w:p>
    <w:p w14:paraId="305AC50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23.3 承包人提出索赔的期限</w:t>
      </w:r>
    </w:p>
    <w:p w14:paraId="0404E0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23.3.1 承包人按第17.5款的约定接受了竣工付款证书后，应被认为已无权再提出在合同工程接收证书颁发前所发生的任何索赔。</w:t>
      </w:r>
    </w:p>
    <w:p w14:paraId="3E89443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23.3.2 承包人按第17.6款的约定提交的最终结清申请单中，只限于提出工程接收证书颁发后发生的索赔。提出索赔的期限自接受最终结清证书时终止。</w:t>
      </w:r>
    </w:p>
    <w:p w14:paraId="41F94BE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23.4 发包人的索赔</w:t>
      </w:r>
    </w:p>
    <w:p w14:paraId="2D4233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3D9DF9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74BA74BC">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46" w:name="_Toc196637672"/>
      <w:bookmarkStart w:id="147" w:name="_Toc224699398"/>
      <w:bookmarkStart w:id="148" w:name="_Toc196637436"/>
      <w:bookmarkStart w:id="149" w:name="_Toc184635121"/>
      <w:bookmarkStart w:id="150" w:name="_Toc196637790"/>
      <w:r>
        <w:rPr>
          <w:rFonts w:hint="eastAsia" w:ascii="宋体" w:hAnsi="宋体" w:eastAsia="宋体" w:cs="宋体"/>
          <w:color w:val="auto"/>
          <w:sz w:val="24"/>
          <w:szCs w:val="24"/>
        </w:rPr>
        <w:t>24、争议的解决</w:t>
      </w:r>
      <w:bookmarkEnd w:id="146"/>
      <w:bookmarkEnd w:id="147"/>
      <w:bookmarkEnd w:id="148"/>
      <w:bookmarkEnd w:id="149"/>
      <w:bookmarkEnd w:id="150"/>
    </w:p>
    <w:p w14:paraId="614964A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24.1 争议的解决方式</w:t>
      </w:r>
    </w:p>
    <w:p w14:paraId="397EAC9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DB9B4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(l）向约定的仲裁委员会申请仲裁；</w:t>
      </w:r>
    </w:p>
    <w:p w14:paraId="6994D9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(2）向有管辖权的人民法院提起诉讼。</w:t>
      </w:r>
    </w:p>
    <w:p w14:paraId="69BF412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24.2 友好解决</w:t>
      </w:r>
    </w:p>
    <w:p w14:paraId="07D8C4D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在提请争议评审、仲裁或者诉讼前，以及在争议评审、仲裁或诉讼过程中，发包人和承包人均可共同努力友好协商解决争议。</w:t>
      </w:r>
    </w:p>
    <w:p w14:paraId="51B7487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24.3 争议评审</w:t>
      </w:r>
    </w:p>
    <w:p w14:paraId="6E7F74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24.3.1 采用争议评审的，发包人和承包人应在开工日后的28天内或在争议发生后，协商成立争议评审组。争议评审组由有合同管理和工程实践经验的专家组成。</w:t>
      </w:r>
    </w:p>
    <w:p w14:paraId="08FD60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24.3.2 合同双方的争议，应首先由申请人向争议评审组提交一份详细的评审申请报告，并附必要的文件、图纸和证明材料，申请人还应将上述报告的副本同时提交给被申请人和监理人。</w:t>
      </w:r>
    </w:p>
    <w:p w14:paraId="5A192C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24.3.3 被申请人在收到申请人评审申请报告副本后的28天内，向争议评审组提交一份答辩报告，并附证明材料。被申请人应将答辩报告的副本同时提交给申请人和监理人。</w:t>
      </w:r>
    </w:p>
    <w:p w14:paraId="1D41E0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24.3.4 除专用合同条款另有约定外，争议评审组在收到合同双方报告后的14天内，邀请双方代表和有关人员举行调查会，向双方调查争议细节；必要时争议评审组可要求双方进一步提供补充材料。</w:t>
      </w:r>
    </w:p>
    <w:p w14:paraId="6061AD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5559369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24.3.6 发包人和承包人接受评审意见的，由监理人根据评审意见拟定执行协议，经争议双方签字后作为合同的补充文件，并遵照执行。</w:t>
      </w:r>
    </w:p>
    <w:p w14:paraId="4A6FE4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523ECF6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664EC9F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3DFFA3B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6289A38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5C78DF5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1191774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3868C1B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33E040AE">
      <w:pPr>
        <w:pStyle w:val="3"/>
        <w:pageBreakBefore/>
        <w:widowControl w:val="0"/>
        <w:kinsoku/>
        <w:wordWrap/>
        <w:overflowPunct/>
        <w:topLinePunct w:val="0"/>
        <w:autoSpaceDE/>
        <w:autoSpaceDN/>
        <w:bidi w:val="0"/>
        <w:spacing w:after="156" w:line="360" w:lineRule="auto"/>
        <w:jc w:val="center"/>
        <w:textAlignment w:val="auto"/>
        <w:rPr>
          <w:rFonts w:hint="eastAsia" w:ascii="宋体" w:hAnsi="宋体" w:eastAsia="宋体" w:cs="宋体"/>
          <w:color w:val="auto"/>
          <w:sz w:val="24"/>
          <w:szCs w:val="24"/>
        </w:rPr>
      </w:pPr>
      <w:bookmarkStart w:id="151" w:name="_Toc32233"/>
      <w:bookmarkStart w:id="152" w:name="_Toc330990564"/>
      <w:r>
        <w:rPr>
          <w:rFonts w:hint="eastAsia" w:ascii="宋体" w:hAnsi="宋体" w:eastAsia="宋体" w:cs="宋体"/>
          <w:color w:val="auto"/>
          <w:sz w:val="24"/>
          <w:szCs w:val="24"/>
        </w:rPr>
        <w:t>第三节  专用合同条款</w:t>
      </w:r>
      <w:bookmarkEnd w:id="151"/>
      <w:bookmarkEnd w:id="152"/>
    </w:p>
    <w:p w14:paraId="471B530B">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1.一般约定</w:t>
      </w:r>
    </w:p>
    <w:p w14:paraId="2DCA829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1.1词语定义</w:t>
      </w:r>
    </w:p>
    <w:p w14:paraId="34306FA6">
      <w:pPr>
        <w:widowControl w:val="0"/>
        <w:kinsoku/>
        <w:wordWrap/>
        <w:overflowPunct/>
        <w:topLinePunct w:val="0"/>
        <w:autoSpaceDE/>
        <w:autoSpaceDN/>
        <w:bidi w:val="0"/>
        <w:spacing w:before="48" w:beforeLines="20"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1.1.2合同当事人和人员</w:t>
      </w:r>
    </w:p>
    <w:p w14:paraId="14C65B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1.1.2.2发包人：</w:t>
      </w:r>
      <w:r>
        <w:rPr>
          <w:rFonts w:hint="eastAsia" w:ascii="宋体" w:hAnsi="宋体" w:cs="宋体"/>
          <w:color w:val="auto"/>
          <w:kern w:val="0"/>
          <w:sz w:val="24"/>
          <w:szCs w:val="24"/>
          <w:u w:val="single"/>
          <w:lang w:eastAsia="zh-CN"/>
        </w:rPr>
        <w:t>邹城市钢山街道杜家庄村村民委员会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8187E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1.1.2.6监理人：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3F3AF8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1.1.2.8发包人代表：指发包人指定的派驻施工场地(现场)的全权代表。</w:t>
      </w:r>
    </w:p>
    <w:p w14:paraId="2B73DC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359615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E1F37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DF724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AC288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021716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1.1.2.9 专业分包人：指根据合同条款第15.8.1项的约定，由发包人和承包人以招标方式选择的分包人。</w:t>
      </w:r>
    </w:p>
    <w:p w14:paraId="617DDE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1.1.2.10 专项供应商：指根据合同条款第15.8.1项的约定，由发包人和承包人以招标方式选择的供应商。</w:t>
      </w:r>
    </w:p>
    <w:p w14:paraId="553618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1.1.2.11独立承包人：指与发包人直接订立工程承包合同，负责实施与工程有关的其他工作的当事人。</w:t>
      </w:r>
    </w:p>
    <w:p w14:paraId="2A327431">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1.1.3工程和设备</w:t>
      </w:r>
    </w:p>
    <w:p w14:paraId="0FCF30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1.1.3.2永久工程：</w:t>
      </w:r>
      <w:r>
        <w:rPr>
          <w:rFonts w:hint="eastAsia" w:ascii="宋体" w:hAnsi="宋体" w:eastAsia="宋体" w:cs="宋体"/>
          <w:color w:val="auto"/>
          <w:sz w:val="24"/>
          <w:szCs w:val="24"/>
          <w:u w:val="single"/>
        </w:rPr>
        <w:t>按合同约定建造并移交给发包人的工程，包括工程设备</w:t>
      </w:r>
      <w:r>
        <w:rPr>
          <w:rFonts w:hint="eastAsia" w:ascii="宋体" w:hAnsi="宋体" w:eastAsia="宋体" w:cs="宋体"/>
          <w:color w:val="auto"/>
          <w:sz w:val="24"/>
          <w:szCs w:val="24"/>
        </w:rPr>
        <w:t>。</w:t>
      </w:r>
    </w:p>
    <w:p w14:paraId="142080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1.1.3.3临时工程：</w:t>
      </w:r>
      <w:r>
        <w:rPr>
          <w:rFonts w:hint="eastAsia" w:ascii="宋体" w:hAnsi="宋体" w:eastAsia="宋体" w:cs="宋体"/>
          <w:color w:val="auto"/>
          <w:sz w:val="24"/>
          <w:szCs w:val="24"/>
          <w:u w:val="single"/>
        </w:rPr>
        <w:t>为完成合同约定的永久工程所修建的各类临时性工程，不包括施工设备</w:t>
      </w:r>
      <w:r>
        <w:rPr>
          <w:rFonts w:hint="eastAsia" w:ascii="宋体" w:hAnsi="宋体" w:eastAsia="宋体" w:cs="宋体"/>
          <w:color w:val="auto"/>
          <w:sz w:val="24"/>
          <w:szCs w:val="24"/>
        </w:rPr>
        <w:t>。</w:t>
      </w:r>
    </w:p>
    <w:p w14:paraId="5EEDC9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1.1.3.4单位工程：指具有相对独立的设计文件，能够独立组织施工并能形成独立使用功能的永久工程的组成部分。</w:t>
      </w:r>
    </w:p>
    <w:p w14:paraId="2D71954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1.1.3.10永久占地：</w:t>
      </w:r>
      <w:r>
        <w:rPr>
          <w:rFonts w:hint="eastAsia" w:ascii="宋体" w:hAnsi="宋体" w:eastAsia="宋体" w:cs="宋体"/>
          <w:color w:val="auto"/>
          <w:sz w:val="24"/>
          <w:szCs w:val="24"/>
          <w:u w:val="single"/>
        </w:rPr>
        <w:t xml:space="preserve">指为实施本合同工程而需要的一切永久占用的土地 </w:t>
      </w:r>
      <w:r>
        <w:rPr>
          <w:rFonts w:hint="eastAsia" w:ascii="宋体" w:hAnsi="宋体" w:eastAsia="宋体" w:cs="宋体"/>
          <w:color w:val="auto"/>
          <w:sz w:val="24"/>
          <w:szCs w:val="24"/>
        </w:rPr>
        <w:t>。</w:t>
      </w:r>
    </w:p>
    <w:p w14:paraId="452DF47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1.1.3.11临时占地：</w:t>
      </w:r>
      <w:r>
        <w:rPr>
          <w:rFonts w:hint="eastAsia" w:ascii="宋体" w:hAnsi="宋体" w:eastAsia="宋体" w:cs="宋体"/>
          <w:color w:val="auto"/>
          <w:sz w:val="24"/>
          <w:szCs w:val="24"/>
          <w:u w:val="single"/>
        </w:rPr>
        <w:t>指为实施本合同工程而需要的一切临时占用的土地</w:t>
      </w:r>
      <w:r>
        <w:rPr>
          <w:rFonts w:hint="eastAsia" w:ascii="宋体" w:hAnsi="宋体" w:eastAsia="宋体" w:cs="宋体"/>
          <w:color w:val="auto"/>
          <w:sz w:val="24"/>
          <w:szCs w:val="24"/>
        </w:rPr>
        <w:t>。</w:t>
      </w:r>
    </w:p>
    <w:p w14:paraId="3F079EA2">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1.1.4日期</w:t>
      </w:r>
    </w:p>
    <w:p w14:paraId="178595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1.1.4.5缺陷责任期期限：</w:t>
      </w:r>
      <w:r>
        <w:rPr>
          <w:rFonts w:hint="eastAsia" w:ascii="宋体" w:hAnsi="宋体" w:eastAsia="宋体" w:cs="Times New Roman"/>
          <w:bCs/>
          <w:sz w:val="24"/>
          <w:szCs w:val="24"/>
          <w:u w:val="single"/>
          <w:lang w:val="en-US" w:eastAsia="zh-CN"/>
        </w:rPr>
        <w:t>工程竣工验收合格后</w:t>
      </w:r>
      <w:r>
        <w:rPr>
          <w:rFonts w:hint="eastAsia" w:ascii="宋体" w:hAnsi="宋体" w:eastAsia="宋体" w:cs="宋体"/>
          <w:color w:val="auto"/>
          <w:sz w:val="24"/>
          <w:szCs w:val="24"/>
          <w:u w:val="single"/>
        </w:rPr>
        <w:t>24个月</w:t>
      </w:r>
      <w:r>
        <w:rPr>
          <w:rFonts w:hint="eastAsia" w:ascii="宋体" w:hAnsi="宋体" w:eastAsia="宋体" w:cs="宋体"/>
          <w:color w:val="auto"/>
          <w:sz w:val="24"/>
          <w:szCs w:val="24"/>
        </w:rPr>
        <w:t>。</w:t>
      </w:r>
    </w:p>
    <w:p w14:paraId="031252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1.1.4.8保修期：是根据现行有关法律规定，在合同条款第19.7款中约定的由承包人负责对合同约定的保修范围内发生的质量问题履行保修义务并对造成的损失承担赔偿责任的期限。</w:t>
      </w:r>
    </w:p>
    <w:p w14:paraId="2286C3F1">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1.1.6其他</w:t>
      </w:r>
    </w:p>
    <w:p w14:paraId="7B39058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1.1.6.2材料：指构成或将构成永久工程组成部分的各类物品(工程设备除外)，包括合同中可能约定的承包人仅负责供应的材料。</w:t>
      </w:r>
    </w:p>
    <w:p w14:paraId="4172740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3EE3E53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1.1.6.4除另有特别指明外，专用合同条款中使用的措辞“合同条款”指通用合同条款和(或)专用合同条款。</w:t>
      </w:r>
    </w:p>
    <w:p w14:paraId="61CEE8E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1.4合同文件的优先顺序</w:t>
      </w:r>
    </w:p>
    <w:p w14:paraId="4FA0B8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合同文件的优先解释顺序如下：</w:t>
      </w:r>
    </w:p>
    <w:p w14:paraId="33FA41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(1)合同协议书；</w:t>
      </w:r>
    </w:p>
    <w:p w14:paraId="189669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(2)中标通知书；</w:t>
      </w:r>
    </w:p>
    <w:p w14:paraId="5158D0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(3)投标函及投标函附录；</w:t>
      </w:r>
    </w:p>
    <w:p w14:paraId="381EEA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(4)专用合同条款；</w:t>
      </w:r>
    </w:p>
    <w:p w14:paraId="6589F5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41B1DA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55FEC4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10C2D1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(8)投标报价；</w:t>
      </w:r>
    </w:p>
    <w:p w14:paraId="543449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(9)其他合同文件。</w:t>
      </w:r>
    </w:p>
    <w:p w14:paraId="135719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图纸与技术标准和要求之间有矛盾或者不一致的，以其中要求较严格的标准为准。</w:t>
      </w:r>
    </w:p>
    <w:p w14:paraId="696698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合同双方在合同履行过程中签订的补充协议亦构成合同文件的组成部分，其解释顺序视其内容与其他合同文件的相互关系而定</w:t>
      </w:r>
      <w:r>
        <w:rPr>
          <w:rFonts w:hint="eastAsia" w:ascii="宋体" w:hAnsi="宋体" w:eastAsia="宋体" w:cs="宋体"/>
          <w:color w:val="auto"/>
          <w:sz w:val="24"/>
          <w:szCs w:val="24"/>
          <w:lang w:eastAsia="zh-CN"/>
        </w:rPr>
        <w:t>，约定不明确。补充协议应优先适用</w:t>
      </w:r>
      <w:r>
        <w:rPr>
          <w:rFonts w:hint="eastAsia" w:ascii="宋体" w:hAnsi="宋体" w:eastAsia="宋体" w:cs="宋体"/>
          <w:color w:val="auto"/>
          <w:sz w:val="24"/>
          <w:szCs w:val="24"/>
        </w:rPr>
        <w:t>。</w:t>
      </w:r>
    </w:p>
    <w:p w14:paraId="076CEDAE">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1.5合同协议书</w:t>
      </w:r>
    </w:p>
    <w:p w14:paraId="56694FDE">
      <w:pPr>
        <w:widowControl w:val="0"/>
        <w:kinsoku/>
        <w:wordWrap/>
        <w:overflowPunct/>
        <w:topLinePunct w:val="0"/>
        <w:autoSpaceDE/>
        <w:autoSpaceDN/>
        <w:bidi w:val="0"/>
        <w:spacing w:before="120" w:beforeLines="50" w:after="120" w:afterLines="5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合同生效的条件：</w:t>
      </w:r>
      <w:r>
        <w:rPr>
          <w:rFonts w:hint="eastAsia" w:ascii="宋体" w:hAnsi="宋体" w:eastAsia="宋体" w:cs="宋体"/>
          <w:color w:val="auto"/>
          <w:sz w:val="24"/>
          <w:szCs w:val="24"/>
          <w:u w:val="single"/>
        </w:rPr>
        <w:t>发包人和承包人的法定代表人或其委托代理人在合同协议书上签字并盖单位章后，合同生效</w:t>
      </w:r>
      <w:r>
        <w:rPr>
          <w:rFonts w:hint="eastAsia" w:ascii="宋体" w:hAnsi="宋体" w:eastAsia="宋体" w:cs="宋体"/>
          <w:color w:val="auto"/>
          <w:sz w:val="24"/>
          <w:szCs w:val="24"/>
        </w:rPr>
        <w:t>。</w:t>
      </w:r>
    </w:p>
    <w:p w14:paraId="7718E3E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1.6图纸和承包人文件</w:t>
      </w:r>
    </w:p>
    <w:p w14:paraId="70FC7A49">
      <w:pPr>
        <w:widowControl w:val="0"/>
        <w:kinsoku/>
        <w:wordWrap/>
        <w:overflowPunct/>
        <w:topLinePunct w:val="0"/>
        <w:autoSpaceDE/>
        <w:autoSpaceDN/>
        <w:bidi w:val="0"/>
        <w:spacing w:before="120" w:beforeLines="50" w:after="120" w:afterLines="50"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1.6.1图纸的提供</w:t>
      </w:r>
    </w:p>
    <w:p w14:paraId="6855A5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(1)发包人按照合同条款本项的约定向承包人提供图纸。承包人需要增加图纸套数的，发包人应代为复制，复制费用由承包人承担。</w:t>
      </w:r>
    </w:p>
    <w:p w14:paraId="198C96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176AD9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(3)发包人提供图纸的期限：</w:t>
      </w:r>
      <w:r>
        <w:rPr>
          <w:rFonts w:hint="eastAsia" w:ascii="宋体" w:hAnsi="宋体" w:eastAsia="宋体" w:cs="宋体"/>
          <w:color w:val="auto"/>
          <w:sz w:val="24"/>
          <w:szCs w:val="24"/>
          <w:u w:val="single"/>
        </w:rPr>
        <w:t>开工前三天</w:t>
      </w:r>
      <w:r>
        <w:rPr>
          <w:rFonts w:hint="eastAsia" w:ascii="宋体" w:hAnsi="宋体" w:eastAsia="宋体" w:cs="宋体"/>
          <w:color w:val="auto"/>
          <w:sz w:val="24"/>
          <w:szCs w:val="24"/>
        </w:rPr>
        <w:t>。</w:t>
      </w:r>
    </w:p>
    <w:p w14:paraId="05D842B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(4)发包人提供图纸的数量：</w:t>
      </w:r>
      <w:r>
        <w:rPr>
          <w:rFonts w:hint="eastAsia" w:ascii="宋体" w:hAnsi="宋体" w:eastAsia="宋体" w:cs="宋体"/>
          <w:color w:val="auto"/>
          <w:sz w:val="24"/>
          <w:szCs w:val="24"/>
          <w:u w:val="single"/>
        </w:rPr>
        <w:t xml:space="preserve">   三套   </w:t>
      </w:r>
      <w:r>
        <w:rPr>
          <w:rFonts w:hint="eastAsia" w:ascii="宋体" w:hAnsi="宋体" w:eastAsia="宋体" w:cs="宋体"/>
          <w:color w:val="auto"/>
          <w:sz w:val="24"/>
          <w:szCs w:val="24"/>
        </w:rPr>
        <w:t>。</w:t>
      </w:r>
    </w:p>
    <w:p w14:paraId="29C774C5">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1.6.2承包人提供的文件</w:t>
      </w:r>
    </w:p>
    <w:p w14:paraId="0830ED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auto"/>
          <w:sz w:val="24"/>
          <w:szCs w:val="24"/>
          <w:u w:val="single"/>
        </w:rPr>
        <w:t xml:space="preserve">   需要时按发包人及监理人要求                                                </w:t>
      </w:r>
    </w:p>
    <w:p w14:paraId="167DAFE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(2)承包人提供文件的期限：</w:t>
      </w:r>
      <w:r>
        <w:rPr>
          <w:rFonts w:hint="eastAsia" w:ascii="宋体" w:hAnsi="宋体" w:eastAsia="宋体" w:cs="宋体"/>
          <w:color w:val="auto"/>
          <w:sz w:val="24"/>
          <w:szCs w:val="24"/>
          <w:u w:val="single"/>
        </w:rPr>
        <w:t xml:space="preserve">  按发包人及监理人要求                             </w:t>
      </w:r>
    </w:p>
    <w:p w14:paraId="0C5F69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(3)承包人提供文件的数量：</w:t>
      </w:r>
      <w:r>
        <w:rPr>
          <w:rFonts w:hint="eastAsia" w:ascii="宋体" w:hAnsi="宋体" w:eastAsia="宋体" w:cs="宋体"/>
          <w:color w:val="auto"/>
          <w:sz w:val="24"/>
          <w:szCs w:val="24"/>
          <w:u w:val="single"/>
        </w:rPr>
        <w:t xml:space="preserve">  按发包人及监理人要求                                     </w:t>
      </w:r>
    </w:p>
    <w:p w14:paraId="62E55C1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(4)监理人批复承包人提供文件的期限：</w:t>
      </w:r>
      <w:r>
        <w:rPr>
          <w:rFonts w:hint="eastAsia" w:ascii="宋体" w:hAnsi="宋体" w:eastAsia="宋体" w:cs="宋体"/>
          <w:color w:val="auto"/>
          <w:sz w:val="24"/>
          <w:szCs w:val="24"/>
          <w:u w:val="single"/>
        </w:rPr>
        <w:t xml:space="preserve">  收到承包人提供的文件后10天内          </w:t>
      </w:r>
    </w:p>
    <w:p w14:paraId="32AB30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(5)其他约定：</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p>
    <w:p w14:paraId="6114C720">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1.6.3图纸的修改</w:t>
      </w:r>
    </w:p>
    <w:p w14:paraId="429EBE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监理人应当按照合同条款第1.6.1(2)目约定的有合同约束力的图纸供应计划，签发图纸修改图给承包人。</w:t>
      </w:r>
    </w:p>
    <w:p w14:paraId="3FED47D5">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1.7联络</w:t>
      </w:r>
    </w:p>
    <w:p w14:paraId="193BADB5">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1.7.1联络来往函件的送达和接收</w:t>
      </w:r>
    </w:p>
    <w:p w14:paraId="61880C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(1)联络来往信函的送达期限：合同约定了发出期限的，送达期限为合同约定的发出期限后的24小时内；合同约定了通知、提供或者报送期限的，通知、提供或者报送期限即为送达期限。</w:t>
      </w:r>
    </w:p>
    <w:p w14:paraId="15B820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(2)发包人指定的接收地点：</w:t>
      </w:r>
      <w:r>
        <w:rPr>
          <w:rFonts w:hint="eastAsia" w:ascii="宋体" w:hAnsi="宋体" w:eastAsia="宋体" w:cs="宋体"/>
          <w:color w:val="auto"/>
          <w:sz w:val="24"/>
          <w:szCs w:val="24"/>
          <w:u w:val="single"/>
        </w:rPr>
        <w:t xml:space="preserve"> 本工程现场发包人代表办公室</w:t>
      </w:r>
      <w:r>
        <w:rPr>
          <w:rFonts w:hint="eastAsia" w:ascii="宋体" w:hAnsi="宋体" w:eastAsia="宋体" w:cs="宋体"/>
          <w:color w:val="auto"/>
          <w:sz w:val="24"/>
          <w:szCs w:val="24"/>
        </w:rPr>
        <w:t>。</w:t>
      </w:r>
    </w:p>
    <w:p w14:paraId="00D8854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(3)发包人指定的接收人为：</w:t>
      </w:r>
      <w:r>
        <w:rPr>
          <w:rFonts w:hint="eastAsia" w:ascii="宋体" w:hAnsi="宋体" w:eastAsia="宋体" w:cs="宋体"/>
          <w:color w:val="auto"/>
          <w:sz w:val="24"/>
          <w:szCs w:val="24"/>
          <w:u w:val="single"/>
        </w:rPr>
        <w:t xml:space="preserve"> 发包人代表 </w:t>
      </w:r>
      <w:r>
        <w:rPr>
          <w:rFonts w:hint="eastAsia" w:ascii="宋体" w:hAnsi="宋体" w:eastAsia="宋体" w:cs="宋体"/>
          <w:color w:val="auto"/>
          <w:sz w:val="24"/>
          <w:szCs w:val="24"/>
        </w:rPr>
        <w:t>。</w:t>
      </w:r>
    </w:p>
    <w:p w14:paraId="5FAC61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(4)监理人指定的接收地点：</w:t>
      </w:r>
      <w:r>
        <w:rPr>
          <w:rFonts w:hint="eastAsia" w:ascii="宋体" w:hAnsi="宋体" w:eastAsia="宋体" w:cs="宋体"/>
          <w:color w:val="auto"/>
          <w:sz w:val="24"/>
          <w:szCs w:val="24"/>
          <w:u w:val="single"/>
        </w:rPr>
        <w:t xml:space="preserve"> 本工程现场总监代表办公室</w:t>
      </w:r>
      <w:r>
        <w:rPr>
          <w:rFonts w:hint="eastAsia" w:ascii="宋体" w:hAnsi="宋体" w:eastAsia="宋体" w:cs="宋体"/>
          <w:color w:val="auto"/>
          <w:sz w:val="24"/>
          <w:szCs w:val="24"/>
        </w:rPr>
        <w:t>。</w:t>
      </w:r>
    </w:p>
    <w:p w14:paraId="3AED9E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(5)监理人指定的接收人为：</w:t>
      </w:r>
      <w:r>
        <w:rPr>
          <w:rFonts w:hint="eastAsia" w:ascii="宋体" w:hAnsi="宋体" w:eastAsia="宋体" w:cs="宋体"/>
          <w:color w:val="auto"/>
          <w:sz w:val="24"/>
          <w:szCs w:val="24"/>
          <w:u w:val="single"/>
        </w:rPr>
        <w:t xml:space="preserve"> 总监或总监代表</w:t>
      </w:r>
      <w:r>
        <w:rPr>
          <w:rFonts w:hint="eastAsia" w:ascii="宋体" w:hAnsi="宋体" w:eastAsia="宋体" w:cs="宋体"/>
          <w:color w:val="auto"/>
          <w:sz w:val="24"/>
          <w:szCs w:val="24"/>
        </w:rPr>
        <w:t>。</w:t>
      </w:r>
    </w:p>
    <w:p w14:paraId="638D32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33407A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发包人(包括监理人)和承包人中任何一方指定的接收人或者接收地点发生变动，应当在实际变动前提前至少一个工作日以书面方式通知本合同其他方。发包人(包括监理人)和承包人应当确保其各自指定的接收人在法定的和(或)符合合同约定的工作时间内始终工作在指定的接收地点，指定接收人离开工作岗位而无法及时签收来往信函构成拒不签收。</w:t>
      </w:r>
    </w:p>
    <w:p w14:paraId="4EE9A2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发包人(包括监理人)和承包人中任何一方均应当及时签收本合同其他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0A448F78">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2.发包人义务</w:t>
      </w:r>
    </w:p>
    <w:p w14:paraId="5DCFA477">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2.1提供施工场地</w:t>
      </w:r>
    </w:p>
    <w:p w14:paraId="6566E1D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施工场地应当在监理人发出的开工通知中载明的开工日期前</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10406608">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2.2组织设计交底</w:t>
      </w:r>
    </w:p>
    <w:p w14:paraId="062087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4A8B505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2.3其他义务</w:t>
      </w:r>
    </w:p>
    <w:p w14:paraId="2036C8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(1)按有关规定及时办理工程质量监督手续。</w:t>
      </w:r>
    </w:p>
    <w:p w14:paraId="4755445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(2)根据建设行政主管部门和(或)城市建设档案管理机构的规定，收集、整理、立卷、归档工程资料，并按规定时间向建设行政主管部门或者城市建设档案管理机构移交规定的工程档案。</w:t>
      </w:r>
    </w:p>
    <w:p w14:paraId="6474FEF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63BB20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(4)发包人应当履行合同约定的其他义务以及下述义务：</w:t>
      </w:r>
      <w:r>
        <w:rPr>
          <w:rFonts w:hint="eastAsia" w:ascii="宋体" w:hAnsi="宋体" w:eastAsia="宋体" w:cs="宋体"/>
          <w:color w:val="auto"/>
          <w:sz w:val="24"/>
          <w:szCs w:val="24"/>
          <w:u w:val="single"/>
        </w:rPr>
        <w:t xml:space="preserve"> / 。</w:t>
      </w:r>
    </w:p>
    <w:p w14:paraId="4CD45745">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3.监理人</w:t>
      </w:r>
    </w:p>
    <w:p w14:paraId="10AF1FB7">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3.1监理人的职责和权力</w:t>
      </w:r>
    </w:p>
    <w:p w14:paraId="1A8888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3.1.1须经发包人批准行使的权力：</w:t>
      </w:r>
      <w:r>
        <w:rPr>
          <w:rFonts w:hint="eastAsia" w:ascii="宋体" w:hAnsi="宋体" w:eastAsia="宋体" w:cs="宋体"/>
          <w:color w:val="auto"/>
          <w:sz w:val="24"/>
          <w:szCs w:val="24"/>
          <w:u w:val="single"/>
        </w:rPr>
        <w:t xml:space="preserve"> 涉及本工程分包、变更、价款、费用、质量、工期的事项及监理合同中须发包人书面盖章批准才能行使的监理人的权利。  </w:t>
      </w:r>
    </w:p>
    <w:p w14:paraId="1458AA6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不管通用合同条款第3.1.1项如何约定，监理人履行须经发包人批准行使的权力时，应当向承包人出示其行使该权利已经取得发包人书面批准的文件或者其他合法有效的证明。</w:t>
      </w:r>
    </w:p>
    <w:p w14:paraId="0211FE9B">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3.2监理人员</w:t>
      </w:r>
    </w:p>
    <w:p w14:paraId="6158E1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3.2.1总监理工程师不应将第3.5款约定应由总监理工程师作出确定的权力授权或者委托给其他监理人员。</w:t>
      </w:r>
    </w:p>
    <w:p w14:paraId="4981FF3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3.3监理人的指示</w:t>
      </w:r>
    </w:p>
    <w:p w14:paraId="6E8E89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3.3.1除通用合同条款已有的专门约定外，承包人只能从总监理工程师或按第3.3.1项授权的监理人员处取得指示，发包人应当通过监理人向承包人发出指示。</w:t>
      </w:r>
    </w:p>
    <w:p w14:paraId="62F7963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3.4监理人的宽恕</w:t>
      </w:r>
    </w:p>
    <w:p w14:paraId="43F90E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4A76E84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w:t>
      </w:r>
    </w:p>
    <w:p w14:paraId="588455E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4.1承包人的一般义务</w:t>
      </w:r>
    </w:p>
    <w:p w14:paraId="158ECF6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4626FBA0">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4.1.8为他人提供方便</w:t>
      </w:r>
    </w:p>
    <w:p w14:paraId="1022C2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对在施工场地或者附近实施与合同工程有关的其他工作的独立承包人履行管理、协调、配合、照管和服务义务，由此发生的费用被视为已经包括在承包人的签约合同价(投标总报价)中，结算时不再另行计取。具体工作内容和要求包括：</w:t>
      </w:r>
      <w:r>
        <w:rPr>
          <w:rFonts w:hint="eastAsia" w:ascii="宋体" w:hAnsi="宋体" w:eastAsia="宋体" w:cs="宋体"/>
          <w:color w:val="auto"/>
          <w:sz w:val="24"/>
          <w:szCs w:val="24"/>
          <w:u w:val="single"/>
        </w:rPr>
        <w:t xml:space="preserve">根据施工过程中实际情况由发包人和监理人指派并审批，承包人应无条件配合 </w:t>
      </w:r>
      <w:r>
        <w:rPr>
          <w:rFonts w:hint="eastAsia" w:ascii="宋体" w:hAnsi="宋体" w:eastAsia="宋体" w:cs="宋体"/>
          <w:color w:val="auto"/>
          <w:sz w:val="24"/>
          <w:szCs w:val="24"/>
        </w:rPr>
        <w:t>。</w:t>
      </w:r>
    </w:p>
    <w:p w14:paraId="532F14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(2)承包人还应按监理人指示为独立承包人以外的他人在施工场地或者附近实施与合同工程有关的其他工作提供可能的条件，可能发生费用由监理人按第3.5款商定或者确定。</w:t>
      </w:r>
    </w:p>
    <w:p w14:paraId="73C07D75">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4.1.10其他义务</w:t>
      </w:r>
    </w:p>
    <w:p w14:paraId="6566AF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color w:val="auto"/>
          <w:sz w:val="24"/>
          <w:szCs w:val="24"/>
          <w:u w:val="single"/>
        </w:rPr>
        <w:t xml:space="preserve">需要时发包人与承包人另行约定         </w:t>
      </w:r>
      <w:r>
        <w:rPr>
          <w:rFonts w:hint="eastAsia" w:ascii="宋体" w:hAnsi="宋体" w:eastAsia="宋体" w:cs="宋体"/>
          <w:color w:val="auto"/>
          <w:sz w:val="24"/>
          <w:szCs w:val="24"/>
        </w:rPr>
        <w:t>。</w:t>
      </w:r>
    </w:p>
    <w:p w14:paraId="22A910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(2)承包人应履行合同约定的其他义务以及下述义务：</w:t>
      </w:r>
      <w:r>
        <w:rPr>
          <w:rFonts w:hint="eastAsia" w:ascii="宋体" w:hAnsi="宋体" w:eastAsia="宋体" w:cs="宋体"/>
          <w:color w:val="auto"/>
          <w:sz w:val="24"/>
          <w:szCs w:val="24"/>
          <w:u w:val="single"/>
        </w:rPr>
        <w:t xml:space="preserve">需要时发包人与承包人另行约定  </w:t>
      </w:r>
      <w:r>
        <w:rPr>
          <w:rFonts w:hint="eastAsia" w:ascii="宋体" w:hAnsi="宋体" w:eastAsia="宋体" w:cs="宋体"/>
          <w:color w:val="auto"/>
          <w:sz w:val="24"/>
          <w:szCs w:val="24"/>
        </w:rPr>
        <w:t>。</w:t>
      </w:r>
    </w:p>
    <w:p w14:paraId="6AD274A5">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4.2履约担保</w:t>
      </w:r>
    </w:p>
    <w:p w14:paraId="52EE9A6D">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无。</w:t>
      </w:r>
    </w:p>
    <w:p w14:paraId="2E8B9968">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4.3分包</w:t>
      </w:r>
    </w:p>
    <w:p w14:paraId="0C5545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4.3.2发包人同意承包人分包的非主体、非关键性工作见投标函附录。除通用合同条款第4.3款的约定外，分包还应遵循以下约定：</w:t>
      </w:r>
    </w:p>
    <w:p w14:paraId="513558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2DC024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(2)在相关分包合同签订并报送有关建设行政主管部门备案后7天内，承包人应当将一份副本提交给监理人，承包人应保障分包工作不得再次分包。</w:t>
      </w:r>
    </w:p>
    <w:p w14:paraId="5208BD9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45288F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(5)未经发包人和监理人审批同意的分包工程和分包人，发包人有权拒绝验收分包工程和支付相应款项，由此引起的发包人费用增加和(或)延误的工期由承包人承担。</w:t>
      </w:r>
    </w:p>
    <w:p w14:paraId="7E8669B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4.5承包人项目经理</w:t>
      </w:r>
    </w:p>
    <w:p w14:paraId="3DBA63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161A2B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4.5.5</w:t>
      </w:r>
      <w:r>
        <w:rPr>
          <w:rFonts w:hint="eastAsia" w:ascii="宋体" w:hAnsi="宋体" w:eastAsia="宋体" w:cs="宋体"/>
          <w:b/>
          <w:bCs/>
          <w:color w:val="auto"/>
          <w:sz w:val="24"/>
          <w:szCs w:val="24"/>
          <w:u w:val="single"/>
        </w:rPr>
        <w:t>项目经理及管理班子人员名单（包括项目副经理、技术负责人、商务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w:t>
      </w:r>
    </w:p>
    <w:p w14:paraId="612A0B9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项目经理及承包人项目部主要管理人员（包括项目副经理、技术负责人、商务负责人、预算员、施工员、安全员等）不得擅自更换。如承包人代表确需易人，承包人应提前15天书面通知发包人，经发包人批准后方可易人，后任继续承担前任应负的责任。</w:t>
      </w:r>
    </w:p>
    <w:p w14:paraId="6F048F3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未经发包人同意，承包人不得擅自更换，项目经理每更换一次，承包人须支付违约金人民币150,000元；承包人在收到更换通知七日历天内上报新项目经理资质报，发包人审批合格后进场，否则按照人民币10,000元/天向发包人支付违约金。</w:t>
      </w:r>
    </w:p>
    <w:p w14:paraId="49FDE2D3">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未经发包人同意，其他管理人员（指技术负责人、商务负责人、现场经理、质量员、安全员）每更换一次，承包人须支付违约金人民币5,000元。</w:t>
      </w:r>
    </w:p>
    <w:p w14:paraId="6D29DC41">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需开除人员，经发包人提出后，必须在24小时内调离本工程范围，否则每人次承包人支付发包人违约金人民币2,000元；同时，承包人应在3天内用发包人批准的合格的人员代替上述调离的任何人员。</w:t>
      </w:r>
    </w:p>
    <w:p w14:paraId="0D83B37D">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将扣罚合同价2</w:t>
      </w:r>
      <w:r>
        <w:rPr>
          <w:rFonts w:hint="eastAsia" w:ascii="宋体" w:hAnsi="宋体" w:eastAsia="宋体" w:cs="宋体"/>
          <w:b/>
          <w:color w:val="auto"/>
          <w:sz w:val="24"/>
          <w:szCs w:val="24"/>
          <w:u w:val="single"/>
        </w:rPr>
        <w:t>％</w:t>
      </w:r>
      <w:r>
        <w:rPr>
          <w:rFonts w:hint="eastAsia" w:ascii="宋体" w:hAnsi="宋体" w:eastAsia="宋体" w:cs="宋体"/>
          <w:b/>
          <w:bCs/>
          <w:color w:val="auto"/>
          <w:sz w:val="24"/>
          <w:szCs w:val="24"/>
          <w:u w:val="single"/>
        </w:rPr>
        <w:t>作为违约金，发包人有权解除合同。发包人可以随时要求承包人更换不合格的项目经理。</w:t>
      </w:r>
    </w:p>
    <w:p w14:paraId="07EFAB1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u w:val="single"/>
        </w:rPr>
        <w:t>本条未提到的项目经理其它权利和义务执行合同通用条款</w:t>
      </w:r>
      <w:r>
        <w:rPr>
          <w:rFonts w:hint="eastAsia" w:ascii="宋体" w:hAnsi="宋体" w:eastAsia="宋体" w:cs="宋体"/>
          <w:b/>
          <w:bCs/>
          <w:color w:val="auto"/>
          <w:sz w:val="24"/>
          <w:szCs w:val="24"/>
        </w:rPr>
        <w:t>。</w:t>
      </w:r>
    </w:p>
    <w:p w14:paraId="6B7A618E">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4.11不利物质条件</w:t>
      </w:r>
    </w:p>
    <w:p w14:paraId="1603380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4.11.1不利物质条件的范围：</w:t>
      </w:r>
      <w:r>
        <w:rPr>
          <w:rFonts w:hint="eastAsia" w:ascii="宋体" w:hAnsi="宋体" w:eastAsia="宋体" w:cs="宋体"/>
          <w:color w:val="auto"/>
          <w:sz w:val="24"/>
          <w:szCs w:val="24"/>
          <w:u w:val="single"/>
        </w:rPr>
        <w:t>不利物质条件指承包人在施工场地遇到的不可预见的自然物质条件、非自然的物质障碍和污染物，包括地下和水文条件，但不包括气候条件。</w:t>
      </w:r>
    </w:p>
    <w:p w14:paraId="407C555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4.11.3</w:t>
      </w:r>
      <w:r>
        <w:rPr>
          <w:rFonts w:hint="eastAsia" w:ascii="宋体" w:hAnsi="宋体" w:eastAsia="宋体" w:cs="宋体"/>
          <w:color w:val="auto"/>
          <w:sz w:val="24"/>
          <w:szCs w:val="24"/>
          <w:u w:val="single"/>
        </w:rPr>
        <w:t>在不利物质条件发生之前，监理人已经指示承包人有可能发生，但承包人未能及时采取有效措施，而导致的损失和后果均由承包人承担。</w:t>
      </w:r>
    </w:p>
    <w:p w14:paraId="18520D7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5.材料和工程设备</w:t>
      </w:r>
    </w:p>
    <w:p w14:paraId="7E5F8F7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5.1承包人提供的材料和工程设备</w:t>
      </w:r>
    </w:p>
    <w:p w14:paraId="1A2C57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5.1.1除专用合同条款第5.2款约定由发包人提供的材料和工程设备外，由承包人提供的材料和工程设备均由承包人负责采购、运输和保管。但是，发包人在招标时给定暂估价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0CA8A33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承包人负责提供的材料和工程设备，技术标准和要求中有规定的必须优于或等同于技术标准和要求中的规定。</w:t>
      </w:r>
    </w:p>
    <w:p w14:paraId="2BA9F839">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承包人负责提供的主要材料和工程设备必须经发包人和承包人共同考察，经发包人书面确定材料品牌、规格后方可投入工程。</w:t>
      </w:r>
    </w:p>
    <w:p w14:paraId="377652B4">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承包人所采购的材料必须达到国标标准，并满足一次性验收合格。</w:t>
      </w:r>
    </w:p>
    <w:p w14:paraId="4335947C">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u w:val="single"/>
        </w:rPr>
        <w:t>材料进场验收要求：货物验收必须以本合同规定的货物品牌、规格、型号、产地和质量检验标准为依据。货物品种、规格、型号、质量不符合合同约定的，承包人应在3日内将其搬离发包人现场，因此产生的费用由承包人自行承担，并向发包人支付由此导致的5000-30000元的违约金和对发包人产生的一切经济损失。若承包人在采购前提供样品的，承包人交付的货物，不但需满足国家规范质量标准，并需达到样品的质量标准。若货物与样品不符，承包人应立即清除现场并及时更换合格产品，因此产生的费用由承包人自行承担，并向发包人支付由此导致的5000-30000元的违约金。未经批准，承包人私自将已按照合同约定进入施工现场的材料或设备撤离施工现场的，并承担由此导致的5000-30000元的违约责任。因承包人自购的材料、货物不符合设计标准和技术标准导致的工期延误，由承包人自行承担，总工期不顺延（造成总工期延误，</w:t>
      </w:r>
      <w:r>
        <w:rPr>
          <w:rFonts w:hint="eastAsia" w:ascii="宋体" w:hAnsi="宋体" w:eastAsia="宋体" w:cs="宋体"/>
          <w:b/>
          <w:bCs/>
          <w:color w:val="auto"/>
          <w:sz w:val="24"/>
          <w:szCs w:val="24"/>
          <w:u w:val="single"/>
        </w:rPr>
        <w:t>按照第11.5的约定执行</w:t>
      </w:r>
      <w:r>
        <w:rPr>
          <w:rFonts w:hint="eastAsia" w:ascii="宋体" w:hAnsi="宋体" w:eastAsia="宋体" w:cs="宋体"/>
          <w:b/>
          <w:color w:val="auto"/>
          <w:sz w:val="24"/>
          <w:szCs w:val="24"/>
          <w:u w:val="single"/>
        </w:rPr>
        <w:t>）。</w:t>
      </w:r>
    </w:p>
    <w:p w14:paraId="23F991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5.1.2承包人将由其提供的材料和工程设备的供货人及品种、规格、数量和供货时间等报送监理人审批的期限：</w:t>
      </w:r>
      <w:r>
        <w:rPr>
          <w:rFonts w:hint="eastAsia" w:ascii="宋体" w:hAnsi="宋体" w:eastAsia="宋体" w:cs="宋体"/>
          <w:color w:val="auto"/>
          <w:sz w:val="24"/>
          <w:szCs w:val="24"/>
          <w:u w:val="single"/>
        </w:rPr>
        <w:t xml:space="preserve">相关分部分项工程开始施工前7天报送监理人审批。 </w:t>
      </w:r>
    </w:p>
    <w:p w14:paraId="46508FD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5.2发包人提供的材料和工程设备</w:t>
      </w:r>
    </w:p>
    <w:p w14:paraId="727860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5.2.1发包人负责提供的材料和工程设备的名称、规格、数量、价格、交货方式、交货地点和计划交货日期等确定后7日内转交给承包人。</w:t>
      </w:r>
    </w:p>
    <w:p w14:paraId="190C2F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5.2.3由发包人提供的材料和工程设备验收后，由承包人负责接收（含卸车）、运输和保管及二次运输，由此发生的费用被认为已经包括</w:t>
      </w:r>
      <w:r>
        <w:rPr>
          <w:rFonts w:hint="eastAsia" w:ascii="宋体" w:hAnsi="宋体" w:eastAsia="宋体" w:cs="宋体"/>
          <w:color w:val="auto"/>
          <w:sz w:val="24"/>
          <w:szCs w:val="24"/>
          <w:lang w:eastAsia="zh-CN"/>
        </w:rPr>
        <w:t>（均摊）</w:t>
      </w:r>
      <w:r>
        <w:rPr>
          <w:rFonts w:hint="eastAsia" w:ascii="宋体" w:hAnsi="宋体" w:eastAsia="宋体" w:cs="宋体"/>
          <w:color w:val="auto"/>
          <w:sz w:val="24"/>
          <w:szCs w:val="24"/>
        </w:rPr>
        <w:t>在承包人的</w:t>
      </w:r>
      <w:r>
        <w:rPr>
          <w:rFonts w:hint="eastAsia" w:ascii="宋体" w:hAnsi="宋体" w:eastAsia="宋体" w:cs="宋体"/>
          <w:color w:val="auto"/>
          <w:sz w:val="24"/>
          <w:szCs w:val="24"/>
          <w:u w:val="none"/>
          <w:lang w:val="en-US" w:eastAsia="zh-CN"/>
        </w:rPr>
        <w:t>固定含税</w:t>
      </w:r>
      <w:r>
        <w:rPr>
          <w:rFonts w:hint="eastAsia" w:ascii="宋体" w:hAnsi="宋体" w:eastAsia="宋体" w:cs="宋体"/>
          <w:color w:val="auto"/>
          <w:sz w:val="24"/>
          <w:szCs w:val="24"/>
          <w:u w:val="none"/>
        </w:rPr>
        <w:t>全费用综合单价</w:t>
      </w:r>
      <w:r>
        <w:rPr>
          <w:rFonts w:hint="eastAsia" w:ascii="宋体" w:hAnsi="宋体" w:eastAsia="宋体" w:cs="宋体"/>
          <w:color w:val="auto"/>
          <w:sz w:val="24"/>
          <w:szCs w:val="24"/>
        </w:rPr>
        <w:t>中，结算时不再另行计取。</w:t>
      </w:r>
    </w:p>
    <w:p w14:paraId="3F18D0E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5.2.4（1）发包人有权视情况更改本工程所有材料的供应方式，承包人不得有异议，并不得为此向发包人提出任何索赔。</w:t>
      </w:r>
    </w:p>
    <w:p w14:paraId="6496996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如有需定价材料，在认价过程中，承包人与发包人对材料价格达成一致，双方必须在48小时内签署书面确认资料，承包人不得以发包人未核价为由拖延或者拒绝施工以致于影响工期，发包人有权直接委托第三方施工或供货，相关费用并增加20%管理费从承包人工程款中扣除。</w:t>
      </w:r>
    </w:p>
    <w:p w14:paraId="142FDD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（3）在双方认价过程中，如发包人给与的最高限价能够采购到该产品，承包人不给予确认，发包人有权改变材料供应方式，该材料价格在结算中按材料价格的120%扣除。</w:t>
      </w:r>
    </w:p>
    <w:p w14:paraId="1CCB174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5.5第5条补充如下：</w:t>
      </w:r>
    </w:p>
    <w:p w14:paraId="752FB4B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5.5.1发包人有权视情况更改本工程所有材料的供应方式，承包人不得有异议，并不得为此向发包人提出任何索赔。</w:t>
      </w:r>
    </w:p>
    <w:p w14:paraId="08F4C0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5.5.2如有需定价材料，在认价过程中，承包人与发包人对材料价格达成一致，双方必须在48小时内签署书面确认资料，承包人不得以发包人未核价为由拖延或者拒绝施工以致于影响工期，发包人有权直接委托第三方施工或供货，相关费用并增加20%管理费从承包人工程款中扣除。</w:t>
      </w:r>
    </w:p>
    <w:p w14:paraId="5307AF7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5.5.3在双方认价过程中，如发包人给与的最高限价能够采购到该产品，承包人不给予确认，发包人有权改变材料供应方式，该材料价格在结算中按材料价格的120%扣除。</w:t>
      </w:r>
    </w:p>
    <w:p w14:paraId="53D5114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6.施工设备和临时设施</w:t>
      </w:r>
    </w:p>
    <w:p w14:paraId="41F3393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6.1承包人提供的施工设备和临时设施</w:t>
      </w:r>
    </w:p>
    <w:p w14:paraId="2DBB4F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6.1.2发包人承担修建临时设施的费用的范围：</w:t>
      </w:r>
      <w:r>
        <w:rPr>
          <w:rFonts w:hint="eastAsia" w:ascii="宋体" w:hAnsi="宋体" w:eastAsia="宋体" w:cs="宋体"/>
          <w:color w:val="auto"/>
          <w:sz w:val="24"/>
          <w:szCs w:val="24"/>
          <w:u w:val="single"/>
        </w:rPr>
        <w:t xml:space="preserve">               无</w:t>
      </w:r>
      <w:r>
        <w:rPr>
          <w:rFonts w:hint="eastAsia" w:ascii="宋体" w:hAnsi="宋体" w:eastAsia="宋体" w:cs="宋体"/>
          <w:color w:val="auto"/>
          <w:sz w:val="24"/>
          <w:szCs w:val="24"/>
        </w:rPr>
        <w:t>。</w:t>
      </w:r>
    </w:p>
    <w:p w14:paraId="7D05E09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需要发包人办理申请手续和承担相关费用的临时占地：</w:t>
      </w:r>
      <w:r>
        <w:rPr>
          <w:rFonts w:hint="eastAsia" w:ascii="宋体" w:hAnsi="宋体" w:eastAsia="宋体" w:cs="宋体"/>
          <w:color w:val="auto"/>
          <w:sz w:val="24"/>
          <w:szCs w:val="24"/>
          <w:u w:val="single"/>
        </w:rPr>
        <w:t xml:space="preserve">        无</w:t>
      </w:r>
      <w:r>
        <w:rPr>
          <w:rFonts w:hint="eastAsia" w:ascii="宋体" w:hAnsi="宋体" w:eastAsia="宋体" w:cs="宋体"/>
          <w:color w:val="auto"/>
          <w:sz w:val="24"/>
          <w:szCs w:val="24"/>
        </w:rPr>
        <w:t>。</w:t>
      </w:r>
    </w:p>
    <w:p w14:paraId="3CC2F99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6.2发包人提供的施工设备和临时设施</w:t>
      </w:r>
    </w:p>
    <w:p w14:paraId="406A8D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606F6A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发包人提供的施工设备和临时设施的运行、维护、拆除、清运费用的承担人：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EE983C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6.4施工设备和临时设施专用于合同工程</w:t>
      </w:r>
    </w:p>
    <w:p w14:paraId="175FB0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6.4.1除为专用合同条款第4.1.8项约定的其他独立承包人和监理人指示的他人提供条件外，承包人运入施工场地的所有施工设备以及在施工场地建设的临时设施仅限于用于合同工程。</w:t>
      </w:r>
    </w:p>
    <w:p w14:paraId="76D50CD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7.交通运输</w:t>
      </w:r>
    </w:p>
    <w:p w14:paraId="280085F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7.1道路通行权和场外设施</w:t>
      </w:r>
    </w:p>
    <w:p w14:paraId="057131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取得道路通行权、场外设施修建权的办理人：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，其相关费用由承包人承担。</w:t>
      </w:r>
    </w:p>
    <w:p w14:paraId="7E06164A">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7.2场内施工道路</w:t>
      </w:r>
    </w:p>
    <w:p w14:paraId="47A7FB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7.2.1施工所需的场内临时道路和交通设施的修建、维护、养护和管理人：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，相关费用由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14:paraId="6F7994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7.2.2发包人和监理人有权无偿使用承包人修建的临时道路和交通设施，不需要交纳任何费用。</w:t>
      </w:r>
    </w:p>
    <w:p w14:paraId="2E5497B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7.4超大件和超重件的运输</w:t>
      </w:r>
    </w:p>
    <w:p w14:paraId="28BE59B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运输超大件或超重件所需的道路和桥梁临时加固改造等费用的承担人：</w:t>
      </w:r>
      <w:r>
        <w:rPr>
          <w:rFonts w:hint="eastAsia" w:ascii="宋体" w:hAnsi="宋体" w:eastAsia="宋体" w:cs="宋体"/>
          <w:color w:val="auto"/>
          <w:sz w:val="24"/>
          <w:szCs w:val="24"/>
          <w:u w:val="single"/>
        </w:rPr>
        <w:t xml:space="preserve"> 承包人</w:t>
      </w:r>
      <w:r>
        <w:rPr>
          <w:rFonts w:hint="eastAsia" w:ascii="宋体" w:hAnsi="宋体" w:eastAsia="宋体" w:cs="宋体"/>
          <w:color w:val="auto"/>
          <w:sz w:val="24"/>
          <w:szCs w:val="24"/>
        </w:rPr>
        <w:t>。</w:t>
      </w:r>
    </w:p>
    <w:p w14:paraId="3AD5451E">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8.测量放线</w:t>
      </w:r>
    </w:p>
    <w:p w14:paraId="345BA07A">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8.1施工控制网</w:t>
      </w:r>
    </w:p>
    <w:p w14:paraId="55FDEBE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8.1.1发包人通过监理人提供测量基准点、基准线和水准点及其书面资料的期限：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3A1D85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承包人测设施工控制网的要求：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665BF09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承包人将施工控制网资料报送监理人审批的期限：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E520D2A">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9.施工安全、治安保卫和环境保护</w:t>
      </w:r>
    </w:p>
    <w:p w14:paraId="7967261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9.2承包人的施工安全责任</w:t>
      </w:r>
    </w:p>
    <w:p w14:paraId="174FC5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9.2.1承包人向监理人报送施工安全措施计划的期限：</w:t>
      </w:r>
      <w:r>
        <w:rPr>
          <w:rFonts w:hint="eastAsia" w:ascii="宋体" w:hAnsi="宋体" w:eastAsia="宋体" w:cs="宋体"/>
          <w:color w:val="auto"/>
          <w:sz w:val="24"/>
          <w:szCs w:val="24"/>
          <w:u w:val="single"/>
        </w:rPr>
        <w:t xml:space="preserve"> 签订施工合同后7天内 </w:t>
      </w:r>
      <w:r>
        <w:rPr>
          <w:rFonts w:hint="eastAsia" w:ascii="宋体" w:hAnsi="宋体" w:eastAsia="宋体" w:cs="宋体"/>
          <w:color w:val="auto"/>
          <w:sz w:val="24"/>
          <w:szCs w:val="24"/>
        </w:rPr>
        <w:t>。</w:t>
      </w:r>
    </w:p>
    <w:p w14:paraId="648E538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监理人收到承包人报送的施工安全措施计划后应当在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天内给予批复。</w:t>
      </w:r>
    </w:p>
    <w:p w14:paraId="719025F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9.3治安保卫</w:t>
      </w:r>
    </w:p>
    <w:p w14:paraId="32D571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9.3.1承包人应当负责统一管理施工场地的治安保卫事项，履行合同工程的治安保卫职责。</w:t>
      </w:r>
    </w:p>
    <w:p w14:paraId="0A1B2C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9.3.3施工场地治安管理计划和突发治安事件紧急预案的编制责任人：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w:t>
      </w:r>
    </w:p>
    <w:p w14:paraId="287B8334">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9.4环境保护</w:t>
      </w:r>
    </w:p>
    <w:p w14:paraId="7E8592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9.4.2施工环保措施计划报送监理人审批的时间：</w:t>
      </w:r>
      <w:r>
        <w:rPr>
          <w:rFonts w:hint="eastAsia" w:ascii="宋体" w:hAnsi="宋体" w:eastAsia="宋体" w:cs="宋体"/>
          <w:color w:val="auto"/>
          <w:sz w:val="24"/>
          <w:szCs w:val="24"/>
          <w:u w:val="single"/>
        </w:rPr>
        <w:t xml:space="preserve">  签订施工合同后7天内      </w:t>
      </w:r>
      <w:r>
        <w:rPr>
          <w:rFonts w:hint="eastAsia" w:ascii="宋体" w:hAnsi="宋体" w:eastAsia="宋体" w:cs="宋体"/>
          <w:color w:val="auto"/>
          <w:sz w:val="24"/>
          <w:szCs w:val="24"/>
        </w:rPr>
        <w:t>。</w:t>
      </w:r>
    </w:p>
    <w:p w14:paraId="614D87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监理人收到承包人报送的施工环保措施计划后应当在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天内给予批复。</w:t>
      </w:r>
    </w:p>
    <w:p w14:paraId="1474EF9B">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10.进度计划</w:t>
      </w:r>
    </w:p>
    <w:p w14:paraId="054C5B8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10.1合同进度计划</w:t>
      </w:r>
    </w:p>
    <w:p w14:paraId="7356CFE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4"/>
          <w:szCs w:val="24"/>
        </w:rPr>
        <w:t>，施工进度计划中还应载明要求发包人组织设计人进行阶段性工程设计交底的时间。</w:t>
      </w:r>
    </w:p>
    <w:p w14:paraId="7A21E10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(2)监理人批复或对施工进度计划和施工方案说明提出修改意见的期限：自监理人收到承包人报送的相关进度计划和施工方案说明后14天内。</w:t>
      </w:r>
    </w:p>
    <w:p w14:paraId="7AEEA5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(3)承包人编制分阶段或分项施工进度计划和施工方案说明的内容：</w:t>
      </w:r>
      <w:r>
        <w:rPr>
          <w:rFonts w:hint="eastAsia" w:ascii="宋体" w:hAnsi="宋体" w:eastAsia="宋体" w:cs="宋体"/>
          <w:color w:val="auto"/>
          <w:sz w:val="24"/>
          <w:szCs w:val="24"/>
          <w:u w:val="single"/>
        </w:rPr>
        <w:t xml:space="preserve">        /          </w:t>
      </w:r>
    </w:p>
    <w:p w14:paraId="3D1E0F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承包人报送分阶段或分项施工进度计划和施工方案说明的期限：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19B65D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0D1D0F6A">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10.2合同进度计划的修订</w:t>
      </w:r>
    </w:p>
    <w:p w14:paraId="098FDF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(1)承包人报送修订合同进度计划申请报告和相关资料的期限：</w:t>
      </w:r>
      <w:r>
        <w:rPr>
          <w:rFonts w:hint="eastAsia" w:ascii="宋体" w:hAnsi="宋体" w:eastAsia="宋体" w:cs="宋体"/>
          <w:color w:val="auto"/>
          <w:sz w:val="24"/>
          <w:szCs w:val="24"/>
          <w:u w:val="single"/>
        </w:rPr>
        <w:t>实际进度发生滞后的当月25日前。</w:t>
      </w:r>
    </w:p>
    <w:p w14:paraId="473CE0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(2)监理人批复修订合同进度计划申请报告的期限：</w:t>
      </w:r>
      <w:r>
        <w:rPr>
          <w:rFonts w:hint="eastAsia" w:ascii="宋体" w:hAnsi="宋体" w:eastAsia="宋体" w:cs="宋体"/>
          <w:color w:val="auto"/>
          <w:sz w:val="24"/>
          <w:szCs w:val="24"/>
          <w:u w:val="single"/>
        </w:rPr>
        <w:t xml:space="preserve"> 收到修订合同进度计划申请报告后2天内。</w:t>
      </w:r>
    </w:p>
    <w:p w14:paraId="4541918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(3)监理人批复修订合同进度计划的期限：</w:t>
      </w:r>
      <w:r>
        <w:rPr>
          <w:rFonts w:hint="eastAsia" w:ascii="宋体" w:hAnsi="宋体" w:eastAsia="宋体" w:cs="宋体"/>
          <w:color w:val="auto"/>
          <w:sz w:val="24"/>
          <w:szCs w:val="24"/>
          <w:u w:val="single"/>
        </w:rPr>
        <w:t>收到修订合同进度计划后3天内</w:t>
      </w:r>
      <w:r>
        <w:rPr>
          <w:rFonts w:hint="eastAsia" w:ascii="宋体" w:hAnsi="宋体" w:eastAsia="宋体" w:cs="宋体"/>
          <w:color w:val="auto"/>
          <w:sz w:val="24"/>
          <w:szCs w:val="24"/>
        </w:rPr>
        <w:t>。</w:t>
      </w:r>
    </w:p>
    <w:p w14:paraId="43743468">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11.开工和竣工</w:t>
      </w:r>
    </w:p>
    <w:p w14:paraId="5366FDE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11.3发包人的工期延误</w:t>
      </w:r>
    </w:p>
    <w:p w14:paraId="32B3AFA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等延误承包人关键线路工作的情况。</w:t>
      </w:r>
    </w:p>
    <w:p w14:paraId="41B302D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11.4异常恶劣的气候条件</w:t>
      </w:r>
    </w:p>
    <w:p w14:paraId="05A4BA6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异常恶劣的气候条件的范围和标准：</w:t>
      </w:r>
      <w:r>
        <w:rPr>
          <w:rFonts w:hint="eastAsia" w:ascii="宋体" w:hAnsi="宋体" w:eastAsia="宋体" w:cs="宋体"/>
          <w:color w:val="auto"/>
          <w:sz w:val="24"/>
          <w:szCs w:val="24"/>
          <w:u w:val="single"/>
        </w:rPr>
        <w:t xml:space="preserve">  项目所在地30年以上一遇的罕见气候现象（包括温度、降水、降雪、风等）</w:t>
      </w:r>
      <w:r>
        <w:rPr>
          <w:rFonts w:hint="eastAsia" w:ascii="宋体" w:hAnsi="宋体" w:eastAsia="宋体" w:cs="宋体"/>
          <w:color w:val="auto"/>
          <w:sz w:val="24"/>
          <w:szCs w:val="24"/>
        </w:rPr>
        <w:t>。</w:t>
      </w:r>
    </w:p>
    <w:p w14:paraId="08D8EC83">
      <w:pPr>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11.5承包人的工期延误</w:t>
      </w:r>
    </w:p>
    <w:p w14:paraId="1DDBAA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承包人因自身原因未能按照约定的期限内完成本工程，或者未能在相应的期限完成本工程中某单项工程，每延误一天承包人向发包人支付违约金为合同签约总价的 5‰ 及由此引起的所有相关损失。发包人可以向承包人支付的任何款项中扣除此项违约金，此赔偿费的支付并不能解除承包人应完成工程的责任或本合同规定的其他责任。</w:t>
      </w:r>
    </w:p>
    <w:p w14:paraId="38E777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11.5.1、延期开工：承包人因故不能按时开工，应在约定的开工日期提前五天，向发包人提出延期开工的理由和要求。发包人书面同意延期要求的，工期方可相应顺延。否则，工期不予顺延。</w:t>
      </w:r>
    </w:p>
    <w:p w14:paraId="0F1B30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11.5.2、 暂停施工：发包人代表认为必要时，可提出暂停施工要求。承包人在实施发包人代表处理意见后，应及时提出复工要求，发包人书面予以答复后，方可复工；停工责任在发包人的，工期相应顺延。停工责任在承包人的，由承包人承担发生的费用，并向发包人支付违约金。</w:t>
      </w:r>
    </w:p>
    <w:p w14:paraId="62189E5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11.5.3、 工期延误：下列情况造成竣工日期推迟的，经发包人、监理方代表书面确认，工期相应顺延。</w:t>
      </w:r>
    </w:p>
    <w:p w14:paraId="0985B1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工程量变化和设计变更量超过总量的1/4时。</w:t>
      </w:r>
    </w:p>
    <w:p w14:paraId="582D9E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（2）一周内，非承包人原因停水、停电、扬尘治理、疫情影响施工造成停工连续超过48小时（不含48小时）。</w:t>
      </w:r>
    </w:p>
    <w:p w14:paraId="0B0A2F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（3）施工中遇到不可预见因素需处理时。</w:t>
      </w:r>
    </w:p>
    <w:p w14:paraId="2C1CF5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（4）不可抗力（指战争、动乱、空气飞行体坠落或其它非甲、乙双方造成的爆炸、火灾，以及协议条款约定的等级以上的风、雨、雪、震等对工程造成损害的自然灾害）。</w:t>
      </w:r>
    </w:p>
    <w:p w14:paraId="78D695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11.5.4、承包人在以上情况发生后当天内向发包人、监理方提出书面报告，发包人、监理方在收到报告后五天内予以确认答复，逾期不答复，承包人即可视为延期要求已被确认。</w:t>
      </w:r>
    </w:p>
    <w:p w14:paraId="1F326F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11.5.5、工期约定：为确保工程按期竣工验收，承包人必须按期保质保量并通过一次性验收合格，由承包人原因造成工期逾期的，每延期一天应承担合同签约总价的 5‰作为因延期给发包人造成损失的赔偿。</w:t>
      </w:r>
    </w:p>
    <w:p w14:paraId="15AFC38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11.6工期提前</w:t>
      </w:r>
    </w:p>
    <w:p w14:paraId="6C946B7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提前竣工的奖励办法：</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 xml:space="preserve"> 。</w:t>
      </w:r>
    </w:p>
    <w:p w14:paraId="078EA6B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12.暂停施工</w:t>
      </w:r>
    </w:p>
    <w:p w14:paraId="1ABE8E5C">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12.1承包人暂停施工的责任</w:t>
      </w:r>
    </w:p>
    <w:p w14:paraId="0235ED77">
      <w:pPr>
        <w:widowControl w:val="0"/>
        <w:kinsoku/>
        <w:wordWrap/>
        <w:overflowPunct/>
        <w:topLinePunct w:val="0"/>
        <w:autoSpaceDE/>
        <w:autoSpaceDN/>
        <w:bidi w:val="0"/>
        <w:spacing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(5)承包人承担暂停施工责任的其他情形：</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1B8A6FB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12.4暂停施工后的复工</w:t>
      </w:r>
    </w:p>
    <w:p w14:paraId="66DB16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4377E3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39F48D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12.4.5复工后，合同计价原则不变，仍按原合同计价，不因工期变化而调整。</w:t>
      </w:r>
    </w:p>
    <w:p w14:paraId="122C9D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12.4.6因政府主管部门扬尘治理原因通知暂缓施工的，承包人书面办理工期延期签证文件后，施工工期相应顺延，停工期间所产生的相关费用均由承包人承担。</w:t>
      </w:r>
    </w:p>
    <w:p w14:paraId="6FE90ED9">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13.工程质量：</w:t>
      </w:r>
    </w:p>
    <w:p w14:paraId="79444A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13.1工程质量要求</w:t>
      </w:r>
    </w:p>
    <w:p w14:paraId="168349E9">
      <w:pPr>
        <w:widowControl w:val="0"/>
        <w:kinsoku/>
        <w:wordWrap/>
        <w:overflowPunct/>
        <w:topLinePunct w:val="0"/>
        <w:autoSpaceDE/>
        <w:autoSpaceDN/>
        <w:bidi w:val="0"/>
        <w:spacing w:after="72" w:afterLines="30" w:line="360" w:lineRule="auto"/>
        <w:ind w:firstLine="480" w:firstLineChars="200"/>
        <w:textAlignment w:val="auto"/>
        <w:rPr>
          <w:rFonts w:hint="eastAsia" w:ascii="宋体" w:hAnsi="宋体" w:eastAsia="宋体" w:cs="宋体"/>
          <w:b/>
          <w:color w:val="auto"/>
          <w:sz w:val="24"/>
          <w:szCs w:val="24"/>
          <w:u w:val="single"/>
        </w:rPr>
      </w:pPr>
      <w:r>
        <w:rPr>
          <w:rFonts w:hint="eastAsia" w:ascii="宋体" w:hAnsi="宋体" w:eastAsia="宋体" w:cs="宋体"/>
          <w:color w:val="auto"/>
          <w:sz w:val="24"/>
          <w:szCs w:val="24"/>
        </w:rPr>
        <w:t>13.1.2</w:t>
      </w:r>
      <w:r>
        <w:rPr>
          <w:rFonts w:hint="eastAsia" w:ascii="宋体" w:hAnsi="宋体" w:eastAsia="宋体" w:cs="宋体"/>
          <w:b/>
          <w:color w:val="auto"/>
          <w:sz w:val="24"/>
          <w:szCs w:val="24"/>
          <w:u w:val="single"/>
        </w:rPr>
        <w:t>在工程施工过程中，因承包人偷工减料，使用劣质材料、不合格设备，或因技术、管理等自身原因，造成工程质量达不到合同约定验收标准的，发包人和监理人有权要求承包人返工直至符合合同要求为止，由此造成的费用增加和（或）工期延误由承包人承担。</w:t>
      </w:r>
    </w:p>
    <w:p w14:paraId="58AD6B1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所有施工的项目工程质量必须一次性满足设计图纸中的规定及要求，并达到一次性验收合格；否则，承包人无偿返工至验收合格为止。</w:t>
      </w:r>
    </w:p>
    <w:p w14:paraId="6F901AD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13.2承包人的质量管理</w:t>
      </w:r>
    </w:p>
    <w:p w14:paraId="76B8AFD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13.2.1承包人向监理人提交工程质量保证措施文件的期限：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14:paraId="607AE36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监理人审批工程质量保证措施文件的期限：</w:t>
      </w:r>
      <w:r>
        <w:rPr>
          <w:rFonts w:hint="eastAsia" w:ascii="宋体" w:hAnsi="宋体" w:eastAsia="宋体" w:cs="宋体"/>
          <w:color w:val="auto"/>
          <w:sz w:val="24"/>
          <w:szCs w:val="24"/>
          <w:u w:val="single"/>
        </w:rPr>
        <w:t>收到承包人报送的工程质量保证措施文件后3天内给予批复</w:t>
      </w:r>
      <w:r>
        <w:rPr>
          <w:rFonts w:hint="eastAsia" w:ascii="宋体" w:hAnsi="宋体" w:eastAsia="宋体" w:cs="宋体"/>
          <w:color w:val="auto"/>
          <w:sz w:val="24"/>
          <w:szCs w:val="24"/>
        </w:rPr>
        <w:t>。</w:t>
      </w:r>
    </w:p>
    <w:p w14:paraId="79B938AA">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13.3承包人的质量检查 </w:t>
      </w:r>
    </w:p>
    <w:p w14:paraId="27F9A0E0">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承包人向监理人报送工程质量报表的期限：</w:t>
      </w:r>
      <w:r>
        <w:rPr>
          <w:rFonts w:hint="eastAsia" w:ascii="宋体" w:hAnsi="宋体" w:eastAsia="宋体" w:cs="宋体"/>
          <w:color w:val="auto"/>
          <w:sz w:val="24"/>
          <w:szCs w:val="24"/>
          <w:u w:val="single"/>
        </w:rPr>
        <w:t xml:space="preserve">每月25日前  </w:t>
      </w:r>
      <w:r>
        <w:rPr>
          <w:rFonts w:hint="eastAsia" w:ascii="宋体" w:hAnsi="宋体" w:eastAsia="宋体" w:cs="宋体"/>
          <w:color w:val="auto"/>
          <w:sz w:val="24"/>
          <w:szCs w:val="24"/>
        </w:rPr>
        <w:t>。</w:t>
      </w:r>
    </w:p>
    <w:p w14:paraId="24EB25D1">
      <w:pPr>
        <w:widowControl w:val="0"/>
        <w:kinsoku/>
        <w:wordWrap/>
        <w:overflowPunct/>
        <w:topLinePunct w:val="0"/>
        <w:autoSpaceDE/>
        <w:autoSpaceDN/>
        <w:bidi w:val="0"/>
        <w:spacing w:before="120" w:beforeLines="5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承包人向监理人报送工程质量报表的要求：</w:t>
      </w:r>
      <w:r>
        <w:rPr>
          <w:rFonts w:hint="eastAsia" w:ascii="宋体" w:hAnsi="宋体" w:eastAsia="宋体" w:cs="宋体"/>
          <w:color w:val="auto"/>
          <w:sz w:val="24"/>
          <w:szCs w:val="24"/>
          <w:u w:val="single"/>
        </w:rPr>
        <w:t xml:space="preserve">  按规范及监理人要求  </w:t>
      </w:r>
      <w:r>
        <w:rPr>
          <w:rFonts w:hint="eastAsia" w:ascii="宋体" w:hAnsi="宋体" w:eastAsia="宋体" w:cs="宋体"/>
          <w:color w:val="auto"/>
          <w:sz w:val="24"/>
          <w:szCs w:val="24"/>
        </w:rPr>
        <w:t>。</w:t>
      </w:r>
    </w:p>
    <w:p w14:paraId="17F71147">
      <w:pPr>
        <w:widowControl w:val="0"/>
        <w:kinsoku/>
        <w:wordWrap/>
        <w:overflowPunct/>
        <w:topLinePunct w:val="0"/>
        <w:autoSpaceDE/>
        <w:autoSpaceDN/>
        <w:bidi w:val="0"/>
        <w:spacing w:before="120" w:beforeLines="5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监理人审查工程质量报表的期限：</w:t>
      </w:r>
      <w:r>
        <w:rPr>
          <w:rFonts w:hint="eastAsia" w:ascii="宋体" w:hAnsi="宋体" w:eastAsia="宋体" w:cs="宋体"/>
          <w:color w:val="auto"/>
          <w:sz w:val="24"/>
          <w:szCs w:val="24"/>
          <w:u w:val="single"/>
        </w:rPr>
        <w:t xml:space="preserve">收到承包人报送的工程质量报表后3天内  </w:t>
      </w:r>
      <w:r>
        <w:rPr>
          <w:rFonts w:hint="eastAsia" w:ascii="宋体" w:hAnsi="宋体" w:eastAsia="宋体" w:cs="宋体"/>
          <w:color w:val="auto"/>
          <w:sz w:val="24"/>
          <w:szCs w:val="24"/>
        </w:rPr>
        <w:t>。</w:t>
      </w:r>
    </w:p>
    <w:p w14:paraId="420AA627">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13.4监理人的质量检查</w:t>
      </w:r>
    </w:p>
    <w:p w14:paraId="5CD91967">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承包人应当为监理人的检查和检验提供方便，监理人可以进行察看和查阅施工原始记录的其他地方包括：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E973FA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13.5工程隐蔽部位覆盖前的检查</w:t>
      </w:r>
    </w:p>
    <w:p w14:paraId="3E4A59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13.5.1监理人对工程隐蔽部位进行检查的期限：</w:t>
      </w:r>
      <w:r>
        <w:rPr>
          <w:rFonts w:hint="eastAsia" w:ascii="宋体" w:hAnsi="宋体" w:eastAsia="宋体" w:cs="宋体"/>
          <w:color w:val="auto"/>
          <w:sz w:val="24"/>
          <w:szCs w:val="24"/>
          <w:u w:val="single"/>
        </w:rPr>
        <w:t xml:space="preserve"> 收到承包人的通知后3天内 </w:t>
      </w:r>
      <w:r>
        <w:rPr>
          <w:rFonts w:hint="eastAsia" w:ascii="宋体" w:hAnsi="宋体" w:eastAsia="宋体" w:cs="宋体"/>
          <w:color w:val="auto"/>
          <w:sz w:val="24"/>
          <w:szCs w:val="24"/>
        </w:rPr>
        <w:t>。</w:t>
      </w:r>
    </w:p>
    <w:p w14:paraId="7D062C2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13.7质量争议</w:t>
      </w:r>
    </w:p>
    <w:p w14:paraId="0618EA77">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13267B24">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15.变更</w:t>
      </w:r>
    </w:p>
    <w:p w14:paraId="7855CA08">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15.1变更的范围和内容</w:t>
      </w:r>
    </w:p>
    <w:p w14:paraId="1BAA90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应当进行变更的其他情形：</w:t>
      </w:r>
      <w:r>
        <w:rPr>
          <w:rFonts w:hint="eastAsia" w:ascii="宋体" w:hAnsi="宋体" w:eastAsia="宋体" w:cs="宋体"/>
          <w:color w:val="auto"/>
          <w:sz w:val="24"/>
          <w:szCs w:val="24"/>
          <w:u w:val="single"/>
        </w:rPr>
        <w:t xml:space="preserve">  发包方与承包方根据实际情况另行约定    </w:t>
      </w:r>
      <w:r>
        <w:rPr>
          <w:rFonts w:hint="eastAsia" w:ascii="宋体" w:hAnsi="宋体" w:eastAsia="宋体" w:cs="宋体"/>
          <w:color w:val="auto"/>
          <w:sz w:val="24"/>
          <w:szCs w:val="24"/>
        </w:rPr>
        <w:t>。</w:t>
      </w:r>
    </w:p>
    <w:p w14:paraId="6A45E71B">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违背通用合同条款15.1(1)目的约定，将被取消的合同中的工作转由发包人或其他人实施的，承包人可向监理人发出通知，要求发包人采取有效措施纠正违约行为。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014CCB7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15.3变更程序</w:t>
      </w:r>
    </w:p>
    <w:p w14:paraId="697CF2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15.3.2变更估价</w:t>
      </w:r>
    </w:p>
    <w:p w14:paraId="32C05F04">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(1)承包人提交变更报价书的期限：</w:t>
      </w:r>
      <w:r>
        <w:rPr>
          <w:rFonts w:hint="eastAsia" w:ascii="宋体" w:hAnsi="宋体" w:eastAsia="宋体" w:cs="宋体"/>
          <w:color w:val="auto"/>
          <w:sz w:val="24"/>
          <w:szCs w:val="24"/>
          <w:u w:val="single"/>
        </w:rPr>
        <w:t xml:space="preserve">   按工程变更报批程序办理 （参照发包人工程变更报批程序） </w:t>
      </w:r>
      <w:r>
        <w:rPr>
          <w:rFonts w:hint="eastAsia" w:ascii="宋体" w:hAnsi="宋体" w:eastAsia="宋体" w:cs="宋体"/>
          <w:color w:val="auto"/>
          <w:sz w:val="24"/>
          <w:szCs w:val="24"/>
        </w:rPr>
        <w:t>。</w:t>
      </w:r>
    </w:p>
    <w:p w14:paraId="7BAB86A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(3)监理人商定或确定变更价格的期限：</w:t>
      </w:r>
      <w:r>
        <w:rPr>
          <w:rFonts w:hint="eastAsia" w:ascii="宋体" w:hAnsi="宋体" w:eastAsia="宋体" w:cs="宋体"/>
          <w:color w:val="auto"/>
          <w:sz w:val="24"/>
          <w:szCs w:val="24"/>
          <w:u w:val="single"/>
        </w:rPr>
        <w:t xml:space="preserve">按工程变更报批程序办理 （参照发包人工程变更报批程序）  </w:t>
      </w:r>
      <w:r>
        <w:rPr>
          <w:rFonts w:hint="eastAsia" w:ascii="宋体" w:hAnsi="宋体" w:eastAsia="宋体" w:cs="宋体"/>
          <w:color w:val="auto"/>
          <w:sz w:val="24"/>
          <w:szCs w:val="24"/>
        </w:rPr>
        <w:t>。</w:t>
      </w:r>
    </w:p>
    <w:p w14:paraId="495B1F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(4)收到变更指示后，如承包人未在规定的期限内提交变更报价书的，监理人可自行决定是否调整合同价款以及如果监理人决定调整合同价款时，相应调整的具体金额。</w:t>
      </w:r>
    </w:p>
    <w:p w14:paraId="25A422D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15.4变更的估价原则</w:t>
      </w:r>
    </w:p>
    <w:p w14:paraId="257CB3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设计变更追加工程新增加的工程量清单项目，原招标控制价中（或合同中约定的价格）两者有冲突时以合同价格为准，有的按原招标控制价（或合同中约定的价格）确定。原招标控制价（或合同中约定的价格）中没有的按照以下编制依据执行：</w:t>
      </w:r>
    </w:p>
    <w:p w14:paraId="635B98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1）、《建设工程工程量清单计价规范》（GB 50500-2013）；</w:t>
      </w:r>
    </w:p>
    <w:p w14:paraId="299C7B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2）、《山东省建设工程工程量清单计价规则》；</w:t>
      </w:r>
    </w:p>
    <w:p w14:paraId="79387A2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3）、《2016山东省建筑、装饰、安装、园林工程消耗量定额》；                           </w:t>
      </w:r>
    </w:p>
    <w:p w14:paraId="4AA43F0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4）、《山东省建筑、装饰、安装、园林建设工程费用项目组成及计算规则》；</w:t>
      </w:r>
    </w:p>
    <w:p w14:paraId="1ADA96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5）、《建筑业营改增建设工程计价依据调整实施意见》（鲁建办[2019]10号）；</w:t>
      </w:r>
    </w:p>
    <w:p w14:paraId="28AB35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人工费执行合同签订时的邹城现行工日单价；施工过程中出现的零星用工，实际用工按150元/工日（每个工日不低于10个小时计算，包死价），只计取税金；</w:t>
      </w:r>
    </w:p>
    <w:p w14:paraId="10D161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材料、设备价格执行投标时的价格，投标文件中没有的由双方共同考察确定材料品牌、规格及价格，作为结算的依据。</w:t>
      </w:r>
    </w:p>
    <w:p w14:paraId="3F8E389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15.5承包人的合理化建议</w:t>
      </w:r>
    </w:p>
    <w:p w14:paraId="251497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15.5.2对承包人提出合理化建议的奖励方法：</w:t>
      </w:r>
      <w:r>
        <w:rPr>
          <w:rFonts w:hint="eastAsia" w:ascii="宋体" w:hAnsi="宋体" w:eastAsia="宋体" w:cs="宋体"/>
          <w:color w:val="auto"/>
          <w:sz w:val="24"/>
          <w:szCs w:val="24"/>
          <w:u w:val="single"/>
        </w:rPr>
        <w:t xml:space="preserve">   无                               </w:t>
      </w:r>
    </w:p>
    <w:p w14:paraId="167B2AF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15.8暂估价</w:t>
      </w:r>
    </w:p>
    <w:p w14:paraId="78ED36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7ECB53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(1)在任何招标工作启动前，承包人应当提前至少</w:t>
      </w:r>
      <w:r>
        <w:rPr>
          <w:rFonts w:hint="eastAsia" w:ascii="宋体" w:hAnsi="宋体" w:eastAsia="宋体" w:cs="宋体"/>
          <w:color w:val="auto"/>
          <w:sz w:val="24"/>
          <w:szCs w:val="24"/>
          <w:u w:val="single"/>
        </w:rPr>
        <w:t xml:space="preserve">  7  </w:t>
      </w:r>
      <w:r>
        <w:rPr>
          <w:rFonts w:hint="eastAsia" w:ascii="宋体" w:hAnsi="宋体" w:eastAsia="宋体" w:cs="宋体"/>
          <w:color w:val="auto"/>
          <w:sz w:val="24"/>
          <w:szCs w:val="24"/>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天内给予批准或者提出修改意见。承包人应当严格按照经过发包人批准的招标工作计划开展招标工作。</w:t>
      </w:r>
    </w:p>
    <w:p w14:paraId="518891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(2)承包人应当在发出招标公告(或者资格预审公告或者投标邀请书)、资格预审文件和招标文件前至少</w:t>
      </w:r>
      <w:r>
        <w:rPr>
          <w:rFonts w:hint="eastAsia" w:ascii="宋体" w:hAnsi="宋体" w:eastAsia="宋体" w:cs="宋体"/>
          <w:color w:val="auto"/>
          <w:sz w:val="24"/>
          <w:szCs w:val="24"/>
          <w:u w:val="single"/>
        </w:rPr>
        <w:t xml:space="preserve"> 7  </w:t>
      </w:r>
      <w:r>
        <w:rPr>
          <w:rFonts w:hint="eastAsia" w:ascii="宋体" w:hAnsi="宋体" w:eastAsia="宋体" w:cs="宋体"/>
          <w:color w:val="auto"/>
          <w:sz w:val="24"/>
          <w:szCs w:val="24"/>
        </w:rPr>
        <w:t>天，分别将相关文件通过监理人报请发包人审批，发包人应当在监理人收到承包人报送的相关文件后</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728D0D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(3)如果发、承包任何一方委派评标代表，评标委员会应当由七人以上单数构成。除发包人或者承包人自愿放弃委派评标代表的权利外，招标人评标代表应当分别由发包人和承包人等额委派。</w:t>
      </w:r>
    </w:p>
    <w:p w14:paraId="76A9BF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20EA7E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423D69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217E020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(7)承包人与专业分包人或者专项供应商订立合同前</w:t>
      </w:r>
      <w:r>
        <w:rPr>
          <w:rFonts w:hint="eastAsia" w:ascii="宋体" w:hAnsi="宋体" w:eastAsia="宋体" w:cs="宋体"/>
          <w:color w:val="auto"/>
          <w:sz w:val="24"/>
          <w:szCs w:val="24"/>
          <w:u w:val="single"/>
        </w:rPr>
        <w:t xml:space="preserve"> 7 </w:t>
      </w:r>
      <w:r>
        <w:rPr>
          <w:rFonts w:hint="eastAsia" w:ascii="宋体" w:hAnsi="宋体" w:eastAsia="宋体" w:cs="宋体"/>
          <w:color w:val="auto"/>
          <w:sz w:val="24"/>
          <w:szCs w:val="24"/>
        </w:rPr>
        <w:t>天，应当将准备用于正式签订的合同文件通过监理人报发包人审核，发包人应当在监理人收到相关文件后</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天内给予批准或者提出修改意见，承包人应当按照发包人批准的合同文件签订相关合同，合同订立后</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天内，承包人应当将其中的两份副本报送监理人，其中一份由监理人报发包人留存。</w:t>
      </w:r>
    </w:p>
    <w:p w14:paraId="332BF9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(8)发包人对承包人报送文件进行审批或提出的修改意见应当合理，并符合现行有关法律法规的规定。</w:t>
      </w:r>
    </w:p>
    <w:p w14:paraId="63EB85E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6B6313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15.8.2发包人给定暂估价的材料和工程设备不属于依法必须招标的范围或未达到规定的规模标准的，按照下列约定：</w:t>
      </w:r>
      <w:r>
        <w:rPr>
          <w:rFonts w:hint="eastAsia" w:ascii="宋体" w:hAnsi="宋体" w:cs="宋体"/>
          <w:b/>
          <w:color w:val="auto"/>
          <w:sz w:val="24"/>
          <w:szCs w:val="24"/>
          <w:u w:val="single"/>
          <w:lang w:val="en-US" w:eastAsia="zh-CN"/>
        </w:rPr>
        <w:t>本项目无暂估价</w:t>
      </w:r>
      <w:r>
        <w:rPr>
          <w:rFonts w:hint="eastAsia" w:ascii="宋体" w:hAnsi="宋体" w:eastAsia="宋体" w:cs="宋体"/>
          <w:color w:val="auto"/>
          <w:sz w:val="24"/>
          <w:szCs w:val="24"/>
          <w:u w:val="single"/>
        </w:rPr>
        <w:t>。</w:t>
      </w:r>
    </w:p>
    <w:p w14:paraId="0E9B267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16.价格调整</w:t>
      </w:r>
    </w:p>
    <w:p w14:paraId="31B587E4">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不调整</w:t>
      </w:r>
      <w:r>
        <w:rPr>
          <w:rFonts w:hint="eastAsia" w:ascii="宋体" w:hAnsi="宋体" w:eastAsia="宋体" w:cs="宋体"/>
          <w:color w:val="auto"/>
          <w:sz w:val="24"/>
          <w:szCs w:val="24"/>
        </w:rPr>
        <w:t>。</w:t>
      </w:r>
    </w:p>
    <w:p w14:paraId="5E7CF3DE">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17.计量与支付</w:t>
      </w:r>
    </w:p>
    <w:p w14:paraId="3E26EA77">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17.1计量</w:t>
      </w:r>
    </w:p>
    <w:p w14:paraId="63A298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17.1.2计量方法</w:t>
      </w:r>
    </w:p>
    <w:p w14:paraId="498771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工程量计算规则执行国家标准《建设工程工程量清单计价规范》(GB50500—2013)及</w:t>
      </w:r>
      <w:r>
        <w:rPr>
          <w:rFonts w:hint="eastAsia" w:ascii="宋体" w:hAnsi="宋体" w:eastAsia="宋体" w:cs="宋体"/>
          <w:b/>
          <w:color w:val="auto"/>
          <w:sz w:val="24"/>
          <w:szCs w:val="24"/>
        </w:rPr>
        <w:t>《山东省建设工程工程量清单计价规则》</w:t>
      </w:r>
      <w:r>
        <w:rPr>
          <w:rFonts w:hint="eastAsia" w:ascii="宋体" w:hAnsi="宋体" w:eastAsia="宋体" w:cs="宋体"/>
          <w:color w:val="auto"/>
          <w:sz w:val="24"/>
          <w:szCs w:val="24"/>
        </w:rPr>
        <w:t>或其适用的修订版本。除合同另有约定外，承包人实际完成的工程量按约定的工程量计算规则和有合同约束力的图纸进行计量。</w:t>
      </w:r>
    </w:p>
    <w:p w14:paraId="339474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17.1.3计量周期 </w:t>
      </w:r>
    </w:p>
    <w:p w14:paraId="61652E5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(1)本合同的计量周期为月，每月 26 日为当月计量截止日期(不含当日)和下月计量起始日期(含当日)。 </w:t>
      </w:r>
    </w:p>
    <w:p w14:paraId="1066C32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(2)本合同执行通用合同条款本项约定的单价子目计量。总价子目计量方法按专用合同条款第17.1.5项总价子目的计量——按实际完成工程量计量。 </w:t>
      </w:r>
    </w:p>
    <w:p w14:paraId="163689B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17.1.5总价子目的计量一按实际完成工程量计量 </w:t>
      </w:r>
    </w:p>
    <w:p w14:paraId="7A7B6F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(1)总价子目的价格调整方法：总价子目的计量和支付应以总价为基础，对承包人实际完成的工程量进行计量，是进行工程目标管理和控制进度款支付的依据。 </w:t>
      </w:r>
    </w:p>
    <w:p w14:paraId="569FFA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6BCFB3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 </w:t>
      </w:r>
    </w:p>
    <w:p w14:paraId="4475D6BA">
      <w:pPr>
        <w:widowControl w:val="0"/>
        <w:kinsoku/>
        <w:wordWrap/>
        <w:overflowPunct/>
        <w:topLinePunct w:val="0"/>
        <w:autoSpaceDE/>
        <w:autoSpaceDN/>
        <w:bidi w:val="0"/>
        <w:spacing w:line="360" w:lineRule="auto"/>
        <w:ind w:firstLine="480" w:firstLineChars="200"/>
        <w:textAlignment w:val="auto"/>
        <w:rPr>
          <w:rFonts w:hint="eastAsia"/>
        </w:rPr>
      </w:pPr>
      <w:r>
        <w:rPr>
          <w:rFonts w:hint="eastAsia" w:ascii="宋体" w:hAnsi="宋体" w:eastAsia="宋体" w:cs="宋体"/>
          <w:color w:val="auto"/>
          <w:sz w:val="24"/>
          <w:szCs w:val="24"/>
          <w:lang w:val="en-US" w:eastAsia="zh-CN"/>
        </w:rPr>
        <w:t>(4)监理人应在收到承包人提交的工程量报表后的7天内进行复核，监理人未在约定时间内复核的，承包人提交的工程量报表中的工程量视为承包人实际完成的工程量，据此计算工程价款。</w:t>
      </w:r>
    </w:p>
    <w:p w14:paraId="587DB5B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17.2预付款</w:t>
      </w:r>
    </w:p>
    <w:p w14:paraId="785C7088">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17.2.1预付款</w:t>
      </w:r>
    </w:p>
    <w:p w14:paraId="3E385372">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(1)预付款额度</w:t>
      </w:r>
    </w:p>
    <w:p w14:paraId="30E7822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分部分项工程部分的预付款额度：</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548C8B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措施项目部分预付款额度：</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186D3A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其中：安全文明施工费用预付额度：</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0A7B34A8">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(2)预付办法</w:t>
      </w:r>
    </w:p>
    <w:p w14:paraId="198692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预付款预付办法：</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w:t>
      </w:r>
    </w:p>
    <w:p w14:paraId="77FCB1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预付款的支付时间：</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p>
    <w:p w14:paraId="6B2F00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发包人逾期支付合同约定的预付款时，双方协商确定逾期支付时间，不承担通用合同条款第22.2款约定的违约责任及专用合同条款第17.3.3(2)目约定的标准和方法计算的逾期付款违约金。</w:t>
      </w:r>
    </w:p>
    <w:p w14:paraId="6806C91A">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17.2.2预付款保函</w:t>
      </w:r>
    </w:p>
    <w:p w14:paraId="495AA8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预付款保函的金额与预付款金额相同。预付款保函的提交时间：</w:t>
      </w:r>
      <w:r>
        <w:rPr>
          <w:rFonts w:hint="eastAsia" w:ascii="宋体" w:hAnsi="宋体" w:eastAsia="宋体" w:cs="宋体"/>
          <w:color w:val="auto"/>
          <w:sz w:val="24"/>
          <w:szCs w:val="24"/>
          <w:u w:val="single"/>
        </w:rPr>
        <w:t xml:space="preserve">  无   </w:t>
      </w:r>
    </w:p>
    <w:p w14:paraId="064AEF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38427FD5">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17.2.3预付款的扣回与还清</w:t>
      </w:r>
    </w:p>
    <w:p w14:paraId="0668E8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预付款的扣回办法：</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33FA033A">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17.2.4预付款保函的格式</w:t>
      </w:r>
    </w:p>
    <w:p w14:paraId="3ED928D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承包人应当按照专用合同条款第17.2.2项约定的金额和时间以及发包人在本工程招标文件中规定的或者其他经过发包人事先认可的格式向发包人递交一份无条件兑付的和不可撤销的预付款保函。</w:t>
      </w:r>
    </w:p>
    <w:p w14:paraId="7826A3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17.2.5预付款保函的有效期</w:t>
      </w:r>
    </w:p>
    <w:p w14:paraId="5D3CE6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预付款保函的有效期应当自预付款支付给承包人之日起至发包人签认的进度付款证书说明预付款已完全扣清之日止。</w:t>
      </w:r>
    </w:p>
    <w:p w14:paraId="5601965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17.2.6发包人的通知义务</w:t>
      </w:r>
    </w:p>
    <w:p w14:paraId="47B2BCD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不管保函条款中如何约定，发包人根据担保提出索赔或兑现要求之前，均应通知承包人并说明导致此类索赔或兑现的原因，但此类通知不应理解为是在任何意义上寻求承包人的同意。</w:t>
      </w:r>
    </w:p>
    <w:p w14:paraId="7ACF59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17.2.7预付款保函的退还</w:t>
      </w:r>
    </w:p>
    <w:p w14:paraId="325477F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预付款保函应在发包人签认的进度付款证书说明预付款已完全扣清之日后14天内退还给承包人。发包人不承担承包人与预付款保函有关的任何利息或其它类似的费用或者收益。</w:t>
      </w:r>
    </w:p>
    <w:p w14:paraId="65EBA68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17.3工程进度付款</w:t>
      </w:r>
    </w:p>
    <w:p w14:paraId="092443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17.3.2进度付款申请单</w:t>
      </w:r>
    </w:p>
    <w:p w14:paraId="26527A2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进度付款申请单的份数：</w:t>
      </w:r>
      <w:r>
        <w:rPr>
          <w:rFonts w:hint="eastAsia" w:ascii="宋体" w:hAnsi="宋体" w:cs="宋体"/>
          <w:color w:val="auto"/>
          <w:sz w:val="24"/>
          <w:szCs w:val="24"/>
          <w:u w:val="single"/>
          <w:lang w:val="en-US" w:eastAsia="zh-CN"/>
        </w:rPr>
        <w:t>五</w:t>
      </w:r>
      <w:r>
        <w:rPr>
          <w:rFonts w:hint="eastAsia" w:ascii="宋体" w:hAnsi="宋体" w:eastAsia="宋体" w:cs="宋体"/>
          <w:color w:val="auto"/>
          <w:sz w:val="24"/>
          <w:szCs w:val="24"/>
          <w:u w:val="single"/>
        </w:rPr>
        <w:t xml:space="preserve">份 </w:t>
      </w:r>
      <w:r>
        <w:rPr>
          <w:rFonts w:hint="eastAsia" w:ascii="宋体" w:hAnsi="宋体" w:eastAsia="宋体" w:cs="宋体"/>
          <w:color w:val="auto"/>
          <w:sz w:val="24"/>
          <w:szCs w:val="24"/>
        </w:rPr>
        <w:t>。</w:t>
      </w:r>
    </w:p>
    <w:p w14:paraId="6A4297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进度付款申请单的内容：</w:t>
      </w:r>
      <w:r>
        <w:rPr>
          <w:rFonts w:hint="eastAsia" w:ascii="宋体" w:hAnsi="宋体" w:eastAsia="宋体" w:cs="宋体"/>
          <w:color w:val="auto"/>
          <w:sz w:val="24"/>
          <w:szCs w:val="24"/>
          <w:u w:val="single"/>
        </w:rPr>
        <w:t xml:space="preserve">按监理人统一要求办理  </w:t>
      </w:r>
      <w:r>
        <w:rPr>
          <w:rFonts w:hint="eastAsia" w:ascii="宋体" w:hAnsi="宋体" w:eastAsia="宋体" w:cs="宋体"/>
          <w:color w:val="auto"/>
          <w:sz w:val="24"/>
          <w:szCs w:val="24"/>
        </w:rPr>
        <w:t>。</w:t>
      </w:r>
    </w:p>
    <w:p w14:paraId="013D29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17.3.3进度付款证书和支付时间</w:t>
      </w:r>
    </w:p>
    <w:p w14:paraId="49F657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4731B2F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逾期付款违约金的计算标准为</w:t>
      </w:r>
      <w:r>
        <w:rPr>
          <w:rFonts w:hint="eastAsia" w:ascii="宋体" w:hAnsi="宋体" w:eastAsia="宋体" w:cs="宋体"/>
          <w:color w:val="auto"/>
          <w:sz w:val="24"/>
          <w:szCs w:val="24"/>
          <w:u w:val="single"/>
        </w:rPr>
        <w:t>无逾期付款违约金</w:t>
      </w:r>
      <w:r>
        <w:rPr>
          <w:rFonts w:hint="eastAsia" w:ascii="宋体" w:hAnsi="宋体" w:eastAsia="宋体" w:cs="宋体"/>
          <w:color w:val="auto"/>
          <w:sz w:val="24"/>
          <w:szCs w:val="24"/>
        </w:rPr>
        <w:t>。</w:t>
      </w:r>
    </w:p>
    <w:p w14:paraId="25AA553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逾期付款违约金的计算方法为</w:t>
      </w:r>
      <w:r>
        <w:rPr>
          <w:rFonts w:hint="eastAsia" w:ascii="宋体" w:hAnsi="宋体" w:eastAsia="宋体" w:cs="宋体"/>
          <w:color w:val="auto"/>
          <w:sz w:val="24"/>
          <w:szCs w:val="24"/>
          <w:u w:val="single"/>
        </w:rPr>
        <w:t>无逾期付款违约金</w:t>
      </w:r>
      <w:r>
        <w:rPr>
          <w:rFonts w:hint="eastAsia" w:ascii="宋体" w:hAnsi="宋体" w:eastAsia="宋体" w:cs="宋体"/>
          <w:color w:val="auto"/>
          <w:sz w:val="24"/>
          <w:szCs w:val="24"/>
        </w:rPr>
        <w:t>。</w:t>
      </w:r>
    </w:p>
    <w:p w14:paraId="1A5DE20A">
      <w:pPr>
        <w:widowControl w:val="0"/>
        <w:kinsoku/>
        <w:wordWrap/>
        <w:overflowPunct/>
        <w:topLinePunct w:val="0"/>
        <w:autoSpaceDE/>
        <w:autoSpaceDN/>
        <w:bidi w:val="0"/>
        <w:spacing w:line="360" w:lineRule="auto"/>
        <w:ind w:firstLine="480" w:firstLineChars="200"/>
        <w:textAlignment w:val="auto"/>
        <w:rPr>
          <w:rFonts w:hint="eastAsia" w:ascii="宋体" w:hAnsi="宋体" w:cs="宋体"/>
          <w:b/>
          <w:bCs w:val="0"/>
          <w:color w:val="auto"/>
          <w:sz w:val="24"/>
          <w:highlight w:val="none"/>
          <w:lang w:val="en-US" w:eastAsia="zh-CN"/>
        </w:rPr>
      </w:pPr>
      <w:r>
        <w:rPr>
          <w:rFonts w:hint="eastAsia" w:ascii="宋体" w:hAnsi="宋体" w:eastAsia="宋体" w:cs="宋体"/>
          <w:color w:val="auto"/>
          <w:sz w:val="24"/>
          <w:szCs w:val="24"/>
        </w:rPr>
        <w:t>进度付款的支付方法：</w:t>
      </w:r>
      <w:r>
        <w:rPr>
          <w:rFonts w:hint="eastAsia" w:ascii="宋体" w:hAnsi="宋体" w:cs="宋体"/>
          <w:b/>
          <w:bCs w:val="0"/>
          <w:color w:val="auto"/>
          <w:sz w:val="24"/>
          <w:highlight w:val="none"/>
          <w:lang w:val="en-US" w:eastAsia="zh-CN"/>
        </w:rPr>
        <w:t>本项目无预付资金，工程竣工验收合格工程结算审核完成后付至审定金额的10%，剩余部分七年内付清。（工程最终结算造价以审计部门审定的造价为准）。</w:t>
      </w:r>
    </w:p>
    <w:p w14:paraId="5FA4A656">
      <w:pPr>
        <w:widowControl w:val="0"/>
        <w:kinsoku/>
        <w:wordWrap/>
        <w:overflowPunct/>
        <w:topLinePunct w:val="0"/>
        <w:autoSpaceDE/>
        <w:autoSpaceDN/>
        <w:bidi w:val="0"/>
        <w:spacing w:line="360" w:lineRule="auto"/>
        <w:ind w:firstLine="482" w:firstLineChars="200"/>
        <w:textAlignment w:val="auto"/>
        <w:rPr>
          <w:rFonts w:hint="eastAsia"/>
          <w:lang w:val="en-US" w:eastAsia="zh-CN"/>
        </w:rPr>
      </w:pPr>
      <w:r>
        <w:rPr>
          <w:rFonts w:hint="eastAsia" w:ascii="宋体" w:hAnsi="宋体" w:eastAsia="宋体" w:cs="宋体"/>
          <w:b/>
          <w:bCs/>
          <w:color w:val="auto"/>
          <w:sz w:val="24"/>
          <w:szCs w:val="24"/>
          <w:lang w:val="en-US" w:eastAsia="zh-CN"/>
        </w:rPr>
        <w:t>为确保工程保质保量按期完工，本项目工程款承包人必须专款专用，如发现承包人挪用工程款现象，由此造成的一切损失均有承包人承担。</w:t>
      </w:r>
    </w:p>
    <w:p w14:paraId="49DD6DB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（3）发包人增值税发票开票信息</w:t>
      </w:r>
    </w:p>
    <w:p w14:paraId="5968AF51">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cs="宋体"/>
          <w:color w:val="auto"/>
          <w:sz w:val="24"/>
          <w:szCs w:val="24"/>
          <w:u w:val="single"/>
          <w:lang w:val="en-US" w:eastAsia="zh-CN"/>
        </w:rPr>
      </w:pPr>
      <w:r>
        <w:rPr>
          <w:rFonts w:hint="eastAsia" w:ascii="宋体" w:hAnsi="宋体" w:eastAsia="宋体" w:cs="宋体"/>
          <w:color w:val="auto"/>
          <w:sz w:val="24"/>
          <w:szCs w:val="24"/>
        </w:rPr>
        <w:t>(1)名称：</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w:t>
      </w:r>
    </w:p>
    <w:p w14:paraId="2D19F924">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(2)纳税人设别号：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w:t>
      </w:r>
    </w:p>
    <w:p w14:paraId="4853CA47">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(3)工程地点：</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w:t>
      </w:r>
    </w:p>
    <w:p w14:paraId="4F8B101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(4)工程名称：</w:t>
      </w:r>
      <w:r>
        <w:rPr>
          <w:rFonts w:hint="eastAsia" w:ascii="宋体" w:hAnsi="宋体" w:cs="宋体"/>
          <w:color w:val="auto"/>
          <w:sz w:val="24"/>
          <w:szCs w:val="24"/>
          <w:u w:val="single"/>
          <w:lang w:eastAsia="zh-CN"/>
        </w:rPr>
        <w:t>邹城市钢山街道杜家庄村义和佳苑车棚建设工程</w:t>
      </w:r>
      <w:r>
        <w:rPr>
          <w:rFonts w:hint="eastAsia" w:ascii="宋体" w:hAnsi="宋体" w:eastAsia="宋体" w:cs="宋体"/>
          <w:color w:val="auto"/>
          <w:sz w:val="24"/>
          <w:szCs w:val="24"/>
        </w:rPr>
        <w:t>；</w:t>
      </w:r>
    </w:p>
    <w:p w14:paraId="19B6A902">
      <w:pPr>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(4)承包人增值税发票开票信息</w:t>
      </w:r>
    </w:p>
    <w:p w14:paraId="781095E9">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（1）公 司  名 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703F4C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（2）纳税人识别号：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w:t>
      </w:r>
    </w:p>
    <w:p w14:paraId="4C5AB57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（3）开 户 行名称：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D9879B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（4）开 户  账 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4CE22C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（5）公 司  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DDD147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（6）公 司  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40AF3AA">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（7）公司电子邮箱：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771E3B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17.3.5临时付款证书</w:t>
      </w:r>
    </w:p>
    <w:p w14:paraId="093F33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5234200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4B0986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326BCD1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17.4质量保证金</w:t>
      </w:r>
    </w:p>
    <w:p w14:paraId="535693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免费质量包修期内，出现质量问题，承包人接到发包人维修通知后，未能在规定时间内进行维修，则视为授权发包人（或发包人指定的物业公司）组织维修，并由承包人承担所有费用和质量责任。上述费用在承包人质保金中直接双倍扣除后，若质保金额不足以支付以上费用，承包人负责补足质保金。</w:t>
      </w:r>
    </w:p>
    <w:p w14:paraId="1F0C00C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在免费质量包修期内，出现质量问题，由于承包人原因，发包人（或发包人指定的物业公司）无法同承包人取得联系，按照上条执行。</w:t>
      </w:r>
    </w:p>
    <w:p w14:paraId="6F7515C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现质量问题后，发包人（或发包人指定的物业公司）是否与承包人指定的联系人取得联系及联系时间以发包人（或发包人指定的物业公司）联系记录为准，维修项目及费用以发包人、物业公司、实际施工方三方签字的资料为准。</w:t>
      </w:r>
    </w:p>
    <w:p w14:paraId="13D90C6E">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17.5竣工结算</w:t>
      </w:r>
    </w:p>
    <w:p w14:paraId="4315857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17.5.1竣工付款申请单</w:t>
      </w:r>
    </w:p>
    <w:p w14:paraId="52AD0A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承包人提交竣工付款申请单的份数：</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五</w:t>
      </w:r>
      <w:r>
        <w:rPr>
          <w:rFonts w:hint="eastAsia" w:ascii="宋体" w:hAnsi="宋体" w:eastAsia="宋体" w:cs="宋体"/>
          <w:color w:val="auto"/>
          <w:sz w:val="24"/>
          <w:szCs w:val="24"/>
          <w:u w:val="single"/>
        </w:rPr>
        <w:t xml:space="preserve">份                              </w:t>
      </w:r>
      <w:r>
        <w:rPr>
          <w:rFonts w:hint="eastAsia" w:ascii="宋体" w:hAnsi="宋体" w:eastAsia="宋体" w:cs="宋体"/>
          <w:color w:val="auto"/>
          <w:sz w:val="24"/>
          <w:szCs w:val="24"/>
        </w:rPr>
        <w:t>。</w:t>
      </w:r>
    </w:p>
    <w:p w14:paraId="7CF12F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承包人提交竣工付款申请单的期限：</w:t>
      </w:r>
      <w:r>
        <w:rPr>
          <w:rFonts w:hint="eastAsia" w:ascii="宋体" w:hAnsi="宋体" w:eastAsia="宋体" w:cs="宋体"/>
          <w:color w:val="auto"/>
          <w:sz w:val="24"/>
          <w:szCs w:val="24"/>
          <w:u w:val="single"/>
        </w:rPr>
        <w:t xml:space="preserve">  竣工验收合格后28天内              </w:t>
      </w:r>
      <w:r>
        <w:rPr>
          <w:rFonts w:hint="eastAsia" w:ascii="宋体" w:hAnsi="宋体" w:eastAsia="宋体" w:cs="宋体"/>
          <w:color w:val="auto"/>
          <w:sz w:val="24"/>
          <w:szCs w:val="24"/>
        </w:rPr>
        <w:t>。</w:t>
      </w:r>
    </w:p>
    <w:p w14:paraId="2EC0D2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竣工付款申请单的内容：</w:t>
      </w:r>
      <w:r>
        <w:rPr>
          <w:rFonts w:hint="eastAsia" w:ascii="宋体" w:hAnsi="宋体" w:eastAsia="宋体" w:cs="宋体"/>
          <w:color w:val="auto"/>
          <w:sz w:val="24"/>
          <w:szCs w:val="24"/>
          <w:u w:val="single"/>
        </w:rPr>
        <w:t>竣工结算合同总价、已支付的工程价款、应扣留的质量保证金、应支付的竣工付款金额等</w:t>
      </w:r>
      <w:r>
        <w:rPr>
          <w:rFonts w:hint="eastAsia" w:ascii="宋体" w:hAnsi="宋体" w:eastAsia="宋体" w:cs="宋体"/>
          <w:color w:val="auto"/>
          <w:sz w:val="24"/>
          <w:szCs w:val="24"/>
        </w:rPr>
        <w:t>。</w:t>
      </w:r>
    </w:p>
    <w:p w14:paraId="4EE165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3E067283">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u w:val="single"/>
          <w:lang w:val="zh-CN"/>
        </w:rPr>
        <w:t>工程结算总价</w:t>
      </w:r>
      <w:r>
        <w:rPr>
          <w:rFonts w:hint="eastAsia" w:ascii="宋体" w:hAnsi="宋体" w:eastAsia="宋体" w:cs="宋体"/>
          <w:b/>
          <w:bCs/>
          <w:color w:val="auto"/>
          <w:sz w:val="24"/>
          <w:szCs w:val="24"/>
          <w:u w:val="single"/>
        </w:rPr>
        <w:t>=确认的固定含税全费用综合单价×实测工程量</w:t>
      </w:r>
      <w:r>
        <w:rPr>
          <w:rFonts w:hint="eastAsia" w:ascii="宋体" w:hAnsi="宋体" w:eastAsia="宋体" w:cs="宋体"/>
          <w:b/>
          <w:bCs/>
          <w:color w:val="auto"/>
          <w:sz w:val="24"/>
          <w:szCs w:val="24"/>
          <w:u w:val="single"/>
          <w:lang w:val="zh-CN"/>
        </w:rPr>
        <w:t>+设计变更、洽商、签证＋依据本合同的增加项目-依据本合同的减少项目-违约金和（或）损失赔偿额；</w:t>
      </w:r>
      <w:r>
        <w:rPr>
          <w:rFonts w:hint="eastAsia" w:ascii="宋体" w:hAnsi="宋体" w:eastAsia="宋体" w:cs="宋体"/>
          <w:b/>
          <w:bCs/>
          <w:color w:val="auto"/>
          <w:sz w:val="24"/>
          <w:szCs w:val="24"/>
          <w:u w:val="single"/>
        </w:rPr>
        <w:t>结算资料需双方签字盖章方为有效，不符合条件的工程结算资料依据均属无效，双方不作为办理结算的依据。</w:t>
      </w:r>
    </w:p>
    <w:p w14:paraId="3F39578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不管通用合同条款17.5.2项如何约定，发包人和承包人应当在监理人颁发(出具)工程接收证书后90天内办清竣工结算和竣工付款。</w:t>
      </w:r>
    </w:p>
    <w:p w14:paraId="575F52C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17.6最终结清</w:t>
      </w:r>
    </w:p>
    <w:p w14:paraId="5D62A2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17.6.1最终结清申请单</w:t>
      </w:r>
    </w:p>
    <w:p w14:paraId="3F55B6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 xml:space="preserve">   五份 </w:t>
      </w:r>
      <w:r>
        <w:rPr>
          <w:rFonts w:hint="eastAsia" w:ascii="宋体" w:hAnsi="宋体" w:eastAsia="宋体" w:cs="宋体"/>
          <w:color w:val="auto"/>
          <w:sz w:val="24"/>
          <w:szCs w:val="24"/>
        </w:rPr>
        <w:t>。</w:t>
      </w:r>
    </w:p>
    <w:p w14:paraId="35235A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承包人提交最终结清申请单的期限：</w:t>
      </w:r>
      <w:r>
        <w:rPr>
          <w:rFonts w:hint="eastAsia" w:ascii="宋体" w:hAnsi="宋体" w:eastAsia="宋体" w:cs="宋体"/>
          <w:color w:val="auto"/>
          <w:sz w:val="24"/>
          <w:szCs w:val="24"/>
          <w:u w:val="single"/>
        </w:rPr>
        <w:t xml:space="preserve">  缺陷责任期终止证书签发后30天内   </w:t>
      </w:r>
      <w:r>
        <w:rPr>
          <w:rFonts w:hint="eastAsia" w:ascii="宋体" w:hAnsi="宋体" w:eastAsia="宋体" w:cs="宋体"/>
          <w:color w:val="auto"/>
          <w:sz w:val="24"/>
          <w:szCs w:val="24"/>
        </w:rPr>
        <w:t>。</w:t>
      </w:r>
    </w:p>
    <w:p w14:paraId="1977D4C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18.竣工验收</w:t>
      </w:r>
    </w:p>
    <w:p w14:paraId="4717DC7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18.2竣工验收申请报告</w:t>
      </w:r>
    </w:p>
    <w:p w14:paraId="6CA16C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u w:val="single"/>
        </w:rPr>
        <w:t xml:space="preserve">  按工程所在地建设行政主管部门和(或)城市建设档案管理机构对竣工验收资料内容的规定    </w:t>
      </w:r>
      <w:r>
        <w:rPr>
          <w:rFonts w:hint="eastAsia" w:ascii="宋体" w:hAnsi="宋体" w:eastAsia="宋体" w:cs="宋体"/>
          <w:color w:val="auto"/>
          <w:sz w:val="24"/>
          <w:szCs w:val="24"/>
        </w:rPr>
        <w:t>。</w:t>
      </w:r>
    </w:p>
    <w:p w14:paraId="7CB5EF3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竣工验收资料的份数：</w:t>
      </w:r>
      <w:r>
        <w:rPr>
          <w:rFonts w:hint="eastAsia" w:ascii="宋体" w:hAnsi="宋体" w:eastAsia="宋体" w:cs="宋体"/>
          <w:color w:val="auto"/>
          <w:sz w:val="24"/>
          <w:szCs w:val="24"/>
          <w:u w:val="single"/>
        </w:rPr>
        <w:t xml:space="preserve">按工程所在地建设行政主管部门和(或)城市建设档案管理机构的规定及发包人要求    </w:t>
      </w:r>
      <w:r>
        <w:rPr>
          <w:rFonts w:hint="eastAsia" w:ascii="宋体" w:hAnsi="宋体" w:eastAsia="宋体" w:cs="宋体"/>
          <w:color w:val="auto"/>
          <w:sz w:val="24"/>
          <w:szCs w:val="24"/>
        </w:rPr>
        <w:t>。</w:t>
      </w:r>
    </w:p>
    <w:p w14:paraId="1F7C85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竣工验收资料的费用支付方式：</w:t>
      </w:r>
      <w:r>
        <w:rPr>
          <w:rFonts w:hint="eastAsia" w:ascii="宋体" w:hAnsi="宋体" w:eastAsia="宋体" w:cs="宋体"/>
          <w:color w:val="auto"/>
          <w:sz w:val="24"/>
          <w:szCs w:val="24"/>
          <w:u w:val="single"/>
        </w:rPr>
        <w:t xml:space="preserve">  由承包人自行承担  </w:t>
      </w:r>
      <w:r>
        <w:rPr>
          <w:rFonts w:hint="eastAsia" w:ascii="宋体" w:hAnsi="宋体" w:eastAsia="宋体" w:cs="宋体"/>
          <w:color w:val="auto"/>
          <w:sz w:val="24"/>
          <w:szCs w:val="24"/>
        </w:rPr>
        <w:t>。</w:t>
      </w:r>
    </w:p>
    <w:p w14:paraId="09281F6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18.3验收</w:t>
      </w:r>
    </w:p>
    <w:p w14:paraId="3580521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18.3.5经验收合格的工程，实际竣工日期为承包人按照第18.2款提交竣工验收申请报告或按照本款重新提交竣工验收申请报告的日期(以两者中时间在后者为准)。</w:t>
      </w:r>
    </w:p>
    <w:p w14:paraId="53D43302">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18.5施工期运行</w:t>
      </w:r>
    </w:p>
    <w:p w14:paraId="5F3DB6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18.5.1需要施工期运行的单位工程或设备安装工程：</w:t>
      </w:r>
      <w:r>
        <w:rPr>
          <w:rFonts w:hint="eastAsia" w:ascii="宋体" w:hAnsi="宋体" w:eastAsia="宋体" w:cs="宋体"/>
          <w:color w:val="auto"/>
          <w:sz w:val="24"/>
          <w:szCs w:val="24"/>
          <w:u w:val="single"/>
        </w:rPr>
        <w:t xml:space="preserve">   根据实际情况按发包人要求  </w:t>
      </w:r>
      <w:r>
        <w:rPr>
          <w:rFonts w:hint="eastAsia" w:ascii="宋体" w:hAnsi="宋体" w:eastAsia="宋体" w:cs="宋体"/>
          <w:color w:val="auto"/>
          <w:sz w:val="24"/>
          <w:szCs w:val="24"/>
        </w:rPr>
        <w:t>。</w:t>
      </w:r>
    </w:p>
    <w:p w14:paraId="03F39F25">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18.6试运行</w:t>
      </w:r>
    </w:p>
    <w:p w14:paraId="7904CAD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18.6.1工程及工程设备试运行的组织与费用承担</w:t>
      </w:r>
    </w:p>
    <w:p w14:paraId="3E24B3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（1）工程设备安装具备单机无负荷试运行条件，由承包人组织试运行，费用由承包人承担。</w:t>
      </w:r>
    </w:p>
    <w:p w14:paraId="6BB8B7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（2）工程设备安装具备无负荷联动试运行条件，由发包人组织试运行，费用由发包人承担。</w:t>
      </w:r>
    </w:p>
    <w:p w14:paraId="750052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（3）投料试运行应在工程竣工验收后由发包人负责，如发包人要求在工程竣工验收前进行或需要承包人配合时，应征得承包人同意，另行签订补充协议。</w:t>
      </w:r>
    </w:p>
    <w:p w14:paraId="663C0DB4">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18.7竣工清场</w:t>
      </w:r>
    </w:p>
    <w:p w14:paraId="74B745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18.7.1监理人颁发(出具)工程接收证书后，承包人负责按照通用合同条款本项约定的要求对施工场地进行清理并承担相关费用，直至监理人检验合格为止。</w:t>
      </w:r>
    </w:p>
    <w:p w14:paraId="0B20DE74">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18.8施工队伍的撤离</w:t>
      </w:r>
    </w:p>
    <w:p w14:paraId="1B7536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345E1B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缺陷责任期满时，承包人可以继续在施工场地保留的人员和施工设备以及最终撤离的期限：</w:t>
      </w:r>
      <w:r>
        <w:rPr>
          <w:rFonts w:hint="eastAsia" w:ascii="宋体" w:hAnsi="宋体" w:eastAsia="宋体" w:cs="宋体"/>
          <w:color w:val="auto"/>
          <w:sz w:val="24"/>
          <w:szCs w:val="24"/>
          <w:u w:val="single"/>
        </w:rPr>
        <w:t xml:space="preserve">缺陷责任期满时，承包人的人员和施工设备应全部撤离施工场地     </w:t>
      </w:r>
      <w:r>
        <w:rPr>
          <w:rFonts w:hint="eastAsia" w:ascii="宋体" w:hAnsi="宋体" w:eastAsia="宋体" w:cs="宋体"/>
          <w:color w:val="auto"/>
          <w:sz w:val="24"/>
          <w:szCs w:val="24"/>
        </w:rPr>
        <w:t>。</w:t>
      </w:r>
    </w:p>
    <w:p w14:paraId="504FE52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18.9中间验收</w:t>
      </w:r>
    </w:p>
    <w:p w14:paraId="0AEC64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本工程需要进行中间验收的部位如下：</w:t>
      </w:r>
      <w:r>
        <w:rPr>
          <w:rFonts w:hint="eastAsia" w:ascii="宋体" w:hAnsi="宋体" w:eastAsia="宋体" w:cs="宋体"/>
          <w:color w:val="auto"/>
          <w:sz w:val="24"/>
          <w:szCs w:val="24"/>
          <w:u w:val="single"/>
        </w:rPr>
        <w:t xml:space="preserve">                                                                                     </w:t>
      </w:r>
    </w:p>
    <w:p w14:paraId="4574859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u w:val="single"/>
        </w:rPr>
        <w:t xml:space="preserve"> 监理人要求的 </w:t>
      </w:r>
      <w:r>
        <w:rPr>
          <w:rFonts w:hint="eastAsia" w:ascii="宋体" w:hAnsi="宋体" w:eastAsia="宋体" w:cs="宋体"/>
          <w:color w:val="auto"/>
          <w:sz w:val="24"/>
          <w:szCs w:val="24"/>
        </w:rPr>
        <w:t>期限内进行修改后重新验收。</w:t>
      </w:r>
    </w:p>
    <w:p w14:paraId="2258CB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1DC3BB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经监理人验收后工程质量符合约定的验收标准，但验收24小时后监理人仍不在验收记录上签字的，视为监理人已经认可验收记录，承包人可继续施工。</w:t>
      </w:r>
    </w:p>
    <w:p w14:paraId="3DA11A3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19.缺陷责任与保修责任</w:t>
      </w:r>
    </w:p>
    <w:p w14:paraId="0B4B501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19.7保修责任</w:t>
      </w:r>
    </w:p>
    <w:p w14:paraId="4F70E9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(1)工程质量保修范围：</w:t>
      </w:r>
      <w:r>
        <w:rPr>
          <w:rFonts w:hint="eastAsia" w:ascii="宋体" w:hAnsi="宋体" w:eastAsia="宋体" w:cs="宋体"/>
          <w:color w:val="auto"/>
          <w:sz w:val="24"/>
          <w:szCs w:val="24"/>
          <w:u w:val="single"/>
        </w:rPr>
        <w:t xml:space="preserve"> 详见质量保修书   </w:t>
      </w:r>
      <w:r>
        <w:rPr>
          <w:rFonts w:hint="eastAsia" w:ascii="宋体" w:hAnsi="宋体" w:eastAsia="宋体" w:cs="宋体"/>
          <w:color w:val="auto"/>
          <w:sz w:val="24"/>
          <w:szCs w:val="24"/>
        </w:rPr>
        <w:t>。</w:t>
      </w:r>
    </w:p>
    <w:p w14:paraId="5A419CE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(2)工程质量保修期限：</w:t>
      </w:r>
      <w:r>
        <w:rPr>
          <w:rFonts w:hint="eastAsia" w:ascii="宋体" w:hAnsi="宋体" w:eastAsia="宋体" w:cs="宋体"/>
          <w:color w:val="auto"/>
          <w:sz w:val="24"/>
          <w:szCs w:val="24"/>
          <w:u w:val="single"/>
        </w:rPr>
        <w:t xml:space="preserve"> 详见质量保修书   </w:t>
      </w:r>
      <w:r>
        <w:rPr>
          <w:rFonts w:hint="eastAsia" w:ascii="宋体" w:hAnsi="宋体" w:eastAsia="宋体" w:cs="宋体"/>
          <w:color w:val="auto"/>
          <w:sz w:val="24"/>
          <w:szCs w:val="24"/>
        </w:rPr>
        <w:t>。</w:t>
      </w:r>
    </w:p>
    <w:p w14:paraId="444DF0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(3)工程质量保修责任：</w:t>
      </w:r>
      <w:r>
        <w:rPr>
          <w:rFonts w:hint="eastAsia" w:ascii="宋体" w:hAnsi="宋体" w:eastAsia="宋体" w:cs="宋体"/>
          <w:color w:val="auto"/>
          <w:sz w:val="24"/>
          <w:szCs w:val="24"/>
          <w:u w:val="single"/>
        </w:rPr>
        <w:t xml:space="preserve"> 详见质量保修书    </w:t>
      </w:r>
      <w:r>
        <w:rPr>
          <w:rFonts w:hint="eastAsia" w:ascii="宋体" w:hAnsi="宋体" w:eastAsia="宋体" w:cs="宋体"/>
          <w:color w:val="auto"/>
          <w:sz w:val="24"/>
          <w:szCs w:val="24"/>
        </w:rPr>
        <w:t>。</w:t>
      </w:r>
    </w:p>
    <w:p w14:paraId="007E6C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3D598F14">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20.保险</w:t>
      </w:r>
    </w:p>
    <w:p w14:paraId="26A58A3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20.1工程保险</w:t>
      </w:r>
    </w:p>
    <w:p w14:paraId="21BD8F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不投保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工程保险。投保工程保险时，险种为：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，并符合以下约定。</w:t>
      </w:r>
    </w:p>
    <w:p w14:paraId="5E138CC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(1)投保人：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4D07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(2)投保内容：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2012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(3)保险费率：由投保人与</w:t>
      </w:r>
      <w:r>
        <w:rPr>
          <w:rFonts w:hint="eastAsia" w:ascii="宋体" w:hAnsi="宋体" w:cs="宋体"/>
          <w:b/>
          <w:bCs/>
          <w:color w:val="auto"/>
          <w:sz w:val="24"/>
          <w:szCs w:val="24"/>
          <w:highlight w:val="none"/>
          <w:lang w:val="en-US" w:eastAsia="zh-CN"/>
        </w:rPr>
        <w:t>承包方</w:t>
      </w:r>
      <w:r>
        <w:rPr>
          <w:rFonts w:hint="eastAsia" w:ascii="宋体" w:hAnsi="宋体" w:eastAsia="宋体" w:cs="宋体"/>
          <w:color w:val="auto"/>
          <w:sz w:val="24"/>
          <w:szCs w:val="24"/>
          <w:highlight w:val="none"/>
        </w:rPr>
        <w:t>商定。</w:t>
      </w:r>
    </w:p>
    <w:p w14:paraId="5D98E3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(4)保险金额：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B0833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(5)保险期限：</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898141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20.4第三者责任险</w:t>
      </w:r>
    </w:p>
    <w:p w14:paraId="68946F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20.4.2保险金额：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，保险费率由承包人与发包人同意的保险人商定，相关保险费由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承担。</w:t>
      </w:r>
    </w:p>
    <w:p w14:paraId="582F365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20.5其他保险</w:t>
      </w:r>
    </w:p>
    <w:p w14:paraId="0363AE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承包人应为其施工设备、进场材料和工程设备等办理的保险：</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承包人自行确定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B16A22">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20.6对各项保险的一般要求</w:t>
      </w:r>
    </w:p>
    <w:p w14:paraId="41F6E5FD">
      <w:pPr>
        <w:widowControl w:val="0"/>
        <w:kinsoku/>
        <w:wordWrap/>
        <w:overflowPunct/>
        <w:topLinePunct w:val="0"/>
        <w:autoSpaceDE/>
        <w:autoSpaceDN/>
        <w:bidi w:val="0"/>
        <w:spacing w:before="72" w:beforeLines="3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20.6.1保险凭证</w:t>
      </w:r>
    </w:p>
    <w:p w14:paraId="4EFE1DF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承包人向发包人提交各项保险生效的证据和保险单副本的期限：</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由承包人承担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9DEB4FE">
      <w:pPr>
        <w:widowControl w:val="0"/>
        <w:kinsoku/>
        <w:wordWrap/>
        <w:overflowPunct/>
        <w:topLinePunct w:val="0"/>
        <w:autoSpaceDE/>
        <w:autoSpaceDN/>
        <w:bidi w:val="0"/>
        <w:spacing w:before="72" w:beforeLines="3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20.6.4保险金不足的补偿</w:t>
      </w:r>
    </w:p>
    <w:p w14:paraId="4D8F95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保险金不足以补偿损失时，承包人和发包人负责补偿的责任分摊：</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全部由承包人承担</w:t>
      </w:r>
      <w:r>
        <w:rPr>
          <w:rFonts w:hint="eastAsia" w:ascii="宋体" w:hAnsi="宋体" w:eastAsia="宋体" w:cs="宋体"/>
          <w:color w:val="auto"/>
          <w:sz w:val="24"/>
          <w:szCs w:val="24"/>
          <w:highlight w:val="none"/>
          <w:u w:val="single"/>
        </w:rPr>
        <w:t xml:space="preserve">  。 </w:t>
      </w:r>
    </w:p>
    <w:p w14:paraId="20F5055E">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21.不可抗力</w:t>
      </w:r>
    </w:p>
    <w:p w14:paraId="3A64860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21.1不可抗力的确认</w:t>
      </w:r>
    </w:p>
    <w:p w14:paraId="3BA54C7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21.1.1通用合同条款第21.1.1项约定的不可抗力以外的其他情形：</w:t>
      </w:r>
      <w:r>
        <w:rPr>
          <w:rFonts w:hint="eastAsia" w:ascii="宋体" w:hAnsi="宋体" w:eastAsia="宋体" w:cs="宋体"/>
          <w:color w:val="auto"/>
          <w:sz w:val="24"/>
          <w:szCs w:val="24"/>
          <w:u w:val="single"/>
        </w:rPr>
        <w:t xml:space="preserve">  按国家有关部门认定的标准。 </w:t>
      </w:r>
    </w:p>
    <w:p w14:paraId="1648D8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不可抗力的等级范围约定：</w:t>
      </w:r>
      <w:r>
        <w:rPr>
          <w:rFonts w:hint="eastAsia" w:ascii="宋体" w:hAnsi="宋体" w:eastAsia="宋体" w:cs="宋体"/>
          <w:color w:val="auto"/>
          <w:sz w:val="24"/>
          <w:szCs w:val="24"/>
          <w:u w:val="single"/>
        </w:rPr>
        <w:t xml:space="preserve">  发包人与承包人另行协商约定         。 </w:t>
      </w:r>
    </w:p>
    <w:p w14:paraId="2C0CE14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21.3不可抗力后果及其处理</w:t>
      </w:r>
    </w:p>
    <w:p w14:paraId="2A013DC3">
      <w:pPr>
        <w:widowControl w:val="0"/>
        <w:kinsoku/>
        <w:wordWrap/>
        <w:overflowPunct/>
        <w:topLinePunct w:val="0"/>
        <w:autoSpaceDE/>
        <w:autoSpaceDN/>
        <w:bidi w:val="0"/>
        <w:spacing w:before="72" w:beforeLines="30" w:after="72" w:afterLines="3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21.3.1不可抗力造成损害的责任</w:t>
      </w:r>
    </w:p>
    <w:p w14:paraId="77C0F2B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不可抗力导致的人员伤亡、财产损失、费用增加和(或)工期延误等后果，由合同双方按通用合同条款第21.3.1项约定的原则承担。</w:t>
      </w:r>
    </w:p>
    <w:p w14:paraId="5A7E3A64">
      <w:pPr>
        <w:pStyle w:val="4"/>
        <w:widowControl w:val="0"/>
        <w:numPr>
          <w:ilvl w:val="0"/>
          <w:numId w:val="2"/>
        </w:numPr>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违约</w:t>
      </w:r>
    </w:p>
    <w:p w14:paraId="174F6EF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第22.1.1条补充如下：</w:t>
      </w:r>
    </w:p>
    <w:p w14:paraId="6E0543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所有特殊工种人员均应符合有关规定，获得上岗资格，持有有关部门颁发的资质证书或上岗证（且在有效期内），并在施工上岗之前提供给监理工程师审查，施工中持证上岗，并佩戴单位上岗证。在特殊工种的施工中，若发现不佩戴岗位证的人员，不持有资格证书施工，则按每发现一次，按照人民币1000元/人次向发包人支付违约金。累计10次则停工整顿。</w:t>
      </w:r>
    </w:p>
    <w:p w14:paraId="5F4E88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在工程施工过程中以及保修期内，由于承包人责任出现质量问题、劳资纠纷、拖欠工人工资或者其他原因，受到报纸、电视等媒体的曝光或上访、政府有关主管部门的通报批评，每次由承包人向发包人支付人民币5万元/次违约金，从承包人当期工程款项、结算款或质保金中扣除，不足部分以实际损失为限，由承包人补足。</w:t>
      </w:r>
    </w:p>
    <w:p w14:paraId="143F27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因承包人原因工程竣工资料（按档案馆要求，含相应的电子磁盘资料、声像资料）延误移交，每延误一天，承包人支付发包人违约金人民币5万元。此外因其工程竣工资料导致的竣工日期及交房日期延误，造成的一切经济损失由承包人承担。</w:t>
      </w:r>
    </w:p>
    <w:p w14:paraId="65AAB1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承包人员工或其分包人员到政府部门、发包人办公室、售楼处等处围攻、静坐等现象发生的，每发生一次承包人支付发包人违约金人民币2万元/次。</w:t>
      </w:r>
    </w:p>
    <w:p w14:paraId="4C00B0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承包人未在发包人或监理通知单规定时间内完成整改并回复的，罚款人民币1万元/次。且发包人有权指定其他单位代为实施，所发生费用（另加20%的管理费）及责任由承包人承担。</w:t>
      </w:r>
    </w:p>
    <w:p w14:paraId="62D149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 发包人指令要求的销售配合工作，承包人需按双方确认的工期按时完成，延误销售开放的，每延期一天，承包人向发包人支付违约金人民币10,000元。</w:t>
      </w:r>
    </w:p>
    <w:p w14:paraId="7998CA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 发包人、监理、承包人三方提前1个月约定分包的进场时间。经发包人、监理判定，若承包人不能及时按约定时间给分包提供进场条件，超过7天后承包人仍不能给分包提供进场条件，罚款人民币10,000元/日。</w:t>
      </w:r>
    </w:p>
    <w:p w14:paraId="2D28FD4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 承包人不按时参加相关会议，承包人应向发包人支付人民币500元/人.次的违约金。</w:t>
      </w:r>
    </w:p>
    <w:p w14:paraId="26B7601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 承包人延迟申报完成预结算资料或核对不配合，承包人应向发包人支付人民币1,000元/天的违约金。</w:t>
      </w:r>
    </w:p>
    <w:p w14:paraId="3BCC3BA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因承包人原因工程质量达不到约定的质量标准，承包人应按本合同结算总价款的2﹪向发包人支付违约金。承包人的施工存在质量问题，经两次整改后仍不能合格的，发包人有权解除合同，将工程另行委托第三方完成，承包人须赔偿发包人的一切损失。承包人如违反工程施工质量管理相关要求，承包人应向发包人支付人民币1,000 元/次的违约金。</w:t>
      </w:r>
    </w:p>
    <w:p w14:paraId="6AF13A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(11)因承包人分项工程质量不符合本合同附件相关质量标准要求，发包人视质量问题严重程度，承包人应向发包人支付人民币500－10,000元/次的违约金。</w:t>
      </w:r>
    </w:p>
    <w:p w14:paraId="135FC9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承包人未按本合同约定期限完工、竣工或交付使用，每逾期一日,按合同签约总价的</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‰向发包人支付违约金，并赔偿发包人因延误开工生产所造成的全部损失，逾期超过30天，发包人有权单方解除合同，并有权勒令停止承包人施工，将工程另行委托第三方完成，承包人须赔偿发包人的一切损失。</w:t>
      </w:r>
    </w:p>
    <w:p w14:paraId="07484DE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承包人有义务对分包单位进行进度、质量、安全、文明施工的管理，提供临时水电源，挂表按相关单位收费标准收费。承包人不得故意刁难，收受不合理的费用，若出现分包单位举报，经落实事实确凿，每出现一次承包人向发包人支付违约金20000元。</w:t>
      </w:r>
    </w:p>
    <w:p w14:paraId="6EB5A5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为确保工程施工质量和安全施工，本项目工程严禁违法转包、违法分包和挂靠，如出现违法转包、违法分包和挂靠现象，承包人承诺已施工完成的合格工程，按实际合格工程量的50%进行结算，承包人应无条件7日内全部人员及物料撤场，发包人有权解除合同。</w:t>
      </w:r>
    </w:p>
    <w:p w14:paraId="447357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承包人必须按设计施工图纸和发包人确认的工程设计变更施工，承包人承诺如出现不按图施工现象，承包人无条件拆除此部分工程，所产生的所有损失均由承包人承担，并向发包人支付违约金壹拾万元。回填土工程未按施工图和施工规范施工，一经发现承包人向发包人支付违约金贰拾万元。</w:t>
      </w:r>
    </w:p>
    <w:p w14:paraId="16646C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（16）承包人的其他违约行为，但未约定具体处罚金额的，发包人有权在人民币200-20,000元范围内要求承包人支付违约金，并赔偿因此给发包人造成的全部损失。</w:t>
      </w:r>
    </w:p>
    <w:p w14:paraId="24FBC7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承包人按邹城市相关企业收费标准挂表缴纳水电费。包干价中已包含施工用水电费用，若承包人自行打备用井用于施工，所发生的费用和相关政府主管部门所收取的费用、责任、关系协调及对应的相关违规责任均有承包人承担。</w:t>
      </w:r>
    </w:p>
    <w:p w14:paraId="4679B9C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（18）临时停水、停电、二次搬运、成品保护等所需措施的一切费用和工期承包人已充分考虑，并已考虑了各种可能因素影响施工所增加的费用，因此，发生上述情况，发包人不另行增加费用。</w:t>
      </w:r>
    </w:p>
    <w:p w14:paraId="6D289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承包人承担因违反以上各条而导致的一切责任和费用，且不得以任何理由停工和向发包人提出经济和工期补偿要求。确保不会因上述原因使发包人声誉受到不良影响。在工程施工过程中以及工程竣工保修期内，由于承包人责任出现质量问题、安全事故或者因其他原因，受到报纸、电视等媒体的曝光或被政府有关主管部门的通报批评，均会给本工程的社会形象造成损失，每次由承包人向发包人支付5万元违约金，从承包人工程进度款或保修款中扣除。</w:t>
      </w:r>
    </w:p>
    <w:p w14:paraId="69CFC34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（20）发包人发给承包人所有的文件、函件、资料、指令，承包人必须无条件接收，否则每拒收一次，发包人将给予处罚1000元，并视为已经送达。</w:t>
      </w:r>
    </w:p>
    <w:p w14:paraId="4F4D7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（21）因承包人原因导致合同提前解除的：</w:t>
      </w:r>
    </w:p>
    <w:p w14:paraId="77A089B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a、发包人有权委托第三人对未完工程进行施工，由此导致发包人比由承包人按合同约定完成工程所增加的费用由承包人承担。</w:t>
      </w:r>
    </w:p>
    <w:p w14:paraId="6B1B28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在第三人未将剩余工程施工完毕、发包人与第三人未结算完毕前，承包人不得要求支付工程款。待发包人与第三人结算完毕后，发包人在扣除承包人应承担的违约金和各项费用以后，发包人向承包人支付剩余工程款。</w:t>
      </w:r>
    </w:p>
    <w:p w14:paraId="7173D8F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C、承包人仍需对其已完成工程承担保修义务，且发包人有权将质量保修金提高至结算工程款的15%。</w:t>
      </w:r>
    </w:p>
    <w:p w14:paraId="593F7C05">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24.争议的解决</w:t>
      </w:r>
    </w:p>
    <w:p w14:paraId="5A13071C">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24.1争议的解决方式</w:t>
      </w:r>
    </w:p>
    <w:p w14:paraId="46AC44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因本合同引起的或与本合同有关的任何争议，合同双方友好协商不成、不愿提请争议组评审或者不愿接受争议评审组意见的，向工程所在地有管辖权的人民法院提起诉讼。</w:t>
      </w:r>
    </w:p>
    <w:p w14:paraId="281F176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24.3争议评审</w:t>
      </w:r>
    </w:p>
    <w:p w14:paraId="539FF77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24.3.4争议评审组邀请合同双方代表人和有关人员举行调查会的期限：</w:t>
      </w:r>
      <w:r>
        <w:rPr>
          <w:rFonts w:hint="eastAsia" w:ascii="宋体" w:hAnsi="宋体" w:eastAsia="宋体" w:cs="宋体"/>
          <w:color w:val="auto"/>
          <w:sz w:val="24"/>
          <w:szCs w:val="24"/>
          <w:u w:val="single"/>
        </w:rPr>
        <w:t>争议评审组在收到合同双方报告后的14天内。</w:t>
      </w:r>
    </w:p>
    <w:p w14:paraId="29A07B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24.3.5争议评审组在调查会后作出争议评审意见的期限：</w:t>
      </w:r>
      <w:r>
        <w:rPr>
          <w:rFonts w:hint="eastAsia" w:ascii="宋体" w:hAnsi="宋体" w:eastAsia="宋体" w:cs="宋体"/>
          <w:color w:val="auto"/>
          <w:sz w:val="24"/>
          <w:szCs w:val="24"/>
          <w:u w:val="single"/>
        </w:rPr>
        <w:t xml:space="preserve">在调查会结束后的14天内。  </w:t>
      </w:r>
    </w:p>
    <w:p w14:paraId="0320C02B">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 补充条款</w:t>
      </w:r>
    </w:p>
    <w:p w14:paraId="1AFBAF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25.1施工期间的安全问题、地方关系或个体关系由承包人单位自行解决，发生费用包含在</w:t>
      </w:r>
      <w:r>
        <w:rPr>
          <w:rStyle w:val="50"/>
          <w:rFonts w:hint="eastAsia" w:ascii="宋体" w:hAnsi="宋体" w:eastAsia="宋体" w:cs="宋体"/>
          <w:color w:val="auto"/>
          <w:sz w:val="24"/>
          <w:szCs w:val="24"/>
          <w:lang w:val="en-US" w:eastAsia="zh-CN"/>
        </w:rPr>
        <w:t>固定含税</w:t>
      </w:r>
      <w:r>
        <w:rPr>
          <w:rFonts w:hint="eastAsia" w:ascii="宋体" w:hAnsi="宋体" w:eastAsia="宋体" w:cs="宋体"/>
          <w:color w:val="auto"/>
          <w:sz w:val="24"/>
          <w:szCs w:val="24"/>
          <w:lang w:val="en-US" w:eastAsia="zh-CN"/>
        </w:rPr>
        <w:t>全费用综合单价</w:t>
      </w:r>
      <w:r>
        <w:rPr>
          <w:rFonts w:hint="eastAsia" w:ascii="宋体" w:hAnsi="宋体" w:eastAsia="宋体" w:cs="宋体"/>
          <w:color w:val="auto"/>
          <w:sz w:val="24"/>
          <w:szCs w:val="24"/>
        </w:rPr>
        <w:t>内，不再另行计取。</w:t>
      </w:r>
    </w:p>
    <w:p w14:paraId="58CAA3F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禁止中标单位将承包的工程进行转包、违法分包，禁止中标单位转让、出借企业资质证书或者以其他方式允许他人经本企业名义承揽本工程，如发现上述情况，发包人有权终止合同，承包人赔偿因此给发包人造成的一切经济损失，并承担法律责任。</w:t>
      </w:r>
    </w:p>
    <w:p w14:paraId="32C394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承包人应无条件接受发包人及监理单位的现场指导，并保持与工程其他专业队伍的严密配合对接，因拒绝现场指导，配合不足造成其他专业进度延误以及经济损失等情况，一切责任及损失概由承包人承担。</w:t>
      </w:r>
    </w:p>
    <w:p w14:paraId="2741F3B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25.3本</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rPr>
        <w:t>文件技术标准和要求中列出的图纸变更等因素已包括在合同固定含税全费用综合单价中。</w:t>
      </w:r>
    </w:p>
    <w:p w14:paraId="775041B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25.4承诺能够按照设计要求、相关规范和发包人企业标准完成约定的内容，并提供良好的服务。</w:t>
      </w:r>
    </w:p>
    <w:p w14:paraId="658DAD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25.5承包人应了解当地法规、政策，了解政府相关部门的管理规定，承诺能够在当前政策条件下完成约定内容，遵守法律、法规和政策，接受政府相关部门的管理。</w:t>
      </w:r>
    </w:p>
    <w:p w14:paraId="4894C2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25.6承包人应了解当地建筑材料及劳动力市场状况，承诺能够组织足够的建筑设备、材料及劳动力，并承诺农忙不减员、按时支付农民工工资等条件。</w:t>
      </w:r>
    </w:p>
    <w:p w14:paraId="4FE8F5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25.7承包人已充分了解工程所在地的天气状况和变化规律，承诺能够在现有自然条件下按照约定条款完成约定的工程内容。</w:t>
      </w:r>
    </w:p>
    <w:p w14:paraId="00902D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25.8竣工后的场地，承包人将该场地内平整至图纸标高。</w:t>
      </w:r>
    </w:p>
    <w:p w14:paraId="7AC67F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25.9承包人基本税务信息</w:t>
      </w:r>
    </w:p>
    <w:p w14:paraId="2B76B1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承包人应依法纳税并开具合法有效的增值税发票</w:t>
      </w:r>
      <w:r>
        <w:rPr>
          <w:rFonts w:hint="eastAsia" w:ascii="宋体" w:hAnsi="宋体" w:eastAsia="宋体" w:cs="宋体"/>
          <w:color w:val="auto"/>
          <w:sz w:val="24"/>
          <w:szCs w:val="24"/>
        </w:rPr>
        <w:t>。</w:t>
      </w:r>
    </w:p>
    <w:p w14:paraId="3440C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25.10重要节点延误30天以上的，发包人有权单方解除合同，承包人无条件撤场。</w:t>
      </w:r>
    </w:p>
    <w:p w14:paraId="6FA6D6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25.11发包人将从应付给承包人的最后一笔工程款中预留壹拾万元人民币作为档案押金，若承包人能按期移交工程档案，在获取发包人档案验收合格证后可返还所有档案押金(无息)。若承包人不能按期移交工程档案，承包人将按照施工承包合同承担违约责任，发包人按每拖交14日历天将扣除承包人工程档案押金的50％，即伍万元人民币。</w:t>
      </w:r>
    </w:p>
    <w:p w14:paraId="11EEF1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25.12本工程可能涉及到的所有控制价中包含的、或实际施工过程中需发生的规费（如工程排污费、建筑安全生产监督费、建设工程社会保障费及住房公积金等），已经包含在投标总价及合同固定含税全费用综合单价中。即使明确规定由发包人名义缴纳的，也将由发包人代缴后，从承包人工程款中分四次等额代扣（代扣金额=代缴费用+缴纳过程中产生的税金及费用），首次代扣时间为第二次进度款支付时开始扣除。工程竣工后，由承包人向有关部门进行协调，办理可能的退款事宜（可能的退款金额由承包人自行协调解决）。</w:t>
      </w:r>
    </w:p>
    <w:p w14:paraId="71333A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25.13墙改、散装水泥及城建档案资料等保证金或押金由发包人负责缴纳，承包人接到发包人通知后15个日历天内提供符合发包人要求的合法发票及合格的资料。否则由于承包人原因造成有关保证金或押金未能全部退回的，扣除部分的保证金或押金由承包人负责，发包人有权从支付承包人的任何工程款项中扣除。</w:t>
      </w:r>
    </w:p>
    <w:p w14:paraId="797CED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25.14农民工工资专项条款</w:t>
      </w:r>
    </w:p>
    <w:p w14:paraId="3FBFCC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根据《济宁市住房和城乡建设局关于全面落实建筑领域农民工实名制和工资专用账户管理制度执行委托银行按月代发工资办法的实施意见》济建行发字【2018】8号文精神，甲乙双方确实做好农民工工资发放工作。</w:t>
      </w:r>
    </w:p>
    <w:p w14:paraId="70C0FBC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如果承包人对工程进行分包的，承包人须于每月第5个工作日前，将上月农民工工资暂付款拨付到分包企业专用账户，以保障农民工工资按月支付。</w:t>
      </w:r>
    </w:p>
    <w:p w14:paraId="1BE56A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承包人直接招用农民工，承包人须依法与农民工签订劳动合同，建立农民工个人工作银行卡名册，与监管银行签订农民工工资委托代发协议，并在监管银行为农民工办理个人工资银行卡。承包人应当制定内部工资支付方法，并告知本企业全体农民工。</w:t>
      </w:r>
    </w:p>
    <w:p w14:paraId="008626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确保本施工合同项下不因农民工工资未能按时足额发放到位而引发讨薪事件。</w:t>
      </w:r>
    </w:p>
    <w:p w14:paraId="556984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确保农民工工资月结月清，发包人将每次工程付款节点前承包人农民工工资支付清单作为拨付工程进度款的前置条件。在发包人支付每笔款项之前，承包人须提供有关农民工工资已按时发放的书面承诺函件及农民工身份证复印件，并且要有十个以上的农民工代表的签字、摁手印，否则，发包人有权拒绝付款。</w:t>
      </w:r>
    </w:p>
    <w:p w14:paraId="741CBC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25.15承包人应按时足额支付农民工的工资和分包人的工程款，若发生因欠款情况导致民工或分包单位上访或媒体披露或诉讼及其它恶性事件的，发包人有权根据法院送达的《协助执行通知书》或政府主管部门的指令性通知，对承包人的违约行为可同时作如下处理，并保留进一步追诉的权利：</w:t>
      </w:r>
    </w:p>
    <w:p w14:paraId="528998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从上访事件及其它恶性事件发生当月起，暂扣当月发包人应付承包人工程款的50%，在承包人处理好拖欠农民工工资问题，并取得政府处理意见后，再支付暂扣工程款。当月没有处理完的，下次付款继续按照50%比例暂扣工程款。</w:t>
      </w:r>
    </w:p>
    <w:p w14:paraId="12C3B8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发包人按照政府主管部门的指令性通知文件或根据法院送达的《协助执行通知书》，在相关部门的见证下可直接向农民工、分包人、法院或政府主管部门支付承包人欠付的工资或工程款、材料款等各项欠款，且发包人有权从应付承包人的任何一笔工程款中扣除相应的金额。</w:t>
      </w:r>
    </w:p>
    <w:p w14:paraId="4ADF06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25.16项目安全生产的达标目标及相应事项的约定：除执行通用条款外，执行现行的济宁市建筑工地扬尘防治及施工现场标准。承包人承包的全部工程（含合同内工程及增加工程）之工程安全文明施工须达到标准，发生费用包含在固定含税全费用综合单价内，不再另行计取。若未达到标准，承包人向发包人按5元/平方米（建筑面积）支付违约金，并可在发包人向承包人的任意一次付款中予以扣除。</w:t>
      </w:r>
    </w:p>
    <w:p w14:paraId="0430FFD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25.17施工机械设备保险</w:t>
      </w:r>
    </w:p>
    <w:p w14:paraId="6AA75E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承包人所拥有或提供的机械设备，由承包人负责投保并承担费用。</w:t>
      </w:r>
    </w:p>
    <w:p w14:paraId="3D44512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25.18运输险及存仓保险</w:t>
      </w:r>
    </w:p>
    <w:p w14:paraId="6432AA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承包人应当负责其供应的材料及设备在运送途中直至运抵现场的安全；如果认为有需要，承包人应当自行购买有关保险。</w:t>
      </w:r>
    </w:p>
    <w:p w14:paraId="09FE8B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25.19其他商业保险</w:t>
      </w:r>
    </w:p>
    <w:p w14:paraId="394D7A8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承包人必须为从事危险作业的职工办理意外伤害保险，支付保险费。为了分散或降低风险，承包人可办理其他商业保险，其费用由承包人自行负担。</w:t>
      </w:r>
    </w:p>
    <w:p w14:paraId="532757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25.20保险事故发生时承包人应立即向保险公司报案并通知发包人，若承包人未能在 24 小时内向保险公司报案或未采取必要措施防止或减少损失，导致保险公司拒赔或者不能足额赔付，则由此发生的损失由承包人自行承担。</w:t>
      </w:r>
    </w:p>
    <w:p w14:paraId="2DB83E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25.21如果工程出现损失、损害或损坏、承包人须立即负责修复、补救及更换或维修任何受破坏或损坏之物料，清理及弃置任何残骸。所有由发包人或承包人按本条款获得有关本工程之保险赔偿须用于本工程之修复、重建、更换、维修或完成工作。除从保险获得之赔偿外，承包人将无权向发包人收取为修复受损工程、更换及维修任何物料或货物、以及为清理及弃置残骸而发生之费用。</w:t>
      </w:r>
    </w:p>
    <w:p w14:paraId="43D530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25.22在承保人赔偿未发放前，所有关于本工程的抢险费用均先由承包人支付。</w:t>
      </w:r>
    </w:p>
    <w:p w14:paraId="200C363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25.23施工企业外来从业人员保险</w:t>
      </w:r>
    </w:p>
    <w:p w14:paraId="648873D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承包人应当按照邹城市关于外来从业人员保险的最新规定为外来从业人员购买相关保险，相关费用已包括在合同固定含税全费用综合单价内，如须发包人代缴，将从应付的中期付款中相应扣除。</w:t>
      </w:r>
    </w:p>
    <w:p w14:paraId="7CF942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25.24施工期间若出现任何安全事故及给第三者造成的安全事故均由承包人负责，与发包人无关，如给发包人造成损失，发包人有权向承包人追偿。</w:t>
      </w:r>
    </w:p>
    <w:p w14:paraId="5106717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25.25 工程结算流程</w:t>
      </w:r>
    </w:p>
    <w:p w14:paraId="09D0B7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25.25.1 承包人上报施工图预算及竣工结算（含广联达算量图形及工程量计算式）、竣工图纸、变更签证等资料、验收合格证明等资料一次性上报齐全，发包人将进行社会审价或发包人内部审价，造价咨询公司审核并经发包人确认后的预算价为工程结算造价的一部分。在一审的预结算审核结果基础上，发包人有权进行二审，二审工作由二审咨询单位与一审咨询单位对接，承包人必须全力配合一审咨询公司的各项工作，经发包人审核确认后双方协商一致确定最终结算价。</w:t>
      </w:r>
    </w:p>
    <w:p w14:paraId="1341D5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工程结算总价</w:t>
      </w:r>
      <w:r>
        <w:rPr>
          <w:rFonts w:hint="eastAsia" w:ascii="宋体" w:hAnsi="宋体" w:eastAsia="宋体" w:cs="宋体"/>
          <w:color w:val="auto"/>
          <w:sz w:val="24"/>
          <w:szCs w:val="24"/>
        </w:rPr>
        <w:t>=确认的固定含税全费用综合单价×实测工程量</w:t>
      </w:r>
      <w:r>
        <w:rPr>
          <w:rFonts w:hint="eastAsia" w:ascii="宋体" w:hAnsi="宋体" w:eastAsia="宋体" w:cs="宋体"/>
          <w:color w:val="auto"/>
          <w:sz w:val="24"/>
          <w:szCs w:val="24"/>
          <w:lang w:val="zh-CN"/>
        </w:rPr>
        <w:t>+设计变更、洽商、签证＋依据本合同的增加项目-依据本合同的减少项目-违约金和（或）损失赔偿额；</w:t>
      </w:r>
      <w:r>
        <w:rPr>
          <w:rFonts w:hint="eastAsia" w:ascii="宋体" w:hAnsi="宋体" w:eastAsia="宋体" w:cs="宋体"/>
          <w:color w:val="auto"/>
          <w:sz w:val="24"/>
          <w:szCs w:val="24"/>
        </w:rPr>
        <w:t>结算资料需双方签字盖章方为有效，不符合条件的工程结算资料依据均属无效，双方不作为办理结算的依据。</w:t>
      </w:r>
    </w:p>
    <w:p w14:paraId="14B76C0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报送的结算资料：承包人须及时向发包人报送完整的结算资料，否则发包人有权不予结算，并有权拒付工程款，结算资料包括但不限于：</w:t>
      </w:r>
    </w:p>
    <w:p w14:paraId="0DA8AE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（1）工程竣工验收报告</w:t>
      </w:r>
    </w:p>
    <w:p w14:paraId="3BED6F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（2）工程移交表   </w:t>
      </w:r>
    </w:p>
    <w:p w14:paraId="1710EA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（3）施工合同      </w:t>
      </w:r>
    </w:p>
    <w:p w14:paraId="0E9CF7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（4）开竣工报告</w:t>
      </w:r>
    </w:p>
    <w:p w14:paraId="6D952D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（5）结算报告</w:t>
      </w:r>
    </w:p>
    <w:p w14:paraId="74CA2A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（6）工程量计算书</w:t>
      </w:r>
    </w:p>
    <w:p w14:paraId="66E36B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（7）图纸会审记录 </w:t>
      </w:r>
    </w:p>
    <w:p w14:paraId="211226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（8）增加工程现场签证</w:t>
      </w:r>
    </w:p>
    <w:p w14:paraId="6A4040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（10）设计变更通知单 </w:t>
      </w:r>
    </w:p>
    <w:p w14:paraId="6E02598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（11）单位工程验收记录</w:t>
      </w:r>
    </w:p>
    <w:p w14:paraId="57C3557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（12）相关设备和材料的协议书、购销合同、价格确认资料</w:t>
      </w:r>
    </w:p>
    <w:p w14:paraId="7051EA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（13）竣工图纸</w:t>
      </w:r>
    </w:p>
    <w:p w14:paraId="0E8981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（14）工程验收单</w:t>
      </w:r>
    </w:p>
    <w:p w14:paraId="1C3A00F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（15）发包人或有关单位及部门要求的其他资料</w:t>
      </w:r>
    </w:p>
    <w:p w14:paraId="570D27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25.25.2结算资料需双方签字盖章方为有效，不符合条件的工程结算资料依据均属无效，双方不作为办理结算的依据。</w:t>
      </w:r>
    </w:p>
    <w:p w14:paraId="28D953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25.25.3工程经监理、发包人工程人员验收合格，承包人及时移交符合要求的工程施工资料并提交完整的工程结算资料。</w:t>
      </w:r>
    </w:p>
    <w:p w14:paraId="7D03E6D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25.25.4 在二次结算审价过程中，不再增加任何结算资料（图纸、签证变更单、价格凭证等），送审的结算书中若有遗漏项目均作为让利给发包人，不作增加调整。</w:t>
      </w:r>
    </w:p>
    <w:p w14:paraId="0D7B06F9">
      <w:pPr>
        <w:pStyle w:val="15"/>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shd w:val="clear" w:color="auto" w:fill="auto"/>
        </w:rPr>
        <w:t>25.25.5 在结算审价过程中，审计人员对提供的结算资料（图纸、签证变更单、价格凭证等）有权提出质疑，承包人、监理人和发包人应积极配合询证。</w:t>
      </w:r>
    </w:p>
    <w:p w14:paraId="4B2375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25.26 对承包人高估冒算的处罚</w:t>
      </w:r>
    </w:p>
    <w:p w14:paraId="142017E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25.26.1 承包人向发包人报送的所有计价文件，包括预算、变更签证、结算等，均不得高估冒算。如果承包人报送的计价文件的送审价超过发包人最终审定价的5%，即认为承包人存在高估冒算行为，承包人违约，承包人应承担相应的审价费及违约金；具体按如下约定执行：</w:t>
      </w:r>
    </w:p>
    <w:p w14:paraId="555470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 如果[承包人送审价-发包人审定价]/发包人审定价≤5%，承包人不支付任何审价违约金。</w:t>
      </w:r>
    </w:p>
    <w:p w14:paraId="090712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 如果[承包人送审价-发包人审定价]/发包人审定价&gt;5%，承包人向发包人支付按核减额的 5%审价违约金。</w:t>
      </w:r>
    </w:p>
    <w:p w14:paraId="2451B6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 如果[承包人送审价-发包人审定价]/发包人审定价&gt;8%,承包人除向发包人支付按核减额的 5%审价违约金外,另按[承包人送审价-发包人审定价*1.08]*10%向发包人支付违约金。</w:t>
      </w:r>
    </w:p>
    <w:p w14:paraId="708984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 发包人可以委托社会审价机构对承包人报送的预算、结算等计价文件进行审计，但社会审价机构出具的审计文件最终以发包人签字盖章认可为准。</w:t>
      </w:r>
    </w:p>
    <w:p w14:paraId="0BA418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 结算流程按发包人相关规定执行。</w:t>
      </w:r>
    </w:p>
    <w:p w14:paraId="20481A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 除发包人明确的单价外，其他清单中漏项、错项、少项的不再调整任何单价，均与发包人明确的单价。</w:t>
      </w:r>
    </w:p>
    <w:p w14:paraId="034632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25.27承包人应根据现场实际情况，制定有效安全防范、防护措施，安设醒目安全标志、警戒线，并安排专人负责。任何因承包人原因引起的交通、生产等安全问题均由承包人负责。 </w:t>
      </w:r>
    </w:p>
    <w:p w14:paraId="0AB78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25.28承包人应加强治安管理及现场管理，任何因承包人原因造成的扰民纠纷及其他纠纷均由承包人负责。</w:t>
      </w:r>
    </w:p>
    <w:p w14:paraId="07B2BB51">
      <w:pPr>
        <w:pStyle w:val="15"/>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shd w:val="clear" w:color="auto" w:fill="auto"/>
        </w:rPr>
        <w:t>25.29承包人在疫情防控期间，应严格贯彻落实各级部门的防控要求，产生的相关费用以及可能造成的窝工费等，承包人都应充分考虑在投标总报价中，不再另行计取。</w:t>
      </w:r>
    </w:p>
    <w:p w14:paraId="361E7CF4">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26.保修</w:t>
      </w:r>
    </w:p>
    <w:p w14:paraId="326689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26.1本工程质保期为两年，自承包人所有施工项目全部完成并经发包人及监理单位验收合格之日起开始计算。质保期内的质量问题由承包人负责，相应费用由承包人承担。</w:t>
      </w:r>
    </w:p>
    <w:p w14:paraId="1FB8D4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26.2在保修期内出现的故障，承包人承诺在接到发包人通知24小时内维修人员到达现场进行修复，先修复后划分责任。因逾期派员或逾期修复的，发包人有权另聘他人进行维修，维修费用发包人有权从承包人质保金中双倍扣除作为对发包人损失的赔偿，质保金不足，发包人有权继续向承包人追偿。</w:t>
      </w:r>
    </w:p>
    <w:p w14:paraId="1E25EC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26.3承包人维修过的部位，该部位的质量保修期自维修完工之日重新计算；连续维修的从最后一次维修完工之日起重新计算。</w:t>
      </w:r>
    </w:p>
    <w:p w14:paraId="45D712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26.4承包人根据本合同约定需支付违约金或赔偿金的，发包人有权从质量保证金及未支付的工程款中直接扣除，不足部分，由承包人另行支付。</w:t>
      </w:r>
    </w:p>
    <w:p w14:paraId="6C653B55">
      <w:pPr>
        <w:pStyle w:val="1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48AB370F">
      <w:pPr>
        <w:pStyle w:val="1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44547734">
      <w:pPr>
        <w:pStyle w:val="1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6DC232D4">
      <w:pPr>
        <w:pStyle w:val="1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35346878">
      <w:pPr>
        <w:pStyle w:val="1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78A7B1F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64FBFD98">
      <w:pPr>
        <w:pStyle w:val="3"/>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bookmarkStart w:id="153" w:name="_Toc21212"/>
      <w:bookmarkStart w:id="154" w:name="_Toc330990565"/>
      <w:r>
        <w:rPr>
          <w:rFonts w:hint="eastAsia" w:ascii="宋体" w:hAnsi="宋体" w:eastAsia="宋体" w:cs="宋体"/>
          <w:color w:val="auto"/>
          <w:sz w:val="24"/>
          <w:szCs w:val="24"/>
        </w:rPr>
        <w:t>第三节  合同附件格式</w:t>
      </w:r>
      <w:bookmarkEnd w:id="153"/>
      <w:bookmarkEnd w:id="154"/>
    </w:p>
    <w:p w14:paraId="142A00C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附件一：承包人提供的材料和工程设备一览表</w:t>
      </w:r>
    </w:p>
    <w:p w14:paraId="765DFC88">
      <w:pPr>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rPr>
      </w:pPr>
    </w:p>
    <w:p w14:paraId="318081A4">
      <w:pPr>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承包人提供的材料和工程设备一览表</w:t>
      </w:r>
    </w:p>
    <w:p w14:paraId="0F495F3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bl>
      <w:tblPr>
        <w:tblStyle w:val="39"/>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669B0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14:paraId="32208BBA">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75" w:type="dxa"/>
            <w:noWrap w:val="0"/>
            <w:vAlign w:val="center"/>
          </w:tcPr>
          <w:p w14:paraId="6D8DD74E">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14:paraId="4E136CBD">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w:t>
            </w:r>
          </w:p>
        </w:tc>
        <w:tc>
          <w:tcPr>
            <w:tcW w:w="1032" w:type="dxa"/>
            <w:noWrap w:val="0"/>
            <w:vAlign w:val="center"/>
          </w:tcPr>
          <w:p w14:paraId="369878CA">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w:t>
            </w:r>
          </w:p>
          <w:p w14:paraId="5AD7CD25">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613" w:type="dxa"/>
            <w:noWrap w:val="0"/>
            <w:vAlign w:val="center"/>
          </w:tcPr>
          <w:p w14:paraId="673CB297">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2D30FE8C">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613" w:type="dxa"/>
            <w:noWrap w:val="0"/>
            <w:vAlign w:val="center"/>
          </w:tcPr>
          <w:p w14:paraId="68CB8F00">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w:t>
            </w:r>
          </w:p>
          <w:p w14:paraId="341156B9">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613" w:type="dxa"/>
            <w:noWrap w:val="0"/>
            <w:vAlign w:val="center"/>
          </w:tcPr>
          <w:p w14:paraId="7636C69C">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5C86966D">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900" w:type="dxa"/>
            <w:noWrap w:val="0"/>
            <w:vAlign w:val="center"/>
          </w:tcPr>
          <w:p w14:paraId="5738C42D">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1D8B6876">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900" w:type="dxa"/>
            <w:noWrap w:val="0"/>
            <w:vAlign w:val="center"/>
          </w:tcPr>
          <w:p w14:paraId="7224F1A0">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7BF7ADEB">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900" w:type="dxa"/>
            <w:noWrap w:val="0"/>
            <w:vAlign w:val="center"/>
          </w:tcPr>
          <w:p w14:paraId="514EEF3A">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计划</w:t>
            </w:r>
          </w:p>
          <w:p w14:paraId="143C2E8D">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6669302A">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900" w:type="dxa"/>
            <w:noWrap w:val="0"/>
            <w:vAlign w:val="center"/>
          </w:tcPr>
          <w:p w14:paraId="0691F761">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FF69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5C43BB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2EE945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659C9E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FE8295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19A5B6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A9A2A3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4B3ECC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8C9454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F6C0F2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397949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3AC4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BDE2F2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61212A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A32A5F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540152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8A22BE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B91E13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FA1025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F43E57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7AAAD4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1B9754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D68D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07A2B70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65C0D5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BD2CD9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EB2145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10A01A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1729F4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B81E60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F4467E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A0191B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332402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7A98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38159C8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7EDB50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BB34BD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8649F5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F6B622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BFCA82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35E309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9CEC22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70843B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6A4224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5FEC0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41C2A5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D9903B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4DDE74E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2E15EB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30013E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E3D430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CF3A21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17A5AB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BEFD7E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8116E4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2EF4C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67E7F8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38DAE6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3C2FC9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549983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14320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5DE175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3971FC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B74432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BB767A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B519B1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ED70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DA48FB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DDA88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10DF20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4EFD3C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D2DEE6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F3289A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497696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88D757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079B6C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7588C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3D6E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1AC07A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2578D2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2D7401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88B709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18D4F3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7928CF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043D6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91C50C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D5EA5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4F5789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42034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7AAC8B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741F9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090428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31BC3A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3C86D5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20038F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322CF8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DD7D7D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616299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27A898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A9BEF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978A9C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0B5D92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538BC1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5C3A4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24C6A0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555ECD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4E7DA7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223808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FD96A3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A765C0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C499B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294038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A7DFE6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56717C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6A85EC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428F14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F177BC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399F59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B33932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BCCE70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4A18AC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7B38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A713A8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F42A1F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547605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AE7C4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BEF4E7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53FA90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A1F65E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027D50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6583FA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6FB299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F2F1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B42D64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FD8BB5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B236F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3DDB23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8A1FE3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63C920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A3EA0A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3AA0BB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60EA4D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937890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8A0BF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EFABBD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B302B6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7D3629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7B3FBF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F05947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9F7BD5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664F54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ABC40A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63D16D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213371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E162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E2D07B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B9C1D9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0CE5A7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2F3F09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AB42D6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F6DF8F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C5F370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F18185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664814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C68204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CF11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463C3D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4BF18B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47076A4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FE7C10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018CF5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EE70BF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1F4DF3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B3E2FB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CAD2CB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49273F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6E67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8A5EBD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8FF4F6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10B1908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DCDA78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B93B7B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2A2A64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989B33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1D9E2A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532C2A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65CEB5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9C97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90D5AD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788BF68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7B430D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B93235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3C13AD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4A0EC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6B5793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13B556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C16540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5CA2B0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04CD7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889074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37D698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D43190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4621CA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7AEFD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9C8D55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73E953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3D0C09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41FE28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92D959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038F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C0E1AB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0B8ED0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3E5340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9A7184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561204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59A2B3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F4587D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E974D0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87704A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0436D1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9F95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AB877D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7C4C9D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27473D1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A28AFC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885D39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CD01DC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B48D9A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D57232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144B48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836C55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1E7E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B9BAC1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F0E273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400ECDC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273E6A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73F196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1F4104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38086F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1AACB8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46CCB6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2466AB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5EA3C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4A219D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55851E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E2CA5F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6EE3B8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697DCF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B6E89C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FBFD7E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239565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4DAD70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20BCE9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24FE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1D1688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2C4B2C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C196AA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8E71AC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D0805A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9382C3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9D2E6B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E6F56C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07B6CB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2D7B2B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3BA4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950949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5FAF232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D64D36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C056EF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FAF4F6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7F6DC0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DD662D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346437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C2BD61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A491E5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bl>
    <w:p w14:paraId="7855A454">
      <w:pPr>
        <w:widowControl w:val="0"/>
        <w:kinsoku/>
        <w:wordWrap/>
        <w:overflowPunct/>
        <w:topLinePunct w:val="0"/>
        <w:autoSpaceDE/>
        <w:autoSpaceDN/>
        <w:bidi w:val="0"/>
        <w:spacing w:after="72" w:afterLines="30" w:line="360" w:lineRule="auto"/>
        <w:textAlignment w:val="auto"/>
        <w:rPr>
          <w:rFonts w:hint="eastAsia" w:ascii="宋体" w:hAnsi="宋体" w:eastAsia="宋体" w:cs="宋体"/>
          <w:color w:val="auto"/>
          <w:sz w:val="24"/>
          <w:szCs w:val="24"/>
        </w:rPr>
      </w:pPr>
    </w:p>
    <w:p w14:paraId="117C95C5">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附件二：发包人提供的材料和工程设备一览表</w:t>
      </w:r>
    </w:p>
    <w:p w14:paraId="12E9444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084EFB1D">
      <w:pPr>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发包人提供的材料和工程设备一览表</w:t>
      </w:r>
    </w:p>
    <w:tbl>
      <w:tblPr>
        <w:tblStyle w:val="39"/>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6137F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14:paraId="6BA3B667">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75" w:type="dxa"/>
            <w:noWrap w:val="0"/>
            <w:vAlign w:val="center"/>
          </w:tcPr>
          <w:p w14:paraId="034D3F11">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14:paraId="6E2B04D8">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w:t>
            </w:r>
          </w:p>
        </w:tc>
        <w:tc>
          <w:tcPr>
            <w:tcW w:w="1032" w:type="dxa"/>
            <w:noWrap w:val="0"/>
            <w:vAlign w:val="center"/>
          </w:tcPr>
          <w:p w14:paraId="0DB4D2C4">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w:t>
            </w:r>
          </w:p>
          <w:p w14:paraId="20C9C04E">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613" w:type="dxa"/>
            <w:noWrap w:val="0"/>
            <w:vAlign w:val="center"/>
          </w:tcPr>
          <w:p w14:paraId="3410D13A">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3E521852">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613" w:type="dxa"/>
            <w:noWrap w:val="0"/>
            <w:vAlign w:val="center"/>
          </w:tcPr>
          <w:p w14:paraId="6D98ABE6">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w:t>
            </w:r>
          </w:p>
          <w:p w14:paraId="1AE81629">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613" w:type="dxa"/>
            <w:noWrap w:val="0"/>
            <w:vAlign w:val="center"/>
          </w:tcPr>
          <w:p w14:paraId="7D74B273">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1AC2AC81">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900" w:type="dxa"/>
            <w:noWrap w:val="0"/>
            <w:vAlign w:val="center"/>
          </w:tcPr>
          <w:p w14:paraId="12C5EA0D">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1F3A910E">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900" w:type="dxa"/>
            <w:noWrap w:val="0"/>
            <w:vAlign w:val="center"/>
          </w:tcPr>
          <w:p w14:paraId="458466C3">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0E1A7BD2">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900" w:type="dxa"/>
            <w:noWrap w:val="0"/>
            <w:vAlign w:val="center"/>
          </w:tcPr>
          <w:p w14:paraId="3A28C1F7">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计划</w:t>
            </w:r>
          </w:p>
          <w:p w14:paraId="540F395E">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05FF4C5B">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900" w:type="dxa"/>
            <w:noWrap w:val="0"/>
            <w:vAlign w:val="center"/>
          </w:tcPr>
          <w:p w14:paraId="4C985C3C">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4EF82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37ED6C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7B69C8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3ADC8D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534642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9A0D2B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F02BA9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B1FC85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D69D3F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AFB41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F4D9CE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C1F8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8F0282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C646F4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3A3053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B2C7FE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538675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8D3450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789868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227096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FABE6C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85E3ED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4029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A9BA2F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7867421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6055AE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DA5F50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25EED2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4E6C6C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409E6F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01D439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0E95C7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C2A694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38E1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485DC4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8C3ABB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4D0FBD5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299769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1A75C5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1BB07D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B4A022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BBC3E1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28249B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F6C0F5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C9FE7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8EFBE7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398D3F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29B04E5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47375E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5A58D3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A55EDF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98CE0C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FDA122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351E8B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4ED296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FA2B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27D54A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87390D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104EAB0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7E2520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906CFF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526824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47420B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46160E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49416C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26103E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5F1A7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13CD4F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AF8E9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8837B4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D33FD2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58FF90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6BA026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8D1E45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2AE139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A79816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D4EFCA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5D56B8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08B11B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3D2FE9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0605A7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1944BC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8F12D9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9D4822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16B0FB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9BD775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B44D79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585858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4C5E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1C40DB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3458EA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2D19C4E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796EDD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B0756D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97245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F0D93F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638D20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81C1DB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AA2CC4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DFE49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C73917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D8E397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F76DAF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4C1BF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AB50EE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928F29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733CDB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A05D94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72E91B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427FEA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AD13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7D16A4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43F2DC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35F30F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A662CB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DF5700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1F996A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0F3E9C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C83B45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1D5274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A8C1B1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849D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2867AB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1048DB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8227A5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1BFB11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265BDE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6D2166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242CED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C3B635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74D167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5B13C7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1FD7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EB3F1D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089179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F615B5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FEC599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601881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11803D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852A57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DECC7D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B4DF62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ACED02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46FB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25E3CD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749E96C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55569A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B1574A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2EA180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8F169D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D14EFF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98FF46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F6C339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11E3D3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DF61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7CF6F1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791AA16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19BFFA6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16A554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3109DD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FF7103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B45139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8F6D0D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5786E3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AD0801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49A33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9C73C5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3DE642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6FACE2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0BBFB4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0A4709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046A0A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B88968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C740CC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94B72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9DEBAA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5D10C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86411C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770B624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4BBCE9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F15C1C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4053E5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C815E1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054AF4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382EA9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2BD2B6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6DD05F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F56F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A945EA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D1E158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DCAE95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2CAAE7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616DBE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D2EBB9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EED4A3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028614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A5F6BA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5D34BC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37906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B9AA8D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115C41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2855992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C7DE8D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9AFC07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B05DFE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E1B994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1186CE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EC9186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EEA41A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CA6E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E0A168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5F4991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627B6C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226E53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083933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4495E0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A8F8A8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85C21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4F371E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F6B320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5E7F3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F36B96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EAF28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1078FF0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6C39EF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DB9781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EB851D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1F5CE5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0C5E55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13EAD5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408735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E201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0149EF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AF6025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C1F56D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85F9D1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58EE7E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48A384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E27E75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ED34B0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284687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BF97D7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B970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605EEF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3F049C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245900E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0CF56F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82BD89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C6DBFE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2C379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BD6CC7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FD33B4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D2C048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F4C6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C55869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86130E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4D7FA8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DE6383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57C213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5C5A4A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D026F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B95EC3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B4820C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492D01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8C71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E5CCD1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C6A310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4CF84FD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C1662A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768DF8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5E5DC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80BCA2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C9DB2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71B6BF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91736B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CF55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1AE788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C5E4CF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0C4911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0AA989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7F2055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91D00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BF9B94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8F161B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AAA396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F3E0BE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53FA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A3138E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4F9F7A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2162B8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A55552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58D09E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85AEF3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AA79F7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79A68F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CDBFC7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54716E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77D3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962129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25CC8D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92C837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C60EB4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7B2178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9232B2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CD3211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AB1941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E43026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7D8A9B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bl>
    <w:p w14:paraId="4BD2C2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备注：除合同另有约定外，本表所列发包人供应材料和工程设备的数量不考虑施工损耗，施工损耗被认为已经包括在承包人的投标价格中。</w:t>
      </w:r>
    </w:p>
    <w:p w14:paraId="3ACF5643">
      <w:pPr>
        <w:pStyle w:val="1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sectPr>
          <w:footerReference r:id="rId13" w:type="default"/>
          <w:pgSz w:w="11906" w:h="16838"/>
          <w:pgMar w:top="1418" w:right="1418" w:bottom="1304" w:left="1418" w:header="851" w:footer="851" w:gutter="0"/>
          <w:pgNumType w:fmt="decimal"/>
          <w:cols w:space="720" w:num="1"/>
          <w:docGrid w:linePitch="312" w:charSpace="0"/>
        </w:sectPr>
      </w:pPr>
    </w:p>
    <w:p w14:paraId="09A7634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附件三：质量保修书格式</w:t>
      </w:r>
    </w:p>
    <w:p w14:paraId="04904832">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p>
    <w:p w14:paraId="1CE32D4B">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房屋建筑工程质量保修书</w:t>
      </w:r>
    </w:p>
    <w:p w14:paraId="279976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邹城市钢山街道杜家庄村村民委员会</w:t>
      </w:r>
      <w:r>
        <w:rPr>
          <w:rFonts w:hint="eastAsia" w:ascii="宋体" w:hAnsi="宋体" w:eastAsia="宋体" w:cs="宋体"/>
          <w:color w:val="auto"/>
          <w:sz w:val="24"/>
          <w:szCs w:val="24"/>
          <w:u w:val="single"/>
        </w:rPr>
        <w:t xml:space="preserve">                 </w:t>
      </w:r>
    </w:p>
    <w:p w14:paraId="2F3EB45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p>
    <w:p w14:paraId="254F83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发包人、承包人根据《中华人民共和国建筑法》、《建设工程质量管理条例》和《房屋建筑工程质量保修办法》，经协商一致，对</w:t>
      </w:r>
      <w:r>
        <w:rPr>
          <w:rFonts w:hint="eastAsia" w:ascii="宋体" w:hAnsi="宋体" w:cs="宋体"/>
          <w:color w:val="auto"/>
          <w:sz w:val="24"/>
          <w:szCs w:val="24"/>
          <w:u w:val="single"/>
          <w:lang w:eastAsia="zh-CN"/>
        </w:rPr>
        <w:t>邹城市钢山街道杜家庄村义和佳苑车棚建设工程</w:t>
      </w:r>
      <w:r>
        <w:rPr>
          <w:rFonts w:hint="eastAsia" w:ascii="宋体" w:hAnsi="宋体" w:eastAsia="宋体" w:cs="宋体"/>
          <w:color w:val="auto"/>
          <w:sz w:val="24"/>
          <w:szCs w:val="24"/>
          <w:u w:val="single"/>
        </w:rPr>
        <w:t xml:space="preserve">施工 </w:t>
      </w:r>
      <w:r>
        <w:rPr>
          <w:rFonts w:hint="eastAsia" w:ascii="宋体" w:hAnsi="宋体" w:eastAsia="宋体" w:cs="宋体"/>
          <w:color w:val="auto"/>
          <w:sz w:val="24"/>
          <w:szCs w:val="24"/>
        </w:rPr>
        <w:t>(工程名称)签订保修书。</w:t>
      </w:r>
    </w:p>
    <w:p w14:paraId="1FC914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一、工程保修范围和内容</w:t>
      </w:r>
    </w:p>
    <w:p w14:paraId="1AE102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承包人在保修期内，按照有关法律、法规、规章的管理规定和双方约定，承担本工程保修责任。</w:t>
      </w:r>
    </w:p>
    <w:p w14:paraId="2DD6773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C0EFB3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承包人施工的所有</w:t>
      </w:r>
      <w:r>
        <w:rPr>
          <w:rFonts w:hint="eastAsia" w:ascii="宋体" w:hAnsi="宋体" w:cs="宋体"/>
          <w:color w:val="auto"/>
          <w:sz w:val="24"/>
          <w:szCs w:val="24"/>
          <w:u w:val="single"/>
          <w:lang w:val="en-US" w:eastAsia="zh-CN"/>
        </w:rPr>
        <w:t>工程内容</w:t>
      </w:r>
      <w:r>
        <w:rPr>
          <w:rFonts w:hint="eastAsia" w:ascii="宋体" w:hAnsi="宋体" w:eastAsia="宋体" w:cs="宋体"/>
          <w:color w:val="auto"/>
          <w:sz w:val="24"/>
          <w:szCs w:val="24"/>
          <w:u w:val="single"/>
        </w:rPr>
        <w:t xml:space="preserve">。                                                                           </w:t>
      </w:r>
    </w:p>
    <w:p w14:paraId="3CE838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542845A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38FF75C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40026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二、保修期</w:t>
      </w:r>
    </w:p>
    <w:p w14:paraId="103C63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双方根据《建设工程质量管理条例》及有关规定，约定本工程的保修期如下：</w:t>
      </w:r>
    </w:p>
    <w:p w14:paraId="29BB6B69">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1、地基基础工程和主体结构工程为设计文件规定的该工程合理使用年限；</w:t>
      </w:r>
    </w:p>
    <w:p w14:paraId="5D10F184">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2、屋面防水工程、有防水要求的卫生间、房间和外墙面的防渗漏为</w:t>
      </w:r>
      <w:r>
        <w:rPr>
          <w:rFonts w:hint="eastAsia" w:ascii="宋体" w:hAnsi="宋体" w:eastAsia="宋体" w:cs="宋体"/>
          <w:color w:val="auto"/>
          <w:sz w:val="24"/>
          <w:szCs w:val="24"/>
          <w:u w:val="single"/>
        </w:rPr>
        <w:t xml:space="preserve"> 五 </w:t>
      </w:r>
      <w:r>
        <w:rPr>
          <w:rFonts w:hint="eastAsia" w:ascii="宋体" w:hAnsi="宋体" w:eastAsia="宋体" w:cs="宋体"/>
          <w:color w:val="auto"/>
          <w:sz w:val="24"/>
          <w:szCs w:val="24"/>
        </w:rPr>
        <w:t>年；</w:t>
      </w:r>
    </w:p>
    <w:p w14:paraId="158B8061">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3、装修工程为</w:t>
      </w:r>
      <w:r>
        <w:rPr>
          <w:rFonts w:hint="eastAsia" w:ascii="宋体" w:hAnsi="宋体" w:eastAsia="宋体" w:cs="宋体"/>
          <w:color w:val="auto"/>
          <w:sz w:val="24"/>
          <w:szCs w:val="24"/>
          <w:u w:val="single"/>
        </w:rPr>
        <w:t xml:space="preserve"> 二 </w:t>
      </w:r>
      <w:r>
        <w:rPr>
          <w:rFonts w:hint="eastAsia" w:ascii="宋体" w:hAnsi="宋体" w:eastAsia="宋体" w:cs="宋体"/>
          <w:color w:val="auto"/>
          <w:sz w:val="24"/>
          <w:szCs w:val="24"/>
        </w:rPr>
        <w:t>年；</w:t>
      </w:r>
    </w:p>
    <w:p w14:paraId="3C912915">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4、电气管线、给排水管道、设备安装工程为</w:t>
      </w:r>
      <w:r>
        <w:rPr>
          <w:rFonts w:hint="eastAsia" w:ascii="宋体" w:hAnsi="宋体" w:eastAsia="宋体" w:cs="宋体"/>
          <w:color w:val="auto"/>
          <w:sz w:val="24"/>
          <w:szCs w:val="24"/>
          <w:u w:val="single"/>
        </w:rPr>
        <w:t xml:space="preserve"> 二 </w:t>
      </w:r>
      <w:r>
        <w:rPr>
          <w:rFonts w:hint="eastAsia" w:ascii="宋体" w:hAnsi="宋体" w:eastAsia="宋体" w:cs="宋体"/>
          <w:color w:val="auto"/>
          <w:sz w:val="24"/>
          <w:szCs w:val="24"/>
        </w:rPr>
        <w:t>年；</w:t>
      </w:r>
    </w:p>
    <w:p w14:paraId="232A0A0B">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5、供热与供冷系统为</w:t>
      </w:r>
      <w:r>
        <w:rPr>
          <w:rFonts w:hint="eastAsia" w:ascii="宋体" w:hAnsi="宋体" w:eastAsia="宋体" w:cs="宋体"/>
          <w:color w:val="auto"/>
          <w:sz w:val="24"/>
          <w:szCs w:val="24"/>
          <w:u w:val="single"/>
        </w:rPr>
        <w:t xml:space="preserve"> 二 </w:t>
      </w:r>
      <w:r>
        <w:rPr>
          <w:rFonts w:hint="eastAsia" w:ascii="宋体" w:hAnsi="宋体" w:eastAsia="宋体" w:cs="宋体"/>
          <w:color w:val="auto"/>
          <w:sz w:val="24"/>
          <w:szCs w:val="24"/>
        </w:rPr>
        <w:t>个采暖期、供冷期；</w:t>
      </w:r>
    </w:p>
    <w:p w14:paraId="3F48B6A9">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6、其他项目保修期限约定如下：</w:t>
      </w:r>
    </w:p>
    <w:p w14:paraId="05867E2E">
      <w:pPr>
        <w:widowControl w:val="0"/>
        <w:kinsoku/>
        <w:wordWrap/>
        <w:overflowPunct/>
        <w:topLinePunct w:val="0"/>
        <w:autoSpaceDE/>
        <w:autoSpaceDN/>
        <w:bidi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承包人施工的室外所有项目保修期为二年</w:t>
      </w:r>
      <w:r>
        <w:rPr>
          <w:rFonts w:hint="eastAsia" w:ascii="宋体" w:hAnsi="宋体" w:cs="宋体"/>
          <w:color w:val="auto"/>
          <w:sz w:val="24"/>
          <w:szCs w:val="24"/>
          <w:u w:val="single"/>
          <w:lang w:eastAsia="zh-CN"/>
        </w:rPr>
        <w:t>，其中涉及以上保修期约定的，按上述约定执行</w:t>
      </w:r>
      <w:r>
        <w:rPr>
          <w:rFonts w:hint="eastAsia" w:ascii="宋体" w:hAnsi="宋体" w:eastAsia="宋体" w:cs="宋体"/>
          <w:color w:val="auto"/>
          <w:sz w:val="24"/>
          <w:szCs w:val="24"/>
        </w:rPr>
        <w:t>。</w:t>
      </w:r>
    </w:p>
    <w:p w14:paraId="3C350C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三、保修责任</w:t>
      </w:r>
    </w:p>
    <w:p w14:paraId="40B257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1、属于责任范围、内容的项目，承包人应当在接到保修通知之日起7天内派人保修。承包人不在约定期限内派人保修的，发包人可以委托他人修理。</w:t>
      </w:r>
    </w:p>
    <w:p w14:paraId="5390AA4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2、发生紧急抢修事故的，承包人在接到事故通知后，应当立即到达事故现场抢修。</w:t>
      </w:r>
    </w:p>
    <w:p w14:paraId="661A629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0229A4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14:paraId="2EDF5F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四、保修费用</w:t>
      </w:r>
    </w:p>
    <w:p w14:paraId="4AA470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保修费用由造成质量缺陷的责任方承担。</w:t>
      </w:r>
    </w:p>
    <w:p w14:paraId="014638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五、其他</w:t>
      </w:r>
    </w:p>
    <w:p w14:paraId="4365A4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双方约定的其他工程保修责任事项：</w:t>
      </w:r>
    </w:p>
    <w:p w14:paraId="2E3E36A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220BC82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1366961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08873D9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FCE97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本工程保修书，由施工合同发包人、承包人双方在竣工验收前共同签署，作为施工合同附件，其有效期限至保修期满。</w:t>
      </w:r>
    </w:p>
    <w:p w14:paraId="156F85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p>
    <w:p w14:paraId="20C4E0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p>
    <w:p w14:paraId="483D702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(公章)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承包人：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(公章)</w:t>
      </w:r>
    </w:p>
    <w:p w14:paraId="5E0D1EB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法定地址：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59EF50D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14:paraId="228170C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    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(签字)</w:t>
      </w:r>
    </w:p>
    <w:p w14:paraId="42F4E2F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6B671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传真：</w:t>
      </w:r>
      <w:r>
        <w:rPr>
          <w:rFonts w:hint="eastAsia" w:ascii="宋体" w:hAnsi="宋体" w:eastAsia="宋体" w:cs="宋体"/>
          <w:color w:val="auto"/>
          <w:sz w:val="24"/>
          <w:szCs w:val="24"/>
          <w:u w:val="single"/>
        </w:rPr>
        <w:t xml:space="preserve">                       </w:t>
      </w:r>
    </w:p>
    <w:p w14:paraId="042C9B7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电子邮箱：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893E44F">
      <w:pPr>
        <w:widowControl w:val="0"/>
        <w:kinsoku/>
        <w:wordWrap/>
        <w:overflowPunct/>
        <w:topLinePunct w:val="0"/>
        <w:autoSpaceDE/>
        <w:autoSpaceDN/>
        <w:bidi w:val="0"/>
        <w:spacing w:line="360" w:lineRule="auto"/>
        <w:ind w:left="5880" w:hanging="6720" w:hangingChars="28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w w:val="90"/>
          <w:sz w:val="24"/>
          <w:szCs w:val="24"/>
        </w:rPr>
        <w:t>：</w:t>
      </w:r>
      <w:r>
        <w:rPr>
          <w:rFonts w:hint="eastAsia" w:ascii="宋体" w:hAnsi="宋体" w:eastAsia="宋体" w:cs="宋体"/>
          <w:color w:val="auto"/>
          <w:w w:val="90"/>
          <w:sz w:val="24"/>
          <w:szCs w:val="24"/>
          <w:u w:val="single"/>
          <w:lang w:val="en-US" w:eastAsia="zh-CN"/>
        </w:rPr>
        <w:t xml:space="preserve">         </w:t>
      </w:r>
    </w:p>
    <w:p w14:paraId="2DF9E74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帐号：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帐号：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14:paraId="520217C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ADFD181">
      <w:pPr>
        <w:spacing w:line="360" w:lineRule="auto"/>
        <w:rPr>
          <w:rFonts w:ascii="宋体" w:hAnsi="宋体" w:cs="宋体"/>
          <w:b/>
          <w:bCs/>
          <w:color w:val="auto"/>
          <w:szCs w:val="21"/>
        </w:rPr>
      </w:pPr>
    </w:p>
    <w:p w14:paraId="611F75E4">
      <w:pPr>
        <w:rPr>
          <w:rFonts w:hint="eastAsia" w:ascii="宋体" w:hAnsi="宋体" w:eastAsia="宋体" w:cs="Times New Roman"/>
          <w:b/>
          <w:bCs/>
          <w:sz w:val="24"/>
          <w:szCs w:val="24"/>
        </w:rPr>
      </w:pPr>
      <w:r>
        <w:rPr>
          <w:rFonts w:hint="eastAsia" w:ascii="宋体" w:hAnsi="宋体" w:eastAsia="宋体" w:cs="Times New Roman"/>
          <w:b/>
          <w:bCs/>
          <w:sz w:val="24"/>
          <w:szCs w:val="24"/>
        </w:rPr>
        <w:br w:type="page"/>
      </w:r>
    </w:p>
    <w:p w14:paraId="281BCDAD">
      <w:pPr>
        <w:pStyle w:val="4"/>
        <w:rPr>
          <w:rFonts w:hint="eastAsia" w:ascii="宋体" w:hAnsi="宋体" w:eastAsia="宋体" w:cs="Times New Roman"/>
          <w:b/>
          <w:bCs/>
          <w:sz w:val="24"/>
          <w:szCs w:val="24"/>
        </w:rPr>
      </w:pPr>
      <w:r>
        <w:rPr>
          <w:rFonts w:hint="eastAsia" w:ascii="宋体" w:hAnsi="宋体" w:eastAsia="宋体" w:cs="Times New Roman"/>
          <w:b/>
          <w:bCs/>
          <w:sz w:val="24"/>
          <w:szCs w:val="24"/>
        </w:rPr>
        <w:t>附件</w:t>
      </w:r>
      <w:r>
        <w:rPr>
          <w:rFonts w:hint="eastAsia" w:ascii="宋体" w:hAnsi="宋体" w:eastAsia="宋体" w:cs="Times New Roman"/>
          <w:b/>
          <w:bCs/>
          <w:sz w:val="24"/>
          <w:szCs w:val="24"/>
          <w:lang w:val="en-US" w:eastAsia="zh-CN"/>
        </w:rPr>
        <w:t>四</w:t>
      </w:r>
      <w:r>
        <w:rPr>
          <w:rFonts w:hint="eastAsia" w:ascii="宋体" w:hAnsi="宋体" w:eastAsia="宋体" w:cs="Times New Roman"/>
          <w:b/>
          <w:bCs/>
          <w:sz w:val="24"/>
          <w:szCs w:val="24"/>
        </w:rPr>
        <w:t>：廉政责任书格式</w:t>
      </w:r>
    </w:p>
    <w:p w14:paraId="241AB713">
      <w:pPr>
        <w:spacing w:line="360" w:lineRule="auto"/>
        <w:ind w:firstLine="480" w:firstLineChars="200"/>
        <w:jc w:val="center"/>
        <w:rPr>
          <w:rFonts w:hint="eastAsia" w:ascii="黑体" w:hAnsi="宋体" w:eastAsia="黑体"/>
          <w:sz w:val="24"/>
          <w:szCs w:val="24"/>
        </w:rPr>
      </w:pPr>
      <w:r>
        <w:rPr>
          <w:rFonts w:hint="eastAsia" w:ascii="黑体" w:hAnsi="宋体" w:eastAsia="黑体"/>
          <w:sz w:val="24"/>
          <w:szCs w:val="24"/>
        </w:rPr>
        <w:t>建设工程廉政责任书</w:t>
      </w:r>
    </w:p>
    <w:p w14:paraId="362D2337">
      <w:pPr>
        <w:spacing w:line="360" w:lineRule="auto"/>
        <w:ind w:firstLine="480" w:firstLineChars="200"/>
        <w:rPr>
          <w:rFonts w:hint="eastAsia" w:ascii="宋体" w:hAnsi="宋体"/>
          <w:sz w:val="24"/>
          <w:szCs w:val="24"/>
        </w:rPr>
      </w:pPr>
      <w:r>
        <w:rPr>
          <w:rFonts w:hint="eastAsia" w:ascii="宋体" w:hAnsi="宋体"/>
          <w:sz w:val="24"/>
          <w:szCs w:val="24"/>
        </w:rPr>
        <w:t>发包人：</w:t>
      </w:r>
      <w:r>
        <w:rPr>
          <w:rFonts w:hint="eastAsia" w:ascii="宋体" w:hAnsi="宋体"/>
          <w:sz w:val="24"/>
          <w:szCs w:val="24"/>
          <w:u w:val="single"/>
        </w:rPr>
        <w:t xml:space="preserve">  </w:t>
      </w:r>
      <w:r>
        <w:rPr>
          <w:rFonts w:hint="eastAsia" w:ascii="宋体" w:hAnsi="宋体"/>
          <w:sz w:val="24"/>
          <w:szCs w:val="24"/>
          <w:u w:val="single"/>
          <w:lang w:eastAsia="zh-CN"/>
        </w:rPr>
        <w:t>邹城市钢山街道杜家庄村村民委员会</w:t>
      </w:r>
      <w:r>
        <w:rPr>
          <w:rFonts w:hint="eastAsia" w:ascii="宋体" w:hAnsi="宋体"/>
          <w:sz w:val="24"/>
          <w:szCs w:val="24"/>
          <w:u w:val="single"/>
        </w:rPr>
        <w:t xml:space="preserve">       </w:t>
      </w:r>
    </w:p>
    <w:p w14:paraId="0D8101AB">
      <w:pPr>
        <w:spacing w:line="360" w:lineRule="auto"/>
        <w:ind w:firstLine="480" w:firstLineChars="200"/>
        <w:rPr>
          <w:rFonts w:hint="eastAsia" w:ascii="宋体" w:hAnsi="宋体"/>
          <w:sz w:val="24"/>
          <w:szCs w:val="24"/>
        </w:rPr>
      </w:pPr>
      <w:r>
        <w:rPr>
          <w:rFonts w:hint="eastAsia" w:ascii="宋体" w:hAnsi="宋体"/>
          <w:sz w:val="24"/>
          <w:szCs w:val="24"/>
        </w:rPr>
        <w:t>承包人：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7B95475F">
      <w:pPr>
        <w:spacing w:line="360" w:lineRule="auto"/>
        <w:ind w:firstLine="480" w:firstLineChars="200"/>
        <w:rPr>
          <w:rFonts w:hint="eastAsia" w:ascii="宋体" w:hAnsi="宋体"/>
          <w:sz w:val="24"/>
          <w:szCs w:val="24"/>
        </w:rPr>
      </w:pPr>
      <w:r>
        <w:rPr>
          <w:rFonts w:hint="eastAsia" w:ascii="宋体" w:hAnsi="宋体"/>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E482ECA">
      <w:pPr>
        <w:spacing w:line="360" w:lineRule="auto"/>
        <w:ind w:firstLine="480" w:firstLineChars="200"/>
        <w:rPr>
          <w:rFonts w:hint="eastAsia" w:ascii="黑体" w:hAnsi="宋体" w:eastAsia="黑体"/>
          <w:sz w:val="24"/>
          <w:szCs w:val="24"/>
        </w:rPr>
      </w:pPr>
      <w:r>
        <w:rPr>
          <w:rFonts w:hint="eastAsia" w:ascii="黑体" w:hAnsi="宋体" w:eastAsia="黑体"/>
          <w:sz w:val="24"/>
          <w:szCs w:val="24"/>
        </w:rPr>
        <w:t>一、双方的责任</w:t>
      </w:r>
    </w:p>
    <w:p w14:paraId="68CED53B">
      <w:pPr>
        <w:spacing w:line="360" w:lineRule="auto"/>
        <w:ind w:firstLine="480" w:firstLineChars="200"/>
        <w:rPr>
          <w:rFonts w:hint="eastAsia" w:ascii="宋体" w:hAnsi="宋体"/>
          <w:sz w:val="24"/>
          <w:szCs w:val="24"/>
        </w:rPr>
      </w:pPr>
      <w:r>
        <w:rPr>
          <w:rFonts w:hint="eastAsia" w:ascii="宋体" w:hAnsi="宋体"/>
          <w:sz w:val="24"/>
          <w:szCs w:val="24"/>
        </w:rPr>
        <w:t>1.1应严格遵守国家关于建设工程的有关法律、法规，相关政策，以及廉政建设的各项规定。</w:t>
      </w:r>
    </w:p>
    <w:p w14:paraId="77A66E82">
      <w:pPr>
        <w:spacing w:line="360" w:lineRule="auto"/>
        <w:ind w:firstLine="480" w:firstLineChars="200"/>
        <w:rPr>
          <w:rFonts w:hint="eastAsia" w:ascii="宋体" w:hAnsi="宋体"/>
          <w:sz w:val="24"/>
          <w:szCs w:val="24"/>
        </w:rPr>
      </w:pPr>
      <w:r>
        <w:rPr>
          <w:rFonts w:hint="eastAsia" w:ascii="宋体" w:hAnsi="宋体"/>
          <w:sz w:val="24"/>
          <w:szCs w:val="24"/>
        </w:rPr>
        <w:t>1.2严格执行建设工程合同文件，自觉按合同办事。</w:t>
      </w:r>
    </w:p>
    <w:p w14:paraId="696FFC84">
      <w:pPr>
        <w:spacing w:line="360" w:lineRule="auto"/>
        <w:ind w:firstLine="480" w:firstLineChars="200"/>
        <w:rPr>
          <w:rFonts w:hint="eastAsia" w:ascii="宋体" w:hAnsi="宋体"/>
          <w:sz w:val="24"/>
          <w:szCs w:val="24"/>
        </w:rPr>
      </w:pPr>
      <w:r>
        <w:rPr>
          <w:rFonts w:hint="eastAsia" w:ascii="宋体" w:hAnsi="宋体"/>
          <w:sz w:val="24"/>
          <w:szCs w:val="24"/>
        </w:rPr>
        <w:t>1.3各项活动必须坚持公开、公平、公正、诚信、透明的原则(除法律法规另有规定者外)，不得为获取不正当的利益，损害国家、集体和对方利益，不得违反建设工程管理的规章制度。</w:t>
      </w:r>
    </w:p>
    <w:p w14:paraId="77FAF779">
      <w:pPr>
        <w:spacing w:line="360" w:lineRule="auto"/>
        <w:ind w:firstLine="480" w:firstLineChars="200"/>
        <w:rPr>
          <w:rFonts w:hint="eastAsia" w:ascii="宋体" w:hAnsi="宋体"/>
          <w:sz w:val="24"/>
          <w:szCs w:val="24"/>
        </w:rPr>
      </w:pPr>
      <w:r>
        <w:rPr>
          <w:rFonts w:hint="eastAsia" w:ascii="宋体" w:hAnsi="宋体"/>
          <w:sz w:val="24"/>
          <w:szCs w:val="24"/>
        </w:rPr>
        <w:t>1.4发现对方在业务活动中有违规、违纪、违法行为的，应及时提醒对方，情节严重的，应向其上级主管部门或纪检监察、司法等有关机关举报。</w:t>
      </w:r>
    </w:p>
    <w:p w14:paraId="7C806107">
      <w:pPr>
        <w:spacing w:line="360" w:lineRule="auto"/>
        <w:ind w:firstLine="480" w:firstLineChars="200"/>
        <w:rPr>
          <w:rFonts w:hint="eastAsia" w:ascii="黑体" w:hAnsi="宋体" w:eastAsia="黑体"/>
          <w:sz w:val="24"/>
          <w:szCs w:val="24"/>
        </w:rPr>
      </w:pPr>
      <w:r>
        <w:rPr>
          <w:rFonts w:hint="eastAsia" w:ascii="黑体" w:hAnsi="宋体" w:eastAsia="黑体"/>
          <w:sz w:val="24"/>
          <w:szCs w:val="24"/>
        </w:rPr>
        <w:t>二、发包人责任</w:t>
      </w:r>
    </w:p>
    <w:p w14:paraId="52D6C683">
      <w:pPr>
        <w:spacing w:line="360" w:lineRule="auto"/>
        <w:ind w:firstLine="480" w:firstLineChars="200"/>
        <w:rPr>
          <w:rFonts w:hint="eastAsia" w:ascii="宋体" w:hAnsi="宋体"/>
          <w:sz w:val="24"/>
          <w:szCs w:val="24"/>
        </w:rPr>
      </w:pPr>
      <w:r>
        <w:rPr>
          <w:rFonts w:hint="eastAsia" w:ascii="宋体" w:hAnsi="宋体"/>
          <w:sz w:val="24"/>
          <w:szCs w:val="24"/>
        </w:rPr>
        <w:t>发包人的领导和从事该建设工程项目的工作人员，在工程建设的事前、事中、事后应遵守以下规定：</w:t>
      </w:r>
    </w:p>
    <w:p w14:paraId="41AEC64E">
      <w:pPr>
        <w:spacing w:line="360" w:lineRule="auto"/>
        <w:ind w:firstLine="480" w:firstLineChars="200"/>
        <w:rPr>
          <w:rFonts w:hint="eastAsia" w:ascii="宋体" w:hAnsi="宋体"/>
          <w:sz w:val="24"/>
          <w:szCs w:val="24"/>
        </w:rPr>
      </w:pPr>
      <w:r>
        <w:rPr>
          <w:rFonts w:hint="eastAsia" w:ascii="宋体" w:hAnsi="宋体"/>
          <w:sz w:val="24"/>
          <w:szCs w:val="24"/>
        </w:rPr>
        <w:t>2.1不得向承包人和相关单位索要或接受回扣、礼金、有价证券、贵重物品和好处费、感谢费等。</w:t>
      </w:r>
    </w:p>
    <w:p w14:paraId="0EA525D8">
      <w:pPr>
        <w:spacing w:line="360" w:lineRule="auto"/>
        <w:ind w:firstLine="480" w:firstLineChars="200"/>
        <w:rPr>
          <w:rFonts w:hint="eastAsia" w:ascii="宋体" w:hAnsi="宋体"/>
          <w:sz w:val="24"/>
          <w:szCs w:val="24"/>
        </w:rPr>
      </w:pPr>
      <w:r>
        <w:rPr>
          <w:rFonts w:hint="eastAsia" w:ascii="宋体" w:hAnsi="宋体"/>
          <w:sz w:val="24"/>
          <w:szCs w:val="24"/>
        </w:rPr>
        <w:t>2.2不得在承包人和相关单位报销任何应由发包人或个人支付的费用。</w:t>
      </w:r>
    </w:p>
    <w:p w14:paraId="565A5756">
      <w:pPr>
        <w:spacing w:line="360" w:lineRule="auto"/>
        <w:ind w:firstLine="480" w:firstLineChars="200"/>
        <w:rPr>
          <w:rFonts w:hint="eastAsia" w:ascii="宋体" w:hAnsi="宋体"/>
          <w:sz w:val="24"/>
          <w:szCs w:val="24"/>
        </w:rPr>
      </w:pPr>
      <w:r>
        <w:rPr>
          <w:rFonts w:hint="eastAsia" w:ascii="宋体" w:hAnsi="宋体"/>
          <w:sz w:val="24"/>
          <w:szCs w:val="24"/>
        </w:rPr>
        <w:t>2.3不得要求、暗示或接受承包人和相关单位为个人装修住房、婚丧嫁娶、配偶子女的工作安排以及出国(境)、旅游等提供方便。</w:t>
      </w:r>
    </w:p>
    <w:p w14:paraId="64CCEDE1">
      <w:pPr>
        <w:spacing w:line="360" w:lineRule="auto"/>
        <w:ind w:firstLine="480" w:firstLineChars="200"/>
        <w:rPr>
          <w:rFonts w:hint="eastAsia" w:ascii="宋体" w:hAnsi="宋体"/>
          <w:sz w:val="24"/>
          <w:szCs w:val="24"/>
        </w:rPr>
      </w:pPr>
      <w:r>
        <w:rPr>
          <w:rFonts w:hint="eastAsia" w:ascii="宋体" w:hAnsi="宋体"/>
          <w:sz w:val="24"/>
          <w:szCs w:val="24"/>
        </w:rPr>
        <w:t>2.4不得参加有可能影响公正执行公务的承包人和相关单位的宴请、健身、娱乐等活动。</w:t>
      </w:r>
    </w:p>
    <w:p w14:paraId="1FBD3491">
      <w:pPr>
        <w:spacing w:line="360" w:lineRule="auto"/>
        <w:ind w:firstLine="480" w:firstLineChars="200"/>
        <w:rPr>
          <w:rFonts w:hint="eastAsia" w:ascii="宋体" w:hAnsi="宋体"/>
          <w:sz w:val="24"/>
          <w:szCs w:val="24"/>
        </w:rPr>
      </w:pPr>
      <w:r>
        <w:rPr>
          <w:rFonts w:hint="eastAsia" w:ascii="宋体" w:hAnsi="宋体"/>
          <w:sz w:val="24"/>
          <w:szCs w:val="24"/>
        </w:rPr>
        <w:t>2.5不得向承包人和相关单位介绍或为配偶、子女、亲属参与同发包人工程建设管理合同有关的业务活动；不得以任何理由要求承包人和相关单位使用某种产品、材料和设备。</w:t>
      </w:r>
    </w:p>
    <w:p w14:paraId="55740462">
      <w:pPr>
        <w:spacing w:line="360" w:lineRule="auto"/>
        <w:ind w:firstLine="480" w:firstLineChars="200"/>
        <w:rPr>
          <w:rFonts w:hint="eastAsia" w:ascii="黑体" w:hAnsi="宋体" w:eastAsia="黑体"/>
          <w:sz w:val="24"/>
          <w:szCs w:val="24"/>
        </w:rPr>
      </w:pPr>
      <w:r>
        <w:rPr>
          <w:rFonts w:hint="eastAsia" w:ascii="黑体" w:hAnsi="宋体" w:eastAsia="黑体"/>
          <w:sz w:val="24"/>
          <w:szCs w:val="24"/>
        </w:rPr>
        <w:t>三、承包人责任</w:t>
      </w:r>
    </w:p>
    <w:p w14:paraId="0384D88E">
      <w:pPr>
        <w:spacing w:line="360" w:lineRule="auto"/>
        <w:ind w:firstLine="480" w:firstLineChars="200"/>
        <w:rPr>
          <w:rFonts w:hint="eastAsia" w:ascii="宋体" w:hAnsi="宋体"/>
          <w:sz w:val="24"/>
          <w:szCs w:val="24"/>
        </w:rPr>
      </w:pPr>
      <w:r>
        <w:rPr>
          <w:rFonts w:hint="eastAsia" w:ascii="宋体" w:hAnsi="宋体"/>
          <w:sz w:val="24"/>
          <w:szCs w:val="24"/>
        </w:rPr>
        <w:t>应与发包人保持正常的业务交往，按照有关法律法规和程序开展业务工作，严格执行工程建设的有关方针、政策，执行工程建设强制性标准，并遵守以下规定：</w:t>
      </w:r>
    </w:p>
    <w:p w14:paraId="63FB9AE2">
      <w:pPr>
        <w:spacing w:line="360" w:lineRule="auto"/>
        <w:ind w:firstLine="480" w:firstLineChars="200"/>
        <w:rPr>
          <w:rFonts w:hint="eastAsia" w:ascii="宋体" w:hAnsi="宋体"/>
          <w:sz w:val="24"/>
          <w:szCs w:val="24"/>
        </w:rPr>
      </w:pPr>
      <w:r>
        <w:rPr>
          <w:rFonts w:hint="eastAsia" w:ascii="宋体" w:hAnsi="宋体"/>
          <w:sz w:val="24"/>
          <w:szCs w:val="24"/>
        </w:rPr>
        <w:t>3.1不得以任何理由向发包人及其工作人员索要、接受或赠送礼金、有价证券、贵重物品及回扣、好处费、感谢费等。</w:t>
      </w:r>
    </w:p>
    <w:p w14:paraId="6AEABAB5">
      <w:pPr>
        <w:spacing w:line="360" w:lineRule="auto"/>
        <w:ind w:firstLine="480" w:firstLineChars="200"/>
        <w:rPr>
          <w:rFonts w:hint="eastAsia" w:ascii="宋体" w:hAnsi="宋体"/>
          <w:sz w:val="24"/>
          <w:szCs w:val="24"/>
        </w:rPr>
      </w:pPr>
      <w:r>
        <w:rPr>
          <w:rFonts w:hint="eastAsia" w:ascii="宋体" w:hAnsi="宋体"/>
          <w:sz w:val="24"/>
          <w:szCs w:val="24"/>
        </w:rPr>
        <w:t>3.2不得以任何理由为发包人和相关单位报销应由对方或个人支付的费用。</w:t>
      </w:r>
    </w:p>
    <w:p w14:paraId="39FFD1B3">
      <w:pPr>
        <w:spacing w:line="360" w:lineRule="auto"/>
        <w:ind w:firstLine="480" w:firstLineChars="200"/>
        <w:rPr>
          <w:rFonts w:hint="eastAsia" w:ascii="宋体" w:hAnsi="宋体"/>
          <w:sz w:val="24"/>
          <w:szCs w:val="24"/>
        </w:rPr>
      </w:pPr>
      <w:r>
        <w:rPr>
          <w:rFonts w:hint="eastAsia" w:ascii="宋体" w:hAnsi="宋体"/>
          <w:sz w:val="24"/>
          <w:szCs w:val="24"/>
        </w:rPr>
        <w:t>3.3不得接受或暗示为发包人、相关单位或个人装修住房、婚丧嫁娶、配偶子女的工作安排以及出国(境)、旅游等提供方便。</w:t>
      </w:r>
    </w:p>
    <w:p w14:paraId="03EDAFA2">
      <w:pPr>
        <w:spacing w:line="360" w:lineRule="auto"/>
        <w:ind w:firstLine="480" w:firstLineChars="200"/>
        <w:rPr>
          <w:rFonts w:hint="eastAsia" w:ascii="宋体" w:hAnsi="宋体"/>
          <w:sz w:val="24"/>
          <w:szCs w:val="24"/>
        </w:rPr>
      </w:pPr>
      <w:r>
        <w:rPr>
          <w:rFonts w:hint="eastAsia" w:ascii="宋体" w:hAnsi="宋体"/>
          <w:sz w:val="24"/>
          <w:szCs w:val="24"/>
        </w:rPr>
        <w:t>3.4不得以任何理由为发包人、相关单位或个人组织有可能影响公正执行公务的宴请、健身、娱乐等活动。</w:t>
      </w:r>
    </w:p>
    <w:p w14:paraId="6194E9D9">
      <w:pPr>
        <w:spacing w:line="360" w:lineRule="auto"/>
        <w:ind w:firstLine="480" w:firstLineChars="200"/>
        <w:rPr>
          <w:rFonts w:hint="eastAsia" w:ascii="黑体" w:hAnsi="宋体" w:eastAsia="黑体"/>
          <w:sz w:val="24"/>
          <w:szCs w:val="24"/>
        </w:rPr>
      </w:pPr>
      <w:r>
        <w:rPr>
          <w:rFonts w:hint="eastAsia" w:ascii="黑体" w:hAnsi="宋体" w:eastAsia="黑体"/>
          <w:sz w:val="24"/>
          <w:szCs w:val="24"/>
        </w:rPr>
        <w:t>四、违约责任</w:t>
      </w:r>
    </w:p>
    <w:p w14:paraId="553650C9">
      <w:pPr>
        <w:spacing w:line="360" w:lineRule="auto"/>
        <w:ind w:firstLine="480" w:firstLineChars="200"/>
        <w:rPr>
          <w:rFonts w:hint="eastAsia" w:ascii="宋体" w:hAnsi="宋体"/>
          <w:sz w:val="24"/>
          <w:szCs w:val="24"/>
        </w:rPr>
      </w:pPr>
      <w:r>
        <w:rPr>
          <w:rFonts w:hint="eastAsia" w:ascii="宋体" w:hAnsi="宋体"/>
          <w:sz w:val="24"/>
          <w:szCs w:val="24"/>
        </w:rPr>
        <w:t>4.1发包人工作人员有违反本责任书第一、二条责任行为的，依据有关法律、法规给予处理；涉嫌犯罪的，移交司法机关追究刑事责任；给承包人单位造成经济损失的，应予以赔偿。</w:t>
      </w:r>
    </w:p>
    <w:p w14:paraId="01BA1348">
      <w:pPr>
        <w:spacing w:line="360" w:lineRule="auto"/>
        <w:ind w:firstLine="480" w:firstLineChars="200"/>
        <w:rPr>
          <w:rFonts w:hint="eastAsia" w:ascii="宋体" w:hAnsi="宋体"/>
          <w:sz w:val="24"/>
          <w:szCs w:val="24"/>
        </w:rPr>
      </w:pPr>
      <w:r>
        <w:rPr>
          <w:rFonts w:hint="eastAsia" w:ascii="宋体" w:hAnsi="宋体"/>
          <w:sz w:val="24"/>
          <w:szCs w:val="24"/>
        </w:rPr>
        <w:t>4.2承包人工作人员有违反本责任书第一、三条责任行为的，依据有关法律法规处理；涉嫌犯罪的，移交司法机关追究刑事责任；给发包人单位造成经济损失的，应予以赔偿。</w:t>
      </w:r>
    </w:p>
    <w:p w14:paraId="727F5AF3">
      <w:pPr>
        <w:spacing w:line="360" w:lineRule="auto"/>
        <w:ind w:firstLine="480" w:firstLineChars="200"/>
        <w:rPr>
          <w:rFonts w:hint="eastAsia" w:ascii="宋体" w:hAnsi="宋体"/>
          <w:sz w:val="24"/>
          <w:szCs w:val="24"/>
        </w:rPr>
      </w:pPr>
      <w:r>
        <w:rPr>
          <w:rFonts w:hint="eastAsia" w:ascii="宋体" w:hAnsi="宋体"/>
          <w:sz w:val="24"/>
          <w:szCs w:val="24"/>
        </w:rPr>
        <w:t>4.3本责任书作为建设工程合同的组成部分，与建设工程合同具有同等法律效力。经双方签署后立即生效。</w:t>
      </w:r>
    </w:p>
    <w:p w14:paraId="3B5A2945">
      <w:pPr>
        <w:spacing w:line="360" w:lineRule="auto"/>
        <w:ind w:firstLine="480" w:firstLineChars="200"/>
        <w:rPr>
          <w:rFonts w:hint="eastAsia" w:ascii="黑体" w:hAnsi="宋体" w:eastAsia="黑体"/>
          <w:sz w:val="24"/>
          <w:szCs w:val="24"/>
        </w:rPr>
      </w:pPr>
      <w:r>
        <w:rPr>
          <w:rFonts w:hint="eastAsia" w:ascii="黑体" w:hAnsi="宋体" w:eastAsia="黑体"/>
          <w:sz w:val="24"/>
          <w:szCs w:val="24"/>
        </w:rPr>
        <w:t>五、责任书有效期</w:t>
      </w:r>
    </w:p>
    <w:p w14:paraId="4BD5D6BD">
      <w:pPr>
        <w:spacing w:line="360" w:lineRule="auto"/>
        <w:ind w:firstLine="480" w:firstLineChars="200"/>
        <w:rPr>
          <w:rFonts w:hint="eastAsia" w:ascii="宋体" w:hAnsi="宋体"/>
          <w:sz w:val="24"/>
          <w:szCs w:val="24"/>
        </w:rPr>
      </w:pPr>
      <w:r>
        <w:rPr>
          <w:rFonts w:hint="eastAsia" w:ascii="宋体" w:hAnsi="宋体"/>
          <w:sz w:val="24"/>
          <w:szCs w:val="24"/>
        </w:rPr>
        <w:t>本责任书的有效期为双方签署之日起至该工程项目竣工验收合格时止。</w:t>
      </w:r>
    </w:p>
    <w:p w14:paraId="7DDBFFDD">
      <w:pPr>
        <w:spacing w:line="360" w:lineRule="auto"/>
        <w:ind w:firstLine="480" w:firstLineChars="200"/>
        <w:rPr>
          <w:rFonts w:hint="eastAsia" w:ascii="黑体" w:hAnsi="宋体" w:eastAsia="黑体"/>
          <w:sz w:val="24"/>
          <w:szCs w:val="24"/>
        </w:rPr>
      </w:pPr>
      <w:r>
        <w:rPr>
          <w:rFonts w:hint="eastAsia" w:ascii="黑体" w:hAnsi="宋体" w:eastAsia="黑体"/>
          <w:sz w:val="24"/>
          <w:szCs w:val="24"/>
        </w:rPr>
        <w:t>六、责任书份数</w:t>
      </w:r>
    </w:p>
    <w:p w14:paraId="4B00858F">
      <w:pPr>
        <w:spacing w:line="360" w:lineRule="auto"/>
        <w:ind w:firstLine="480" w:firstLineChars="200"/>
        <w:rPr>
          <w:rFonts w:hint="eastAsia" w:ascii="宋体" w:hAnsi="宋体"/>
          <w:sz w:val="24"/>
          <w:szCs w:val="24"/>
        </w:rPr>
      </w:pPr>
      <w:r>
        <w:rPr>
          <w:rFonts w:hint="eastAsia" w:ascii="宋体" w:hAnsi="宋体"/>
          <w:sz w:val="24"/>
          <w:szCs w:val="24"/>
        </w:rPr>
        <w:t>本责任书一式二份，发包人承包人各执一份，具有同等效力。</w:t>
      </w:r>
    </w:p>
    <w:p w14:paraId="2201C48D">
      <w:pPr>
        <w:spacing w:line="360" w:lineRule="auto"/>
        <w:ind w:firstLine="480" w:firstLineChars="200"/>
        <w:rPr>
          <w:rFonts w:hint="eastAsia" w:ascii="宋体" w:hAnsi="宋体"/>
          <w:sz w:val="24"/>
          <w:szCs w:val="24"/>
        </w:rPr>
      </w:pPr>
    </w:p>
    <w:p w14:paraId="7CFA916C">
      <w:pPr>
        <w:spacing w:line="360" w:lineRule="auto"/>
        <w:ind w:firstLine="480" w:firstLineChars="200"/>
        <w:rPr>
          <w:rFonts w:hint="eastAsia" w:ascii="宋体" w:hAnsi="宋体"/>
          <w:sz w:val="24"/>
          <w:szCs w:val="24"/>
        </w:rPr>
      </w:pPr>
    </w:p>
    <w:p w14:paraId="0A3ABCB7">
      <w:pPr>
        <w:spacing w:line="360" w:lineRule="auto"/>
        <w:ind w:firstLine="480" w:firstLineChars="200"/>
        <w:rPr>
          <w:rFonts w:hint="eastAsia" w:ascii="宋体" w:hAnsi="宋体"/>
          <w:sz w:val="24"/>
          <w:szCs w:val="24"/>
        </w:rPr>
      </w:pPr>
    </w:p>
    <w:p w14:paraId="09B07324">
      <w:pPr>
        <w:spacing w:line="360" w:lineRule="auto"/>
        <w:ind w:firstLine="480" w:firstLineChars="200"/>
        <w:rPr>
          <w:rFonts w:hint="eastAsia" w:ascii="宋体" w:hAnsi="宋体"/>
          <w:sz w:val="24"/>
          <w:szCs w:val="24"/>
        </w:rPr>
      </w:pPr>
      <w:r>
        <w:rPr>
          <w:rFonts w:hint="eastAsia" w:ascii="宋体" w:hAnsi="宋体"/>
          <w:sz w:val="24"/>
          <w:szCs w:val="24"/>
        </w:rPr>
        <w:t>发包人：</w:t>
      </w:r>
      <w:r>
        <w:rPr>
          <w:rFonts w:hint="eastAsia" w:ascii="宋体" w:hAnsi="宋体"/>
          <w:sz w:val="24"/>
          <w:szCs w:val="24"/>
          <w:u w:val="single"/>
        </w:rPr>
        <w:t xml:space="preserve">                     </w:t>
      </w:r>
      <w:r>
        <w:rPr>
          <w:rFonts w:hint="eastAsia" w:ascii="宋体" w:hAnsi="宋体"/>
          <w:sz w:val="24"/>
          <w:szCs w:val="24"/>
        </w:rPr>
        <w:t>(公章)    承包人：</w:t>
      </w:r>
      <w:r>
        <w:rPr>
          <w:rFonts w:hint="eastAsia" w:ascii="宋体" w:hAnsi="宋体"/>
          <w:sz w:val="24"/>
          <w:szCs w:val="24"/>
          <w:u w:val="single"/>
        </w:rPr>
        <w:t xml:space="preserve">                     </w:t>
      </w:r>
      <w:r>
        <w:rPr>
          <w:rFonts w:hint="eastAsia" w:ascii="宋体" w:hAnsi="宋体"/>
          <w:sz w:val="24"/>
          <w:szCs w:val="24"/>
        </w:rPr>
        <w:t xml:space="preserve"> (公章)</w:t>
      </w:r>
    </w:p>
    <w:p w14:paraId="4817148F">
      <w:pPr>
        <w:spacing w:line="360" w:lineRule="auto"/>
        <w:ind w:firstLine="480" w:firstLineChars="200"/>
        <w:rPr>
          <w:rFonts w:hint="eastAsia" w:ascii="宋体" w:hAnsi="宋体"/>
          <w:sz w:val="24"/>
          <w:szCs w:val="24"/>
        </w:rPr>
      </w:pPr>
      <w:r>
        <w:rPr>
          <w:rFonts w:hint="eastAsia" w:ascii="宋体" w:hAnsi="宋体"/>
          <w:sz w:val="24"/>
          <w:szCs w:val="24"/>
        </w:rPr>
        <w:t>法定地址：</w:t>
      </w:r>
      <w:r>
        <w:rPr>
          <w:rFonts w:hint="eastAsia" w:ascii="宋体" w:hAnsi="宋体"/>
          <w:sz w:val="24"/>
          <w:szCs w:val="24"/>
          <w:u w:val="single"/>
        </w:rPr>
        <w:t xml:space="preserve">                   </w:t>
      </w:r>
      <w:r>
        <w:rPr>
          <w:rFonts w:hint="eastAsia" w:ascii="宋体" w:hAnsi="宋体"/>
          <w:sz w:val="24"/>
          <w:szCs w:val="24"/>
        </w:rPr>
        <w:t xml:space="preserve">          法定地址：</w:t>
      </w:r>
      <w:r>
        <w:rPr>
          <w:rFonts w:hint="eastAsia" w:ascii="宋体" w:hAnsi="宋体"/>
          <w:sz w:val="24"/>
          <w:szCs w:val="24"/>
          <w:u w:val="single"/>
        </w:rPr>
        <w:t xml:space="preserve">                   </w:t>
      </w:r>
    </w:p>
    <w:p w14:paraId="1ED97B6B">
      <w:pPr>
        <w:spacing w:line="360" w:lineRule="auto"/>
        <w:ind w:firstLine="480" w:firstLineChars="200"/>
        <w:rPr>
          <w:rFonts w:hint="eastAsia" w:ascii="宋体" w:hAnsi="宋体"/>
          <w:sz w:val="24"/>
          <w:szCs w:val="24"/>
        </w:rPr>
      </w:pPr>
      <w:r>
        <w:rPr>
          <w:rFonts w:hint="eastAsia" w:ascii="宋体" w:hAnsi="宋体"/>
          <w:sz w:val="24"/>
          <w:szCs w:val="24"/>
        </w:rPr>
        <w:t>法定代表人或其                         法定代表人或其</w:t>
      </w:r>
    </w:p>
    <w:p w14:paraId="4F4213B4">
      <w:pPr>
        <w:spacing w:line="360" w:lineRule="auto"/>
        <w:ind w:firstLine="480" w:firstLineChars="200"/>
        <w:rPr>
          <w:rFonts w:hint="eastAsia" w:ascii="宋体" w:hAnsi="宋体"/>
          <w:sz w:val="24"/>
          <w:szCs w:val="24"/>
        </w:rPr>
      </w:pPr>
      <w:r>
        <w:rPr>
          <w:rFonts w:hint="eastAsia" w:ascii="宋体" w:hAnsi="宋体"/>
          <w:sz w:val="24"/>
          <w:szCs w:val="24"/>
        </w:rPr>
        <w:t>委托代理人：</w:t>
      </w:r>
      <w:r>
        <w:rPr>
          <w:rFonts w:hint="eastAsia" w:ascii="宋体" w:hAnsi="宋体"/>
          <w:sz w:val="24"/>
          <w:szCs w:val="24"/>
          <w:u w:val="single"/>
        </w:rPr>
        <w:t xml:space="preserve">                 </w:t>
      </w:r>
      <w:r>
        <w:rPr>
          <w:rFonts w:hint="eastAsia" w:ascii="宋体" w:hAnsi="宋体"/>
          <w:sz w:val="24"/>
          <w:szCs w:val="24"/>
        </w:rPr>
        <w:t>(签字)    委托代理人：</w:t>
      </w:r>
      <w:r>
        <w:rPr>
          <w:rFonts w:hint="eastAsia" w:ascii="宋体" w:hAnsi="宋体"/>
          <w:sz w:val="24"/>
          <w:szCs w:val="24"/>
          <w:u w:val="single"/>
        </w:rPr>
        <w:t xml:space="preserve">                 </w:t>
      </w:r>
      <w:r>
        <w:rPr>
          <w:rFonts w:hint="eastAsia" w:ascii="宋体" w:hAnsi="宋体"/>
          <w:sz w:val="24"/>
          <w:szCs w:val="24"/>
        </w:rPr>
        <w:t xml:space="preserve"> (签字)</w:t>
      </w:r>
    </w:p>
    <w:p w14:paraId="4F2DDC55">
      <w:pPr>
        <w:spacing w:line="360" w:lineRule="auto"/>
        <w:ind w:firstLine="480" w:firstLineChars="200"/>
        <w:rPr>
          <w:rFonts w:hint="eastAsia" w:ascii="宋体" w:hAnsi="宋体"/>
          <w:sz w:val="24"/>
          <w:szCs w:val="24"/>
        </w:rPr>
      </w:pPr>
      <w:r>
        <w:rPr>
          <w:rFonts w:hint="eastAsia" w:ascii="宋体" w:hAnsi="宋体"/>
          <w:sz w:val="24"/>
          <w:szCs w:val="24"/>
        </w:rPr>
        <w:t>电话：</w:t>
      </w:r>
      <w:r>
        <w:rPr>
          <w:rFonts w:hint="eastAsia" w:ascii="宋体" w:hAnsi="宋体"/>
          <w:sz w:val="24"/>
          <w:szCs w:val="24"/>
          <w:u w:val="single"/>
        </w:rPr>
        <w:t xml:space="preserve">                       </w:t>
      </w:r>
      <w:r>
        <w:rPr>
          <w:rFonts w:hint="eastAsia" w:ascii="宋体" w:hAnsi="宋体"/>
          <w:sz w:val="24"/>
          <w:szCs w:val="24"/>
        </w:rPr>
        <w:t xml:space="preserve">          电话：</w:t>
      </w:r>
      <w:r>
        <w:rPr>
          <w:rFonts w:hint="eastAsia" w:ascii="宋体" w:hAnsi="宋体"/>
          <w:sz w:val="24"/>
          <w:szCs w:val="24"/>
          <w:u w:val="single"/>
        </w:rPr>
        <w:t xml:space="preserve">                       </w:t>
      </w:r>
    </w:p>
    <w:p w14:paraId="621B98B7">
      <w:pPr>
        <w:spacing w:line="360" w:lineRule="auto"/>
        <w:ind w:firstLine="480" w:firstLineChars="200"/>
        <w:rPr>
          <w:rFonts w:hint="eastAsia" w:ascii="宋体" w:hAnsi="宋体"/>
          <w:sz w:val="24"/>
          <w:szCs w:val="24"/>
        </w:rPr>
      </w:pPr>
      <w:r>
        <w:rPr>
          <w:rFonts w:hint="eastAsia" w:ascii="宋体" w:hAnsi="宋体"/>
          <w:sz w:val="24"/>
          <w:szCs w:val="24"/>
        </w:rPr>
        <w:t>传真：</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p>
    <w:p w14:paraId="4121236E">
      <w:pPr>
        <w:spacing w:line="360" w:lineRule="auto"/>
        <w:ind w:firstLine="480" w:firstLineChars="200"/>
        <w:rPr>
          <w:rFonts w:hint="eastAsia" w:ascii="宋体" w:hAnsi="宋体"/>
          <w:sz w:val="24"/>
          <w:szCs w:val="24"/>
        </w:rPr>
      </w:pPr>
      <w:r>
        <w:rPr>
          <w:rFonts w:hint="eastAsia" w:ascii="宋体" w:hAnsi="宋体"/>
          <w:sz w:val="24"/>
          <w:szCs w:val="24"/>
        </w:rPr>
        <w:t>电子邮箱：</w:t>
      </w:r>
      <w:r>
        <w:rPr>
          <w:rFonts w:hint="eastAsia" w:ascii="宋体" w:hAnsi="宋体"/>
          <w:sz w:val="24"/>
          <w:szCs w:val="24"/>
          <w:u w:val="single"/>
        </w:rPr>
        <w:t xml:space="preserve">                   </w:t>
      </w:r>
      <w:r>
        <w:rPr>
          <w:rFonts w:hint="eastAsia" w:ascii="宋体" w:hAnsi="宋体"/>
          <w:sz w:val="24"/>
          <w:szCs w:val="24"/>
        </w:rPr>
        <w:t xml:space="preserve">          电子邮箱：</w:t>
      </w:r>
      <w:r>
        <w:rPr>
          <w:rFonts w:hint="eastAsia" w:ascii="宋体" w:hAnsi="宋体"/>
          <w:sz w:val="24"/>
          <w:szCs w:val="24"/>
          <w:u w:val="single"/>
        </w:rPr>
        <w:t xml:space="preserve">                   </w:t>
      </w:r>
    </w:p>
    <w:p w14:paraId="2EAEDDA2">
      <w:pPr>
        <w:spacing w:line="360" w:lineRule="auto"/>
        <w:ind w:firstLine="480" w:firstLineChars="200"/>
        <w:rPr>
          <w:rFonts w:hint="eastAsia"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r>
        <w:rPr>
          <w:rFonts w:hint="eastAsia" w:ascii="宋体" w:hAnsi="宋体"/>
          <w:sz w:val="24"/>
          <w:szCs w:val="24"/>
        </w:rPr>
        <w:t xml:space="preserve">          开户银行：</w:t>
      </w:r>
      <w:r>
        <w:rPr>
          <w:rFonts w:hint="eastAsia" w:ascii="宋体" w:hAnsi="宋体"/>
          <w:sz w:val="24"/>
          <w:szCs w:val="24"/>
          <w:u w:val="single"/>
        </w:rPr>
        <w:t xml:space="preserve">                   </w:t>
      </w:r>
    </w:p>
    <w:p w14:paraId="0BB8AE72">
      <w:pPr>
        <w:spacing w:line="360" w:lineRule="auto"/>
        <w:ind w:firstLine="480" w:firstLineChars="200"/>
        <w:rPr>
          <w:rFonts w:hint="eastAsia" w:ascii="宋体" w:hAnsi="宋体"/>
          <w:sz w:val="24"/>
          <w:szCs w:val="24"/>
        </w:rPr>
      </w:pPr>
      <w:r>
        <w:rPr>
          <w:rFonts w:hint="eastAsia" w:ascii="宋体" w:hAnsi="宋体"/>
          <w:sz w:val="24"/>
          <w:szCs w:val="24"/>
        </w:rPr>
        <w:t>帐号：</w:t>
      </w:r>
      <w:r>
        <w:rPr>
          <w:rFonts w:hint="eastAsia" w:ascii="宋体" w:hAnsi="宋体"/>
          <w:sz w:val="24"/>
          <w:szCs w:val="24"/>
          <w:u w:val="single"/>
        </w:rPr>
        <w:t xml:space="preserve">                       </w:t>
      </w:r>
      <w:r>
        <w:rPr>
          <w:rFonts w:hint="eastAsia" w:ascii="宋体" w:hAnsi="宋体"/>
          <w:sz w:val="24"/>
          <w:szCs w:val="24"/>
        </w:rPr>
        <w:t xml:space="preserve">          帐号：</w:t>
      </w:r>
      <w:r>
        <w:rPr>
          <w:rFonts w:hint="eastAsia" w:ascii="宋体" w:hAnsi="宋体"/>
          <w:sz w:val="24"/>
          <w:szCs w:val="24"/>
          <w:u w:val="single"/>
        </w:rPr>
        <w:t xml:space="preserve">                       </w:t>
      </w:r>
    </w:p>
    <w:p w14:paraId="78BBD182">
      <w:pPr>
        <w:spacing w:line="360" w:lineRule="auto"/>
        <w:ind w:firstLine="480" w:firstLineChars="200"/>
        <w:rPr>
          <w:rFonts w:ascii="宋体" w:hAnsi="宋体"/>
          <w:sz w:val="24"/>
          <w:szCs w:val="24"/>
          <w:u w:val="single"/>
        </w:rPr>
      </w:pPr>
      <w:r>
        <w:rPr>
          <w:rFonts w:hint="eastAsia" w:ascii="宋体" w:hAnsi="宋体"/>
          <w:sz w:val="24"/>
          <w:szCs w:val="24"/>
        </w:rPr>
        <w:t>邮政编码：</w:t>
      </w:r>
      <w:r>
        <w:rPr>
          <w:rFonts w:hint="eastAsia" w:ascii="宋体" w:hAnsi="宋体"/>
          <w:sz w:val="24"/>
          <w:szCs w:val="24"/>
          <w:u w:val="single"/>
        </w:rPr>
        <w:t xml:space="preserve">                   </w:t>
      </w:r>
      <w:r>
        <w:rPr>
          <w:rFonts w:hint="eastAsia" w:ascii="宋体" w:hAnsi="宋体"/>
          <w:sz w:val="24"/>
          <w:szCs w:val="24"/>
        </w:rPr>
        <w:t xml:space="preserve">          邮政编码：</w:t>
      </w:r>
      <w:r>
        <w:rPr>
          <w:rFonts w:hint="eastAsia" w:ascii="宋体" w:hAnsi="宋体"/>
          <w:sz w:val="24"/>
          <w:szCs w:val="24"/>
          <w:u w:val="single"/>
        </w:rPr>
        <w:t xml:space="preserve">                   </w:t>
      </w:r>
    </w:p>
    <w:p w14:paraId="55625726">
      <w:pPr>
        <w:rPr>
          <w:b/>
          <w:bCs/>
          <w:spacing w:val="-1"/>
          <w:sz w:val="20"/>
          <w:szCs w:val="20"/>
          <w:highlight w:val="none"/>
        </w:rPr>
      </w:pPr>
      <w:r>
        <w:rPr>
          <w:b/>
          <w:bCs/>
          <w:spacing w:val="-1"/>
          <w:sz w:val="20"/>
          <w:szCs w:val="20"/>
          <w:highlight w:val="none"/>
        </w:rPr>
        <w:br w:type="page"/>
      </w:r>
    </w:p>
    <w:p w14:paraId="77FFD01F">
      <w:pPr>
        <w:pStyle w:val="14"/>
        <w:spacing w:before="302" w:line="227" w:lineRule="auto"/>
        <w:ind w:left="444"/>
        <w:rPr>
          <w:sz w:val="24"/>
          <w:szCs w:val="24"/>
          <w:highlight w:val="none"/>
        </w:rPr>
      </w:pPr>
      <w:r>
        <w:rPr>
          <w:b/>
          <w:bCs/>
          <w:spacing w:val="-1"/>
          <w:sz w:val="24"/>
          <w:szCs w:val="24"/>
          <w:highlight w:val="none"/>
        </w:rPr>
        <w:t>附件五：</w:t>
      </w:r>
    </w:p>
    <w:p w14:paraId="29934086">
      <w:pPr>
        <w:spacing w:line="294" w:lineRule="auto"/>
        <w:rPr>
          <w:rFonts w:ascii="Arial"/>
          <w:sz w:val="24"/>
          <w:szCs w:val="24"/>
          <w:highlight w:val="none"/>
        </w:rPr>
      </w:pPr>
    </w:p>
    <w:p w14:paraId="61B3FB25">
      <w:pPr>
        <w:spacing w:line="294" w:lineRule="auto"/>
        <w:rPr>
          <w:rFonts w:ascii="Arial"/>
          <w:sz w:val="24"/>
          <w:szCs w:val="24"/>
          <w:highlight w:val="none"/>
        </w:rPr>
      </w:pPr>
    </w:p>
    <w:p w14:paraId="72ADD203">
      <w:pPr>
        <w:pStyle w:val="14"/>
        <w:spacing w:before="71" w:line="219" w:lineRule="auto"/>
        <w:ind w:left="2293"/>
        <w:rPr>
          <w:sz w:val="24"/>
          <w:szCs w:val="24"/>
          <w:highlight w:val="none"/>
        </w:rPr>
      </w:pPr>
      <w:r>
        <w:rPr>
          <w:b/>
          <w:bCs/>
          <w:spacing w:val="-3"/>
          <w:sz w:val="24"/>
          <w:szCs w:val="24"/>
          <w:highlight w:val="none"/>
        </w:rPr>
        <w:t>建设工程中标单位不转包不违法分包承诺书</w:t>
      </w:r>
    </w:p>
    <w:p w14:paraId="1D57AD3F">
      <w:pPr>
        <w:spacing w:line="258" w:lineRule="auto"/>
        <w:rPr>
          <w:rFonts w:ascii="Arial"/>
          <w:sz w:val="24"/>
          <w:szCs w:val="24"/>
          <w:highlight w:val="none"/>
        </w:rPr>
      </w:pPr>
    </w:p>
    <w:p w14:paraId="365A0D7A">
      <w:pPr>
        <w:spacing w:line="258" w:lineRule="auto"/>
        <w:rPr>
          <w:rFonts w:ascii="Arial"/>
          <w:sz w:val="24"/>
          <w:szCs w:val="24"/>
          <w:highlight w:val="none"/>
        </w:rPr>
      </w:pPr>
    </w:p>
    <w:p w14:paraId="51F1A5FA">
      <w:pPr>
        <w:spacing w:line="259" w:lineRule="auto"/>
        <w:rPr>
          <w:rFonts w:ascii="Arial"/>
          <w:sz w:val="24"/>
          <w:szCs w:val="24"/>
          <w:highlight w:val="none"/>
        </w:rPr>
      </w:pPr>
    </w:p>
    <w:p w14:paraId="05A0C84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我单位在该项目的实施过程中，严格履行招标文件中所有条款，并郑重承诺：</w:t>
      </w:r>
    </w:p>
    <w:p w14:paraId="342EEC4B">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一、严格按照资质登记和核定的业务范围承揽工程，不挂靠、转包、违法分包工程。</w:t>
      </w:r>
    </w:p>
    <w:p w14:paraId="04FA253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二、特殊专业工程如需分包，必须征得建设单位书面同意。</w:t>
      </w:r>
    </w:p>
    <w:p w14:paraId="157DF6CD">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三、加强对分包和劳务分包的管理，对分包工程的安全、质量、进度和农民工工资支付承担责任。</w:t>
      </w:r>
    </w:p>
    <w:p w14:paraId="5FF49E5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若我单位在项目实施过程中，出现转包、违法分包等违法行为，建设单位有权立即终止合同的执行，我单位按照招标单位要求主动离场，并自愿承担由此造成的工程延误和质量问题的 责任，承担支付由此产生的农民工工资，赔偿由此造成的一切经济损失。</w:t>
      </w:r>
    </w:p>
    <w:p w14:paraId="49D5426C">
      <w:pPr>
        <w:spacing w:line="284" w:lineRule="auto"/>
        <w:rPr>
          <w:rFonts w:ascii="Arial"/>
          <w:sz w:val="24"/>
          <w:szCs w:val="24"/>
          <w:highlight w:val="none"/>
        </w:rPr>
      </w:pPr>
    </w:p>
    <w:p w14:paraId="609A5D14">
      <w:pPr>
        <w:spacing w:line="284" w:lineRule="auto"/>
        <w:rPr>
          <w:rFonts w:ascii="Arial"/>
          <w:sz w:val="24"/>
          <w:szCs w:val="24"/>
          <w:highlight w:val="none"/>
        </w:rPr>
      </w:pPr>
    </w:p>
    <w:p w14:paraId="79EFE8D9">
      <w:pPr>
        <w:spacing w:line="285" w:lineRule="auto"/>
        <w:rPr>
          <w:rFonts w:ascii="Arial"/>
          <w:sz w:val="24"/>
          <w:szCs w:val="24"/>
          <w:highlight w:val="none"/>
        </w:rPr>
      </w:pPr>
    </w:p>
    <w:p w14:paraId="317955B6">
      <w:pPr>
        <w:pStyle w:val="14"/>
        <w:spacing w:before="234" w:line="327" w:lineRule="auto"/>
        <w:ind w:left="15" w:right="119" w:firstLine="413"/>
        <w:jc w:val="center"/>
        <w:rPr>
          <w:rFonts w:ascii="宋体" w:eastAsia="宋体"/>
          <w:spacing w:val="10"/>
          <w:sz w:val="24"/>
          <w:szCs w:val="24"/>
          <w:highlight w:val="none"/>
        </w:rPr>
      </w:pPr>
    </w:p>
    <w:p w14:paraId="03C9A8C6">
      <w:pPr>
        <w:pStyle w:val="14"/>
        <w:spacing w:before="234" w:line="327" w:lineRule="auto"/>
        <w:ind w:left="15" w:right="119" w:firstLine="413"/>
        <w:jc w:val="center"/>
        <w:rPr>
          <w:rFonts w:hint="eastAsia" w:ascii="宋体" w:eastAsia="宋体"/>
          <w:spacing w:val="10"/>
          <w:sz w:val="24"/>
          <w:szCs w:val="24"/>
          <w:highlight w:val="none"/>
          <w:lang w:val="en-US" w:eastAsia="zh-CN"/>
        </w:rPr>
      </w:pPr>
      <w:r>
        <w:rPr>
          <w:rFonts w:ascii="宋体" w:eastAsia="宋体"/>
          <w:spacing w:val="10"/>
          <w:sz w:val="24"/>
          <w:szCs w:val="24"/>
          <w:highlight w:val="none"/>
        </w:rPr>
        <w:t>承诺单位(公章) :</w:t>
      </w:r>
      <w:r>
        <w:rPr>
          <w:rFonts w:hint="eastAsia" w:ascii="宋体" w:eastAsia="宋体"/>
          <w:spacing w:val="10"/>
          <w:sz w:val="24"/>
          <w:szCs w:val="24"/>
          <w:highlight w:val="none"/>
          <w:lang w:val="en-US" w:eastAsia="zh-CN"/>
        </w:rPr>
        <w:t xml:space="preserve"> </w:t>
      </w:r>
    </w:p>
    <w:p w14:paraId="79CC58AB">
      <w:pPr>
        <w:pStyle w:val="14"/>
        <w:spacing w:before="234" w:line="327" w:lineRule="auto"/>
        <w:ind w:left="15" w:right="119" w:firstLine="413"/>
        <w:jc w:val="center"/>
        <w:rPr>
          <w:rFonts w:hint="default" w:ascii="宋体" w:eastAsia="宋体"/>
          <w:spacing w:val="10"/>
          <w:sz w:val="24"/>
          <w:szCs w:val="24"/>
          <w:highlight w:val="none"/>
          <w:lang w:val="en-US" w:eastAsia="zh-CN"/>
        </w:rPr>
      </w:pPr>
      <w:r>
        <w:rPr>
          <w:rFonts w:ascii="宋体" w:eastAsia="宋体"/>
          <w:spacing w:val="10"/>
          <w:sz w:val="24"/>
          <w:szCs w:val="24"/>
          <w:highlight w:val="none"/>
        </w:rPr>
        <w:t>法定代表人或项目负责(签章) :</w:t>
      </w:r>
      <w:r>
        <w:rPr>
          <w:rFonts w:hint="eastAsia" w:ascii="宋体" w:eastAsia="宋体"/>
          <w:spacing w:val="10"/>
          <w:sz w:val="24"/>
          <w:szCs w:val="24"/>
          <w:highlight w:val="none"/>
          <w:lang w:val="en-US" w:eastAsia="zh-CN"/>
        </w:rPr>
        <w:t xml:space="preserve">     </w:t>
      </w:r>
    </w:p>
    <w:p w14:paraId="6B299CF1">
      <w:pPr>
        <w:pStyle w:val="14"/>
        <w:spacing w:before="234" w:line="327" w:lineRule="auto"/>
        <w:ind w:left="15" w:right="119" w:firstLine="413"/>
        <w:jc w:val="center"/>
        <w:rPr>
          <w:rFonts w:ascii="宋体" w:eastAsia="宋体"/>
          <w:spacing w:val="10"/>
          <w:sz w:val="24"/>
          <w:szCs w:val="24"/>
          <w:highlight w:val="none"/>
        </w:rPr>
        <w:sectPr>
          <w:headerReference r:id="rId14" w:type="default"/>
          <w:footerReference r:id="rId15" w:type="default"/>
          <w:pgSz w:w="11510" w:h="15880"/>
          <w:pgMar w:top="1079" w:right="1322" w:bottom="904" w:left="1361" w:header="798" w:footer="741" w:gutter="0"/>
          <w:pgNumType w:fmt="decimal"/>
          <w:cols w:space="720" w:num="1"/>
        </w:sectPr>
      </w:pPr>
      <w:r>
        <w:rPr>
          <w:rFonts w:ascii="宋体" w:eastAsia="宋体"/>
          <w:spacing w:val="10"/>
          <w:sz w:val="24"/>
          <w:szCs w:val="24"/>
          <w:highlight w:val="none"/>
        </w:rPr>
        <w:t>日期：  年  月</w:t>
      </w:r>
      <w:r>
        <w:rPr>
          <w:rFonts w:hint="eastAsia" w:ascii="宋体" w:eastAsia="宋体"/>
          <w:spacing w:val="10"/>
          <w:sz w:val="24"/>
          <w:szCs w:val="24"/>
          <w:highlight w:val="none"/>
          <w:lang w:val="en-US" w:eastAsia="zh-CN"/>
        </w:rPr>
        <w:t xml:space="preserve">   </w:t>
      </w:r>
      <w:r>
        <w:rPr>
          <w:rFonts w:ascii="宋体" w:eastAsia="宋体"/>
          <w:spacing w:val="10"/>
          <w:sz w:val="24"/>
          <w:szCs w:val="24"/>
          <w:highlight w:val="none"/>
        </w:rPr>
        <w:t>日</w:t>
      </w:r>
    </w:p>
    <w:p w14:paraId="2B879571">
      <w:pPr>
        <w:spacing w:line="560" w:lineRule="exact"/>
        <w:jc w:val="both"/>
        <w:outlineLvl w:val="9"/>
        <w:rPr>
          <w:rFonts w:hint="eastAsia" w:ascii="宋体" w:hAnsi="宋体" w:cs="宋体"/>
          <w:b/>
          <w:color w:val="auto"/>
          <w:sz w:val="48"/>
          <w:szCs w:val="32"/>
        </w:rPr>
      </w:pPr>
    </w:p>
    <w:p w14:paraId="0B6CF498">
      <w:pPr>
        <w:pStyle w:val="3"/>
        <w:bidi w:val="0"/>
        <w:jc w:val="center"/>
        <w:outlineLvl w:val="0"/>
        <w:rPr>
          <w:rFonts w:hint="eastAsia" w:ascii="宋体" w:hAnsi="宋体" w:eastAsia="宋体" w:cs="宋体"/>
          <w:color w:val="auto"/>
          <w:sz w:val="24"/>
          <w:szCs w:val="24"/>
        </w:rPr>
      </w:pPr>
      <w:bookmarkStart w:id="155" w:name="_Toc30486"/>
      <w:r>
        <w:rPr>
          <w:rFonts w:hint="eastAsia" w:ascii="宋体" w:hAnsi="宋体" w:eastAsia="宋体" w:cs="宋体"/>
          <w:color w:val="auto"/>
          <w:sz w:val="24"/>
          <w:szCs w:val="24"/>
        </w:rPr>
        <w:t>第六部分  响应文件格式</w:t>
      </w:r>
      <w:bookmarkEnd w:id="155"/>
    </w:p>
    <w:tbl>
      <w:tblPr>
        <w:tblStyle w:val="40"/>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14:paraId="3DC9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14:paraId="1C8D1522">
            <w:pPr>
              <w:spacing w:line="560" w:lineRule="exact"/>
              <w:jc w:val="left"/>
              <w:rPr>
                <w:rFonts w:hint="default" w:ascii="宋体" w:hAnsi="宋体" w:eastAsia="宋体"/>
                <w:color w:val="auto"/>
                <w:vertAlign w:val="baseline"/>
                <w:lang w:val="en-US" w:eastAsia="zh-CN"/>
              </w:rPr>
            </w:pPr>
            <w:r>
              <w:rPr>
                <w:rFonts w:hint="eastAsia" w:ascii="宋体" w:hAnsi="宋体"/>
                <w:b/>
                <w:bCs/>
                <w:color w:val="auto"/>
                <w:sz w:val="44"/>
                <w:szCs w:val="44"/>
                <w:vertAlign w:val="baseline"/>
                <w:lang w:eastAsia="zh-CN"/>
              </w:rPr>
              <w:t>正</w:t>
            </w:r>
            <w:r>
              <w:rPr>
                <w:rFonts w:hint="eastAsia" w:ascii="宋体" w:hAnsi="宋体"/>
                <w:b/>
                <w:bCs/>
                <w:color w:val="auto"/>
                <w:sz w:val="44"/>
                <w:szCs w:val="44"/>
                <w:vertAlign w:val="baseline"/>
                <w:lang w:val="en-US" w:eastAsia="zh-CN"/>
              </w:rPr>
              <w:t>/副本</w:t>
            </w:r>
          </w:p>
        </w:tc>
      </w:tr>
    </w:tbl>
    <w:p w14:paraId="633953FD">
      <w:pPr>
        <w:spacing w:line="560" w:lineRule="exact"/>
        <w:jc w:val="left"/>
        <w:rPr>
          <w:rFonts w:hint="eastAsia" w:ascii="宋体" w:hAnsi="宋体" w:eastAsia="宋体"/>
          <w:color w:val="auto"/>
          <w:lang w:eastAsia="zh-CN"/>
        </w:rPr>
      </w:pPr>
    </w:p>
    <w:p w14:paraId="48D89002">
      <w:pPr>
        <w:spacing w:line="360" w:lineRule="auto"/>
        <w:ind w:firstLine="1205" w:firstLineChars="300"/>
        <w:rPr>
          <w:rFonts w:hint="eastAsia" w:ascii="宋体" w:hAnsi="宋体"/>
          <w:b/>
          <w:color w:val="auto"/>
          <w:sz w:val="40"/>
          <w:u w:val="single"/>
        </w:rPr>
      </w:pPr>
    </w:p>
    <w:p w14:paraId="6516DF97">
      <w:pPr>
        <w:spacing w:line="360" w:lineRule="auto"/>
        <w:ind w:firstLine="1205" w:firstLineChars="300"/>
        <w:rPr>
          <w:rFonts w:ascii="宋体" w:hAnsi="宋体"/>
          <w:b/>
          <w:color w:val="auto"/>
          <w:sz w:val="40"/>
        </w:rPr>
      </w:pPr>
      <w:r>
        <w:rPr>
          <w:rFonts w:hint="eastAsia" w:ascii="宋体" w:hAnsi="宋体"/>
          <w:b/>
          <w:color w:val="auto"/>
          <w:sz w:val="40"/>
          <w:u w:val="single"/>
        </w:rPr>
        <w:t xml:space="preserve">                 </w:t>
      </w:r>
      <w:r>
        <w:rPr>
          <w:rFonts w:hint="eastAsia" w:ascii="宋体" w:hAnsi="宋体"/>
          <w:b/>
          <w:color w:val="auto"/>
          <w:sz w:val="40"/>
        </w:rPr>
        <w:t>（项目名称）竞争性磋商</w:t>
      </w:r>
    </w:p>
    <w:p w14:paraId="64D01620">
      <w:pPr>
        <w:spacing w:line="360" w:lineRule="auto"/>
        <w:ind w:firstLine="480" w:firstLineChars="200"/>
        <w:rPr>
          <w:rFonts w:ascii="宋体" w:hAnsi="宋体"/>
          <w:color w:val="auto"/>
          <w:sz w:val="24"/>
        </w:rPr>
      </w:pPr>
    </w:p>
    <w:p w14:paraId="0034B309">
      <w:pPr>
        <w:spacing w:line="360" w:lineRule="auto"/>
        <w:ind w:firstLine="482" w:firstLineChars="200"/>
        <w:rPr>
          <w:rFonts w:ascii="宋体" w:hAnsi="宋体"/>
          <w:b/>
          <w:bCs/>
          <w:color w:val="auto"/>
          <w:sz w:val="24"/>
        </w:rPr>
      </w:pPr>
    </w:p>
    <w:p w14:paraId="6B4862BB">
      <w:pPr>
        <w:spacing w:line="360" w:lineRule="auto"/>
        <w:jc w:val="center"/>
        <w:rPr>
          <w:rFonts w:ascii="宋体" w:hAnsi="宋体"/>
          <w:b/>
          <w:color w:val="auto"/>
          <w:sz w:val="56"/>
        </w:rPr>
      </w:pPr>
      <w:r>
        <w:rPr>
          <w:rFonts w:hint="eastAsia" w:ascii="宋体" w:hAnsi="宋体"/>
          <w:b/>
          <w:bCs/>
          <w:color w:val="auto"/>
          <w:sz w:val="56"/>
        </w:rPr>
        <w:t>响应文件</w:t>
      </w:r>
    </w:p>
    <w:p w14:paraId="3D3FC67B">
      <w:pPr>
        <w:spacing w:line="360" w:lineRule="auto"/>
        <w:ind w:firstLine="480" w:firstLineChars="200"/>
        <w:rPr>
          <w:rFonts w:ascii="宋体" w:hAnsi="宋体"/>
          <w:color w:val="auto"/>
          <w:sz w:val="24"/>
        </w:rPr>
      </w:pPr>
    </w:p>
    <w:p w14:paraId="54DA1637">
      <w:pPr>
        <w:spacing w:line="360" w:lineRule="auto"/>
        <w:ind w:firstLine="480" w:firstLineChars="200"/>
        <w:rPr>
          <w:rFonts w:ascii="宋体" w:hAnsi="宋体"/>
          <w:color w:val="auto"/>
          <w:sz w:val="24"/>
        </w:rPr>
      </w:pPr>
    </w:p>
    <w:p w14:paraId="4A662E5F">
      <w:pPr>
        <w:spacing w:line="360" w:lineRule="auto"/>
        <w:ind w:firstLine="480" w:firstLineChars="200"/>
        <w:rPr>
          <w:rFonts w:ascii="宋体" w:hAnsi="宋体"/>
          <w:color w:val="auto"/>
          <w:sz w:val="24"/>
        </w:rPr>
      </w:pPr>
    </w:p>
    <w:p w14:paraId="65578B4D">
      <w:pPr>
        <w:spacing w:line="360" w:lineRule="auto"/>
        <w:ind w:firstLine="480" w:firstLineChars="200"/>
        <w:rPr>
          <w:rFonts w:ascii="宋体" w:hAnsi="宋体"/>
          <w:color w:val="auto"/>
          <w:sz w:val="24"/>
        </w:rPr>
      </w:pPr>
    </w:p>
    <w:p w14:paraId="5E9B3A2E">
      <w:pPr>
        <w:spacing w:line="360" w:lineRule="auto"/>
        <w:ind w:firstLine="480" w:firstLineChars="200"/>
        <w:rPr>
          <w:rFonts w:ascii="宋体" w:hAnsi="宋体"/>
          <w:color w:val="auto"/>
          <w:sz w:val="24"/>
        </w:rPr>
      </w:pPr>
    </w:p>
    <w:p w14:paraId="2DAA6AD5">
      <w:pPr>
        <w:spacing w:line="360" w:lineRule="auto"/>
        <w:ind w:firstLine="480" w:firstLineChars="200"/>
        <w:rPr>
          <w:rFonts w:ascii="宋体" w:hAnsi="宋体"/>
          <w:color w:val="auto"/>
          <w:sz w:val="24"/>
        </w:rPr>
      </w:pPr>
    </w:p>
    <w:p w14:paraId="17C0D7A9">
      <w:pPr>
        <w:pStyle w:val="10"/>
        <w:rPr>
          <w:rFonts w:ascii="宋体" w:hAnsi="宋体"/>
          <w:color w:val="auto"/>
          <w:szCs w:val="21"/>
        </w:rPr>
      </w:pPr>
    </w:p>
    <w:p w14:paraId="022A1E9F">
      <w:pPr>
        <w:rPr>
          <w:rFonts w:ascii="宋体" w:hAnsi="宋体"/>
          <w:color w:val="auto"/>
          <w:szCs w:val="21"/>
        </w:rPr>
      </w:pPr>
    </w:p>
    <w:p w14:paraId="4ADA30CE">
      <w:pPr>
        <w:rPr>
          <w:rFonts w:ascii="宋体" w:hAnsi="宋体"/>
          <w:color w:val="auto"/>
          <w:szCs w:val="21"/>
        </w:rPr>
      </w:pPr>
    </w:p>
    <w:p w14:paraId="36DC4433">
      <w:pPr>
        <w:spacing w:line="360" w:lineRule="auto"/>
        <w:rPr>
          <w:rFonts w:ascii="宋体" w:hAnsi="宋体"/>
          <w:color w:val="auto"/>
          <w:sz w:val="24"/>
        </w:rPr>
      </w:pPr>
    </w:p>
    <w:p w14:paraId="206D9516">
      <w:pPr>
        <w:spacing w:line="720" w:lineRule="auto"/>
        <w:jc w:val="center"/>
        <w:rPr>
          <w:rFonts w:ascii="宋体" w:hAnsi="宋体"/>
          <w:color w:val="auto"/>
          <w:sz w:val="32"/>
        </w:rPr>
      </w:pPr>
      <w:r>
        <w:rPr>
          <w:rFonts w:hint="eastAsia" w:ascii="宋体" w:hAnsi="宋体"/>
          <w:color w:val="auto"/>
          <w:sz w:val="32"/>
        </w:rPr>
        <w:t>供应商：</w:t>
      </w:r>
      <w:r>
        <w:rPr>
          <w:rFonts w:hint="eastAsia" w:ascii="宋体" w:hAnsi="宋体"/>
          <w:color w:val="auto"/>
          <w:sz w:val="32"/>
          <w:u w:val="single"/>
        </w:rPr>
        <w:t xml:space="preserve">                               </w:t>
      </w:r>
      <w:r>
        <w:rPr>
          <w:rFonts w:hint="eastAsia" w:ascii="宋体" w:hAnsi="宋体"/>
          <w:color w:val="auto"/>
          <w:sz w:val="32"/>
        </w:rPr>
        <w:t>（单位公章）</w:t>
      </w:r>
    </w:p>
    <w:p w14:paraId="347B8E1A">
      <w:pPr>
        <w:spacing w:line="720" w:lineRule="auto"/>
        <w:jc w:val="center"/>
        <w:rPr>
          <w:rFonts w:ascii="宋体" w:hAnsi="宋体"/>
          <w:color w:val="auto"/>
          <w:sz w:val="32"/>
        </w:rPr>
      </w:pPr>
      <w:r>
        <w:rPr>
          <w:rFonts w:hint="eastAsia" w:ascii="宋体" w:hAnsi="宋体"/>
          <w:color w:val="auto"/>
          <w:sz w:val="32"/>
        </w:rPr>
        <w:t>法定代表人或其委托代理人：</w:t>
      </w:r>
      <w:r>
        <w:rPr>
          <w:rFonts w:hint="eastAsia" w:ascii="宋体" w:hAnsi="宋体"/>
          <w:color w:val="auto"/>
          <w:sz w:val="32"/>
          <w:u w:val="single"/>
        </w:rPr>
        <w:t xml:space="preserve">                 </w:t>
      </w:r>
      <w:r>
        <w:rPr>
          <w:rFonts w:hint="eastAsia" w:ascii="宋体" w:hAnsi="宋体"/>
          <w:color w:val="auto"/>
          <w:sz w:val="32"/>
        </w:rPr>
        <w:t>（签名或盖章）</w:t>
      </w:r>
    </w:p>
    <w:p w14:paraId="37371C56">
      <w:pPr>
        <w:tabs>
          <w:tab w:val="left" w:pos="0"/>
          <w:tab w:val="left" w:pos="720"/>
          <w:tab w:val="left" w:pos="1440"/>
          <w:tab w:val="left" w:pos="2160"/>
          <w:tab w:val="left" w:pos="2880"/>
          <w:tab w:val="left" w:pos="3600"/>
          <w:tab w:val="left" w:pos="4320"/>
        </w:tabs>
        <w:autoSpaceDE w:val="0"/>
        <w:autoSpaceDN w:val="0"/>
        <w:adjustRightInd w:val="0"/>
        <w:spacing w:line="720" w:lineRule="auto"/>
        <w:jc w:val="center"/>
        <w:rPr>
          <w:rFonts w:ascii="宋体" w:hAnsi="宋体"/>
          <w:color w:val="auto"/>
          <w:sz w:val="32"/>
        </w:rPr>
      </w:pPr>
      <w:r>
        <w:rPr>
          <w:rFonts w:hint="eastAsia" w:ascii="宋体" w:hAnsi="宋体"/>
          <w:color w:val="auto"/>
          <w:sz w:val="32"/>
        </w:rPr>
        <w:t>日  期：</w:t>
      </w:r>
      <w:r>
        <w:rPr>
          <w:rFonts w:hint="eastAsia" w:ascii="宋体" w:hAnsi="宋体"/>
          <w:color w:val="auto"/>
          <w:sz w:val="32"/>
          <w:u w:val="single"/>
        </w:rPr>
        <w:t xml:space="preserve">         </w:t>
      </w:r>
      <w:r>
        <w:rPr>
          <w:rFonts w:hint="eastAsia" w:ascii="宋体" w:hAnsi="宋体"/>
          <w:color w:val="auto"/>
          <w:sz w:val="32"/>
        </w:rPr>
        <w:t>年</w:t>
      </w:r>
      <w:r>
        <w:rPr>
          <w:rFonts w:hint="eastAsia" w:ascii="宋体" w:hAnsi="宋体"/>
          <w:color w:val="auto"/>
          <w:sz w:val="32"/>
          <w:u w:val="single"/>
        </w:rPr>
        <w:t xml:space="preserve">    </w:t>
      </w:r>
      <w:r>
        <w:rPr>
          <w:rFonts w:hint="eastAsia" w:ascii="宋体" w:hAnsi="宋体"/>
          <w:color w:val="auto"/>
          <w:sz w:val="32"/>
        </w:rPr>
        <w:t>月</w:t>
      </w:r>
      <w:r>
        <w:rPr>
          <w:rFonts w:hint="eastAsia" w:ascii="宋体" w:hAnsi="宋体"/>
          <w:color w:val="auto"/>
          <w:sz w:val="32"/>
          <w:u w:val="single"/>
        </w:rPr>
        <w:t xml:space="preserve">    </w:t>
      </w:r>
      <w:r>
        <w:rPr>
          <w:rFonts w:hint="eastAsia" w:ascii="宋体" w:hAnsi="宋体"/>
          <w:color w:val="auto"/>
          <w:sz w:val="32"/>
        </w:rPr>
        <w:t>日</w:t>
      </w:r>
    </w:p>
    <w:p w14:paraId="6201C19E">
      <w:pPr>
        <w:pStyle w:val="36"/>
        <w:snapToGrid w:val="0"/>
        <w:spacing w:line="360" w:lineRule="auto"/>
        <w:ind w:left="578"/>
        <w:jc w:val="left"/>
        <w:rPr>
          <w:rFonts w:ascii="宋体" w:hAnsi="宋体" w:cs="宋体"/>
          <w:b/>
          <w:color w:val="auto"/>
          <w:sz w:val="30"/>
          <w:szCs w:val="30"/>
        </w:rPr>
        <w:sectPr>
          <w:headerReference r:id="rId16" w:type="first"/>
          <w:footerReference r:id="rId18" w:type="first"/>
          <w:footerReference r:id="rId17" w:type="default"/>
          <w:pgSz w:w="11906" w:h="16838"/>
          <w:pgMar w:top="1440" w:right="1080" w:bottom="1440" w:left="1080" w:header="851" w:footer="992" w:gutter="0"/>
          <w:pgNumType w:fmt="decimal"/>
          <w:cols w:space="720" w:num="1"/>
          <w:titlePg/>
          <w:docGrid w:type="lines" w:linePitch="286" w:charSpace="0"/>
        </w:sectPr>
      </w:pPr>
    </w:p>
    <w:p w14:paraId="5BD03554">
      <w:pPr>
        <w:pStyle w:val="36"/>
        <w:snapToGrid w:val="0"/>
        <w:spacing w:line="360" w:lineRule="auto"/>
        <w:ind w:left="578"/>
        <w:jc w:val="center"/>
        <w:rPr>
          <w:rFonts w:ascii="宋体" w:hAnsi="宋体" w:cs="宋体"/>
          <w:b/>
          <w:color w:val="auto"/>
          <w:sz w:val="30"/>
          <w:szCs w:val="30"/>
        </w:rPr>
      </w:pPr>
      <w:r>
        <w:rPr>
          <w:rFonts w:hint="eastAsia" w:ascii="宋体" w:hAnsi="宋体" w:cs="宋体"/>
          <w:b/>
          <w:color w:val="auto"/>
          <w:sz w:val="30"/>
          <w:szCs w:val="30"/>
        </w:rPr>
        <w:t>目    录</w:t>
      </w:r>
    </w:p>
    <w:p w14:paraId="0DBB9FEA">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14:paraId="60B727C5">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14:paraId="0C6FE54D">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14:paraId="60A2E75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14:paraId="64994931">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14:paraId="5E9173EF">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14:paraId="2508CBE8">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14:paraId="2890D2F9">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14:paraId="35380ECC">
      <w:pPr>
        <w:widowControl/>
        <w:shd w:val="clear" w:color="auto" w:fill="FFFFFF"/>
        <w:spacing w:line="360" w:lineRule="auto"/>
        <w:ind w:firstLine="600" w:firstLineChars="250"/>
        <w:jc w:val="left"/>
        <w:rPr>
          <w:rFonts w:hint="eastAsia" w:ascii="宋体" w:hAnsi="宋体" w:eastAsia="宋体"/>
          <w:color w:val="auto"/>
          <w:sz w:val="24"/>
          <w:szCs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bookmarkStart w:id="156" w:name="_Toc374107067"/>
      <w:bookmarkStart w:id="157" w:name="_Toc300901193"/>
      <w:bookmarkStart w:id="158" w:name="_Toc323641999"/>
    </w:p>
    <w:p w14:paraId="363668EC">
      <w:pPr>
        <w:pStyle w:val="54"/>
        <w:rPr>
          <w:rFonts w:hint="eastAsia" w:ascii="宋体" w:hAnsi="宋体" w:eastAsia="宋体"/>
          <w:color w:val="auto"/>
          <w:sz w:val="24"/>
          <w:szCs w:val="24"/>
        </w:rPr>
      </w:pPr>
    </w:p>
    <w:p w14:paraId="0CCF10C8">
      <w:pPr>
        <w:spacing w:line="360" w:lineRule="auto"/>
        <w:jc w:val="both"/>
        <w:rPr>
          <w:rFonts w:hint="eastAsia" w:ascii="宋体" w:hAnsi="宋体" w:cs="宋体"/>
          <w:b/>
          <w:color w:val="auto"/>
          <w:kern w:val="0"/>
          <w:sz w:val="24"/>
        </w:rPr>
        <w:sectPr>
          <w:headerReference r:id="rId19" w:type="first"/>
          <w:pgSz w:w="11906" w:h="16838"/>
          <w:pgMar w:top="1440" w:right="1080" w:bottom="1440" w:left="1080" w:header="851" w:footer="992" w:gutter="0"/>
          <w:pgNumType w:fmt="decimal"/>
          <w:cols w:space="720" w:num="1"/>
          <w:titlePg/>
          <w:docGrid w:type="lines" w:linePitch="286" w:charSpace="0"/>
        </w:sectPr>
      </w:pPr>
    </w:p>
    <w:p w14:paraId="6B9231D5">
      <w:pPr>
        <w:pStyle w:val="10"/>
        <w:rPr>
          <w:rFonts w:hint="eastAsia"/>
          <w:color w:val="auto"/>
        </w:rPr>
      </w:pPr>
    </w:p>
    <w:p w14:paraId="70553304">
      <w:pPr>
        <w:spacing w:line="360" w:lineRule="auto"/>
        <w:jc w:val="center"/>
        <w:rPr>
          <w:rFonts w:ascii="宋体" w:hAnsi="宋体"/>
          <w:b/>
          <w:bCs/>
          <w:color w:val="auto"/>
          <w:sz w:val="24"/>
          <w:szCs w:val="24"/>
        </w:rPr>
      </w:pPr>
      <w:r>
        <w:rPr>
          <w:rFonts w:hint="eastAsia" w:ascii="宋体" w:hAnsi="宋体" w:cs="宋体"/>
          <w:b/>
          <w:color w:val="auto"/>
          <w:kern w:val="0"/>
          <w:sz w:val="24"/>
          <w:szCs w:val="24"/>
        </w:rPr>
        <w:t>一、磋商</w:t>
      </w:r>
      <w:r>
        <w:rPr>
          <w:rFonts w:hint="eastAsia" w:ascii="宋体" w:hAnsi="宋体"/>
          <w:b/>
          <w:bCs/>
          <w:color w:val="auto"/>
          <w:sz w:val="24"/>
          <w:szCs w:val="24"/>
        </w:rPr>
        <w:t>响应函</w:t>
      </w:r>
    </w:p>
    <w:p w14:paraId="1F935BB2">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的政府采购活动并提交磋商响应文件。为此，我方郑重声明如下:</w:t>
      </w:r>
    </w:p>
    <w:p w14:paraId="2136133C">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1、我方提交的磋商响应文件，正本一份，副本</w:t>
      </w:r>
      <w:r>
        <w:rPr>
          <w:rFonts w:hint="eastAsia" w:ascii="宋体" w:hAnsi="宋体" w:cs="宋体"/>
          <w:color w:val="auto"/>
          <w:kern w:val="0"/>
          <w:sz w:val="24"/>
          <w:szCs w:val="24"/>
          <w:lang w:val="en-US" w:eastAsia="zh-CN"/>
        </w:rPr>
        <w:t>四</w:t>
      </w:r>
      <w:r>
        <w:rPr>
          <w:rFonts w:hint="eastAsia" w:ascii="宋体" w:hAnsi="宋体" w:cs="宋体"/>
          <w:color w:val="auto"/>
          <w:kern w:val="0"/>
          <w:sz w:val="24"/>
          <w:szCs w:val="24"/>
        </w:rPr>
        <w:t>份。</w:t>
      </w:r>
    </w:p>
    <w:p w14:paraId="2E080AF4">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2、如果我方的磋商响应文件被接受，我方将履行磋商文件中规定的每一项要求，并按我方磋商响应文件中的承诺按期、保质、保量完成项目的实施。</w:t>
      </w:r>
    </w:p>
    <w:p w14:paraId="35528427">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14:paraId="2BECCFC2">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14:paraId="6045B19A">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5、我方已详细检查所有磋商文件、附件以及所提供的参考文件，因模糊和误解产生的一切后果，由我方自负。</w:t>
      </w:r>
    </w:p>
    <w:p w14:paraId="30416994">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6、我方的磋商响应文件自递交截止之日起60个日历日内有效。</w:t>
      </w:r>
    </w:p>
    <w:p w14:paraId="6029558A">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7、我方同意按文件要求，提交与递交磋商响应文件有关的数据和资料。</w:t>
      </w:r>
    </w:p>
    <w:p w14:paraId="3E039229">
      <w:pPr>
        <w:widowControl/>
        <w:spacing w:line="480" w:lineRule="auto"/>
        <w:ind w:firstLine="480" w:firstLineChars="200"/>
        <w:rPr>
          <w:rFonts w:hint="eastAsia" w:ascii="宋体" w:hAnsi="宋体" w:cs="宋体"/>
          <w:color w:val="auto"/>
          <w:kern w:val="0"/>
          <w:sz w:val="24"/>
          <w:szCs w:val="24"/>
        </w:rPr>
      </w:pPr>
    </w:p>
    <w:p w14:paraId="58D05391">
      <w:pPr>
        <w:widowControl/>
        <w:spacing w:line="360" w:lineRule="auto"/>
        <w:ind w:firstLine="480" w:firstLineChars="200"/>
        <w:rPr>
          <w:rFonts w:hint="eastAsia" w:ascii="宋体" w:hAnsi="宋体" w:cs="宋体"/>
          <w:color w:val="auto"/>
          <w:kern w:val="0"/>
          <w:sz w:val="24"/>
          <w:szCs w:val="24"/>
        </w:rPr>
      </w:pPr>
    </w:p>
    <w:p w14:paraId="34E6EFD4">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供应商（盖章）：</w:t>
      </w:r>
    </w:p>
    <w:p w14:paraId="6E58330D">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法人代表或委托代理人（签字或盖章）：</w:t>
      </w:r>
    </w:p>
    <w:p w14:paraId="0F0FD6BA">
      <w:pPr>
        <w:spacing w:line="48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4BE10475">
      <w:pPr>
        <w:widowControl/>
        <w:jc w:val="left"/>
        <w:rPr>
          <w:rFonts w:ascii="宋体" w:hAnsi="宋体"/>
          <w:b/>
          <w:bCs/>
          <w:color w:val="auto"/>
          <w:sz w:val="24"/>
        </w:rPr>
      </w:pPr>
      <w:r>
        <w:rPr>
          <w:rFonts w:ascii="宋体" w:hAnsi="宋体"/>
          <w:color w:val="auto"/>
          <w:sz w:val="24"/>
        </w:rPr>
        <w:br w:type="page"/>
      </w:r>
    </w:p>
    <w:p w14:paraId="7E80C86E">
      <w:pPr>
        <w:pStyle w:val="3"/>
        <w:spacing w:line="360" w:lineRule="auto"/>
        <w:jc w:val="center"/>
        <w:rPr>
          <w:rFonts w:ascii="宋体" w:hAnsi="宋体" w:eastAsia="宋体"/>
          <w:color w:val="auto"/>
          <w:sz w:val="24"/>
          <w:szCs w:val="24"/>
        </w:rPr>
      </w:pPr>
      <w:r>
        <w:rPr>
          <w:rFonts w:hint="eastAsia" w:ascii="宋体" w:hAnsi="宋体" w:eastAsia="宋体"/>
          <w:color w:val="auto"/>
          <w:sz w:val="24"/>
          <w:szCs w:val="24"/>
        </w:rPr>
        <w:t>二、法定代表人身份证明</w:t>
      </w:r>
      <w:bookmarkEnd w:id="156"/>
      <w:bookmarkEnd w:id="157"/>
      <w:bookmarkEnd w:id="158"/>
    </w:p>
    <w:p w14:paraId="08295007">
      <w:pPr>
        <w:spacing w:line="360" w:lineRule="auto"/>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14:paraId="56480274">
      <w:pPr>
        <w:spacing w:line="360" w:lineRule="auto"/>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14:paraId="1C127C06">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14:paraId="390483FB">
      <w:pPr>
        <w:spacing w:line="360" w:lineRule="auto"/>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3757CB09">
      <w:pPr>
        <w:spacing w:line="360" w:lineRule="auto"/>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14:paraId="53918743">
      <w:pPr>
        <w:spacing w:line="360" w:lineRule="auto"/>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14:paraId="7043ABE0">
      <w:pPr>
        <w:spacing w:line="360" w:lineRule="auto"/>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14:paraId="4C4D8BFA">
      <w:pPr>
        <w:spacing w:line="360" w:lineRule="auto"/>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（供应商名称）的法定代表人。</w:t>
      </w:r>
    </w:p>
    <w:p w14:paraId="696644B3">
      <w:pPr>
        <w:spacing w:line="360" w:lineRule="auto"/>
        <w:rPr>
          <w:rFonts w:ascii="宋体" w:hAnsi="宋体"/>
          <w:color w:val="auto"/>
          <w:sz w:val="24"/>
        </w:rPr>
      </w:pPr>
      <w:r>
        <w:rPr>
          <w:rFonts w:hint="eastAsia" w:ascii="宋体" w:hAnsi="宋体"/>
          <w:color w:val="auto"/>
          <w:sz w:val="24"/>
        </w:rPr>
        <w:t>特此证明。</w:t>
      </w:r>
    </w:p>
    <w:p w14:paraId="6045B98C">
      <w:pPr>
        <w:spacing w:line="500" w:lineRule="exact"/>
        <w:jc w:val="left"/>
        <w:rPr>
          <w:rFonts w:ascii="宋体" w:hAnsi="宋体"/>
          <w:color w:val="auto"/>
          <w:sz w:val="24"/>
        </w:rPr>
      </w:pPr>
      <w:r>
        <w:rPr>
          <w:rFonts w:hint="eastAsia" w:ascii="宋体" w:hAnsi="宋体"/>
          <w:color w:val="auto"/>
          <w:sz w:val="24"/>
        </w:rPr>
        <w:t>附：法定代表人身份证明</w:t>
      </w:r>
    </w:p>
    <w:p w14:paraId="67D4FE07">
      <w:pPr>
        <w:spacing w:line="500" w:lineRule="exact"/>
        <w:jc w:val="right"/>
        <w:rPr>
          <w:rFonts w:ascii="宋体" w:hAnsi="宋体"/>
          <w:color w:val="auto"/>
          <w:sz w:val="24"/>
        </w:rPr>
      </w:pPr>
    </w:p>
    <w:p w14:paraId="692145D6">
      <w:pPr>
        <w:pStyle w:val="10"/>
        <w:rPr>
          <w:rFonts w:ascii="宋体" w:hAnsi="宋体"/>
          <w:color w:val="auto"/>
          <w:sz w:val="24"/>
        </w:rPr>
      </w:pPr>
    </w:p>
    <w:p w14:paraId="2F242C8E">
      <w:pPr>
        <w:rPr>
          <w:rFonts w:ascii="宋体" w:hAnsi="宋体"/>
          <w:color w:val="auto"/>
          <w:sz w:val="24"/>
        </w:rPr>
      </w:pPr>
    </w:p>
    <w:p w14:paraId="5F53836E">
      <w:pPr>
        <w:pStyle w:val="10"/>
        <w:rPr>
          <w:rFonts w:ascii="宋体" w:hAnsi="宋体"/>
          <w:color w:val="auto"/>
          <w:sz w:val="24"/>
        </w:rPr>
      </w:pPr>
    </w:p>
    <w:p w14:paraId="4DCA7CB6">
      <w:pPr>
        <w:rPr>
          <w:rFonts w:ascii="宋体" w:hAnsi="宋体"/>
          <w:color w:val="auto"/>
          <w:sz w:val="24"/>
        </w:rPr>
      </w:pPr>
    </w:p>
    <w:p w14:paraId="5B843442">
      <w:pPr>
        <w:pStyle w:val="10"/>
        <w:rPr>
          <w:color w:val="auto"/>
        </w:rPr>
      </w:pPr>
    </w:p>
    <w:p w14:paraId="15615AD7">
      <w:pPr>
        <w:spacing w:line="500" w:lineRule="exact"/>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lang w:eastAsia="zh-CN"/>
        </w:rPr>
        <w:t>名称</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（盖单位章）</w:t>
      </w:r>
    </w:p>
    <w:p w14:paraId="6A569942">
      <w:pPr>
        <w:widowControl/>
        <w:jc w:val="right"/>
        <w:rPr>
          <w:rFonts w:ascii="宋体" w:hAnsi="宋体"/>
          <w:color w:val="auto"/>
          <w:sz w:val="24"/>
        </w:rPr>
      </w:pPr>
      <w:r>
        <w:rPr>
          <w:rFonts w:hint="eastAsia" w:ascii="宋体" w:hAnsi="宋体"/>
          <w:color w:val="auto"/>
          <w:sz w:val="24"/>
        </w:rPr>
        <w:t xml:space="preserve">         </w:t>
      </w:r>
    </w:p>
    <w:p w14:paraId="3B1D86BC">
      <w:pPr>
        <w:widowControl/>
        <w:jc w:val="right"/>
        <w:rPr>
          <w:rFonts w:ascii="宋体" w:hAnsi="宋体"/>
          <w:color w:val="auto"/>
          <w:sz w:val="24"/>
        </w:rPr>
      </w:pPr>
      <w:r>
        <w:rPr>
          <w:rFonts w:hint="eastAsia" w:ascii="宋体" w:hAnsi="宋体"/>
          <w:color w:val="auto"/>
          <w:sz w:val="24"/>
        </w:rPr>
        <w:t xml:space="preserve">年        月       日  </w:t>
      </w:r>
    </w:p>
    <w:p w14:paraId="7FCC3BDF">
      <w:pPr>
        <w:spacing w:line="360" w:lineRule="auto"/>
        <w:jc w:val="right"/>
        <w:rPr>
          <w:rFonts w:ascii="宋体" w:hAnsi="宋体"/>
          <w:color w:val="auto"/>
          <w:sz w:val="24"/>
        </w:rPr>
      </w:pPr>
    </w:p>
    <w:p w14:paraId="55D14A9D">
      <w:pPr>
        <w:wordWrap w:val="0"/>
        <w:spacing w:line="500" w:lineRule="exact"/>
        <w:jc w:val="right"/>
        <w:rPr>
          <w:rFonts w:ascii="宋体" w:hAnsi="宋体" w:cs="黑体"/>
          <w:b/>
          <w:color w:val="auto"/>
          <w:kern w:val="0"/>
          <w:sz w:val="24"/>
        </w:rPr>
      </w:pPr>
      <w:r>
        <w:rPr>
          <w:rFonts w:ascii="宋体" w:hAnsi="宋体" w:cs="黑体"/>
          <w:b/>
          <w:color w:val="auto"/>
          <w:kern w:val="0"/>
          <w:sz w:val="24"/>
        </w:rPr>
        <w:br w:type="page"/>
      </w:r>
    </w:p>
    <w:p w14:paraId="728C0977">
      <w:pPr>
        <w:widowControl/>
        <w:shd w:val="clear" w:color="auto" w:fill="FFFFFF"/>
        <w:spacing w:line="360" w:lineRule="auto"/>
        <w:ind w:firstLine="480"/>
        <w:jc w:val="center"/>
        <w:rPr>
          <w:rFonts w:ascii="宋体" w:hAnsi="宋体" w:cs="黑体"/>
          <w:b/>
          <w:color w:val="auto"/>
          <w:kern w:val="0"/>
          <w:sz w:val="24"/>
        </w:rPr>
      </w:pPr>
      <w:r>
        <w:rPr>
          <w:rFonts w:hint="eastAsia" w:ascii="宋体" w:hAnsi="宋体" w:cs="黑体"/>
          <w:b/>
          <w:color w:val="auto"/>
          <w:kern w:val="0"/>
          <w:sz w:val="24"/>
        </w:rPr>
        <w:t>授权委托人身份证明及法定代表人授权委托书</w:t>
      </w:r>
    </w:p>
    <w:p w14:paraId="34FD430B">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auto"/>
          <w:sz w:val="24"/>
        </w:rPr>
      </w:pPr>
    </w:p>
    <w:p w14:paraId="7FFDE55F">
      <w:pPr>
        <w:widowControl/>
        <w:spacing w:line="360" w:lineRule="auto"/>
        <w:ind w:left="315" w:leftChars="150" w:firstLine="120" w:firstLineChars="50"/>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（供应商名称）法定代表人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，现授权委托</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 xml:space="preserve">的 </w:t>
      </w:r>
      <w:r>
        <w:rPr>
          <w:rFonts w:hint="eastAsia" w:ascii="宋体" w:hAnsi="宋体" w:cs="宋体"/>
          <w:color w:val="auto"/>
          <w:kern w:val="0"/>
          <w:sz w:val="24"/>
          <w:u w:val="single"/>
        </w:rPr>
        <w:t xml:space="preserve">             </w:t>
      </w:r>
      <w:r>
        <w:rPr>
          <w:rFonts w:hint="eastAsia" w:ascii="宋体" w:hAnsi="宋体" w:cs="宋体"/>
          <w:color w:val="auto"/>
          <w:kern w:val="0"/>
          <w:sz w:val="24"/>
        </w:rPr>
        <w:t>（姓名、职务或职称）为我单位本次项目的全权代表，以本公司的名义参加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项目竞争性磋商，全权处理磋商过程中所签署的一切文件和有关的一切事务。</w:t>
      </w:r>
    </w:p>
    <w:p w14:paraId="3B1F7562">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特此授权。</w:t>
      </w:r>
    </w:p>
    <w:p w14:paraId="24647DAD">
      <w:pPr>
        <w:spacing w:line="560" w:lineRule="exact"/>
        <w:ind w:firstLine="480" w:firstLineChars="200"/>
        <w:rPr>
          <w:rFonts w:hint="eastAsia" w:ascii="宋体" w:hAnsi="宋体"/>
          <w:color w:val="auto"/>
          <w:sz w:val="24"/>
        </w:rPr>
      </w:pPr>
      <w:r>
        <w:rPr>
          <w:rFonts w:hint="eastAsia" w:ascii="宋体" w:hAnsi="宋体"/>
          <w:color w:val="auto"/>
          <w:sz w:val="24"/>
        </w:rPr>
        <w:t>附：授权委托人身份证明</w:t>
      </w:r>
    </w:p>
    <w:p w14:paraId="25107FED">
      <w:pPr>
        <w:pStyle w:val="10"/>
        <w:rPr>
          <w:rFonts w:hint="eastAsia" w:ascii="宋体" w:hAnsi="宋体"/>
          <w:color w:val="auto"/>
          <w:sz w:val="24"/>
        </w:rPr>
      </w:pPr>
    </w:p>
    <w:p w14:paraId="63F84AC0">
      <w:pPr>
        <w:rPr>
          <w:rFonts w:hint="eastAsia" w:ascii="宋体" w:hAnsi="宋体"/>
          <w:color w:val="auto"/>
          <w:sz w:val="24"/>
        </w:rPr>
      </w:pPr>
    </w:p>
    <w:p w14:paraId="2BFA78A8">
      <w:pPr>
        <w:pStyle w:val="10"/>
        <w:rPr>
          <w:color w:val="auto"/>
        </w:rPr>
      </w:pPr>
    </w:p>
    <w:p w14:paraId="1724C4E2">
      <w:pPr>
        <w:rPr>
          <w:color w:val="auto"/>
        </w:rPr>
      </w:pPr>
    </w:p>
    <w:p w14:paraId="0A546E2A">
      <w:pPr>
        <w:pStyle w:val="10"/>
        <w:rPr>
          <w:color w:val="auto"/>
        </w:rPr>
      </w:pPr>
    </w:p>
    <w:p w14:paraId="2C482DFF">
      <w:pPr>
        <w:rPr>
          <w:color w:val="auto"/>
        </w:rPr>
      </w:pPr>
    </w:p>
    <w:p w14:paraId="3CE5F2AC">
      <w:pPr>
        <w:pStyle w:val="10"/>
        <w:rPr>
          <w:color w:val="auto"/>
        </w:rPr>
      </w:pPr>
    </w:p>
    <w:p w14:paraId="31BC785A">
      <w:pPr>
        <w:rPr>
          <w:color w:val="auto"/>
        </w:rPr>
      </w:pPr>
    </w:p>
    <w:p w14:paraId="7DE58675">
      <w:pPr>
        <w:spacing w:line="560" w:lineRule="exact"/>
        <w:rPr>
          <w:rFonts w:ascii="宋体" w:hAnsi="宋体"/>
          <w:color w:val="auto"/>
          <w:sz w:val="24"/>
        </w:rPr>
      </w:pPr>
    </w:p>
    <w:p w14:paraId="064B8173">
      <w:pPr>
        <w:spacing w:line="400" w:lineRule="exact"/>
        <w:ind w:firstLine="3960" w:firstLineChars="1650"/>
        <w:jc w:val="lef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（盖单位章）</w:t>
      </w:r>
    </w:p>
    <w:p w14:paraId="5C6E452F">
      <w:pPr>
        <w:spacing w:line="400" w:lineRule="exact"/>
        <w:ind w:firstLine="4080" w:firstLineChars="1700"/>
        <w:jc w:val="left"/>
        <w:rPr>
          <w:rFonts w:ascii="宋体" w:hAnsi="宋体" w:cs="宋体"/>
          <w:color w:val="auto"/>
          <w:sz w:val="24"/>
        </w:rPr>
      </w:pPr>
    </w:p>
    <w:p w14:paraId="0A61C054">
      <w:pPr>
        <w:spacing w:line="400" w:lineRule="exact"/>
        <w:ind w:firstLine="3960" w:firstLineChars="1650"/>
        <w:jc w:val="lef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32E0D5BE">
      <w:pPr>
        <w:spacing w:line="400" w:lineRule="exact"/>
        <w:ind w:firstLine="4080" w:firstLineChars="1700"/>
        <w:jc w:val="left"/>
        <w:rPr>
          <w:rFonts w:ascii="宋体" w:hAnsi="宋体" w:cs="宋体"/>
          <w:color w:val="auto"/>
          <w:sz w:val="24"/>
        </w:rPr>
      </w:pPr>
    </w:p>
    <w:p w14:paraId="45E4662C">
      <w:pPr>
        <w:spacing w:line="400" w:lineRule="exact"/>
        <w:ind w:firstLine="3960" w:firstLineChars="165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079AB755">
      <w:pPr>
        <w:spacing w:line="400" w:lineRule="exact"/>
        <w:ind w:firstLine="4080" w:firstLineChars="1700"/>
        <w:jc w:val="left"/>
        <w:rPr>
          <w:rFonts w:ascii="宋体" w:hAnsi="宋体" w:cs="宋体"/>
          <w:color w:val="auto"/>
          <w:sz w:val="24"/>
          <w:u w:val="single"/>
        </w:rPr>
      </w:pPr>
    </w:p>
    <w:p w14:paraId="5848A95D">
      <w:pPr>
        <w:spacing w:line="400" w:lineRule="exact"/>
        <w:ind w:firstLine="3960" w:firstLineChars="1650"/>
        <w:jc w:val="lef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2E85AFE5">
      <w:pPr>
        <w:spacing w:line="400" w:lineRule="exact"/>
        <w:ind w:firstLine="4080" w:firstLineChars="1700"/>
        <w:jc w:val="left"/>
        <w:rPr>
          <w:rFonts w:ascii="宋体" w:hAnsi="宋体" w:cs="宋体"/>
          <w:color w:val="auto"/>
          <w:sz w:val="24"/>
        </w:rPr>
      </w:pPr>
    </w:p>
    <w:p w14:paraId="64092784">
      <w:pPr>
        <w:spacing w:line="400" w:lineRule="exact"/>
        <w:ind w:firstLine="3840" w:firstLineChars="160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45B2DC60">
      <w:pPr>
        <w:spacing w:line="400" w:lineRule="exact"/>
        <w:ind w:firstLine="4080" w:firstLineChars="1700"/>
        <w:jc w:val="left"/>
        <w:rPr>
          <w:rFonts w:ascii="宋体" w:hAnsi="宋体" w:cs="宋体"/>
          <w:color w:val="auto"/>
          <w:sz w:val="24"/>
        </w:rPr>
      </w:pPr>
    </w:p>
    <w:p w14:paraId="27057B1F">
      <w:pPr>
        <w:spacing w:line="400" w:lineRule="exact"/>
        <w:ind w:firstLine="6000" w:firstLineChars="2500"/>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D095740">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auto"/>
          <w:sz w:val="24"/>
        </w:rPr>
      </w:pPr>
    </w:p>
    <w:p w14:paraId="091A6440">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auto"/>
        </w:rPr>
      </w:pPr>
      <w:r>
        <w:rPr>
          <w:rFonts w:ascii="宋体" w:hAnsi="宋体"/>
          <w:color w:val="auto"/>
          <w:szCs w:val="24"/>
        </w:rPr>
        <w:br w:type="page"/>
      </w:r>
      <w:r>
        <w:rPr>
          <w:rFonts w:hint="eastAsia" w:ascii="宋体" w:hAnsi="宋体"/>
          <w:b/>
          <w:bCs/>
          <w:color w:val="auto"/>
        </w:rPr>
        <w:t>三、初次报价表</w:t>
      </w:r>
    </w:p>
    <w:p w14:paraId="1DD90960">
      <w:pPr>
        <w:spacing w:line="360" w:lineRule="auto"/>
        <w:ind w:left="206" w:right="555"/>
        <w:jc w:val="right"/>
        <w:rPr>
          <w:rFonts w:ascii="宋体" w:hAnsi="宋体"/>
          <w:color w:val="auto"/>
          <w:sz w:val="24"/>
        </w:rPr>
      </w:pPr>
      <w:r>
        <w:rPr>
          <w:rFonts w:hint="eastAsia" w:ascii="宋体" w:hAnsi="宋体"/>
          <w:color w:val="auto"/>
          <w:sz w:val="24"/>
        </w:rPr>
        <w:t>货币单位：元</w:t>
      </w:r>
    </w:p>
    <w:tbl>
      <w:tblPr>
        <w:tblStyle w:val="3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14:paraId="3FE4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14:paraId="639AAA5B">
            <w:pPr>
              <w:spacing w:line="360" w:lineRule="auto"/>
              <w:jc w:val="center"/>
              <w:rPr>
                <w:rFonts w:ascii="宋体" w:hAnsi="宋体"/>
                <w:color w:val="auto"/>
                <w:sz w:val="24"/>
              </w:rPr>
            </w:pPr>
            <w:r>
              <w:rPr>
                <w:rFonts w:hint="eastAsia" w:ascii="宋体" w:hAnsi="宋体"/>
                <w:color w:val="auto"/>
                <w:sz w:val="24"/>
              </w:rPr>
              <w:t>供应商名称</w:t>
            </w:r>
          </w:p>
        </w:tc>
        <w:tc>
          <w:tcPr>
            <w:tcW w:w="6715" w:type="dxa"/>
            <w:vAlign w:val="center"/>
          </w:tcPr>
          <w:p w14:paraId="2BC0E5B0">
            <w:pPr>
              <w:spacing w:line="360" w:lineRule="auto"/>
              <w:jc w:val="center"/>
              <w:rPr>
                <w:rFonts w:ascii="宋体" w:hAnsi="宋体"/>
                <w:color w:val="auto"/>
                <w:sz w:val="24"/>
              </w:rPr>
            </w:pPr>
          </w:p>
        </w:tc>
      </w:tr>
      <w:tr w14:paraId="001F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14:paraId="18E4D3FD">
            <w:pPr>
              <w:spacing w:line="360" w:lineRule="auto"/>
              <w:jc w:val="center"/>
              <w:rPr>
                <w:rFonts w:ascii="宋体" w:hAnsi="宋体"/>
                <w:color w:val="auto"/>
                <w:sz w:val="24"/>
              </w:rPr>
            </w:pPr>
            <w:r>
              <w:rPr>
                <w:rFonts w:hint="eastAsia" w:ascii="宋体" w:hAnsi="宋体"/>
                <w:color w:val="auto"/>
                <w:sz w:val="24"/>
              </w:rPr>
              <w:t>项目名称</w:t>
            </w:r>
          </w:p>
        </w:tc>
        <w:tc>
          <w:tcPr>
            <w:tcW w:w="6715" w:type="dxa"/>
            <w:vAlign w:val="center"/>
          </w:tcPr>
          <w:p w14:paraId="71C48D21">
            <w:pPr>
              <w:spacing w:line="360" w:lineRule="auto"/>
              <w:jc w:val="center"/>
              <w:rPr>
                <w:rFonts w:ascii="宋体" w:hAnsi="宋体"/>
                <w:color w:val="auto"/>
                <w:sz w:val="24"/>
              </w:rPr>
            </w:pPr>
          </w:p>
        </w:tc>
      </w:tr>
      <w:tr w14:paraId="1087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14:paraId="05D21986">
            <w:pPr>
              <w:spacing w:line="360" w:lineRule="auto"/>
              <w:jc w:val="center"/>
              <w:rPr>
                <w:rFonts w:ascii="宋体" w:hAnsi="宋体"/>
                <w:color w:val="auto"/>
                <w:sz w:val="24"/>
              </w:rPr>
            </w:pPr>
            <w:r>
              <w:rPr>
                <w:rFonts w:hint="eastAsia" w:ascii="宋体" w:hAnsi="宋体"/>
                <w:color w:val="auto"/>
                <w:sz w:val="24"/>
              </w:rPr>
              <w:t>初次报价</w:t>
            </w:r>
            <w:r>
              <w:rPr>
                <w:rFonts w:ascii="宋体" w:hAnsi="宋体"/>
                <w:color w:val="auto"/>
                <w:sz w:val="24"/>
              </w:rPr>
              <w:t xml:space="preserve">       </w:t>
            </w:r>
          </w:p>
        </w:tc>
        <w:tc>
          <w:tcPr>
            <w:tcW w:w="6715" w:type="dxa"/>
            <w:vAlign w:val="center"/>
          </w:tcPr>
          <w:p w14:paraId="736F9211">
            <w:pPr>
              <w:spacing w:line="360" w:lineRule="auto"/>
              <w:ind w:firstLine="480" w:firstLineChars="200"/>
              <w:jc w:val="both"/>
              <w:rPr>
                <w:rFonts w:hint="eastAsia" w:ascii="宋体" w:hAnsi="宋体"/>
                <w:color w:val="auto"/>
                <w:sz w:val="24"/>
                <w:lang w:eastAsia="zh-CN"/>
              </w:rPr>
            </w:pPr>
            <w:r>
              <w:rPr>
                <w:rFonts w:hint="eastAsia" w:ascii="宋体" w:hAnsi="宋体"/>
                <w:color w:val="auto"/>
                <w:sz w:val="24"/>
                <w:lang w:eastAsia="zh-CN"/>
              </w:rPr>
              <w:t>大写：</w:t>
            </w:r>
          </w:p>
          <w:p w14:paraId="7190C913">
            <w:pPr>
              <w:pStyle w:val="54"/>
              <w:rPr>
                <w:rFonts w:hint="eastAsia"/>
                <w:color w:val="auto"/>
                <w:lang w:eastAsia="zh-CN"/>
              </w:rPr>
            </w:pPr>
          </w:p>
          <w:p w14:paraId="5F2AE897">
            <w:pPr>
              <w:spacing w:line="360" w:lineRule="auto"/>
              <w:ind w:firstLine="480" w:firstLineChars="200"/>
              <w:jc w:val="both"/>
              <w:rPr>
                <w:rFonts w:ascii="宋体" w:hAnsi="宋体"/>
                <w:color w:val="auto"/>
                <w:sz w:val="24"/>
              </w:rPr>
            </w:pPr>
            <w:r>
              <w:rPr>
                <w:rFonts w:hint="eastAsia" w:ascii="宋体" w:hAnsi="宋体"/>
                <w:color w:val="auto"/>
                <w:sz w:val="24"/>
                <w:lang w:eastAsia="zh-CN"/>
              </w:rPr>
              <w:t>小写：</w:t>
            </w:r>
          </w:p>
        </w:tc>
      </w:tr>
      <w:tr w14:paraId="7D14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14:paraId="52BA63DE">
            <w:pPr>
              <w:spacing w:line="360" w:lineRule="auto"/>
              <w:jc w:val="center"/>
              <w:rPr>
                <w:rFonts w:ascii="宋体" w:hAnsi="宋体"/>
                <w:color w:val="auto"/>
                <w:sz w:val="24"/>
              </w:rPr>
            </w:pPr>
            <w:r>
              <w:rPr>
                <w:rFonts w:hint="eastAsia" w:ascii="宋体" w:hAnsi="宋体"/>
                <w:color w:val="auto"/>
                <w:w w:val="110"/>
                <w:sz w:val="24"/>
              </w:rPr>
              <w:t>工期（日历日）</w:t>
            </w:r>
          </w:p>
        </w:tc>
        <w:tc>
          <w:tcPr>
            <w:tcW w:w="6715" w:type="dxa"/>
            <w:vAlign w:val="center"/>
          </w:tcPr>
          <w:p w14:paraId="681073E9">
            <w:pPr>
              <w:spacing w:line="360" w:lineRule="auto"/>
              <w:jc w:val="center"/>
              <w:rPr>
                <w:rFonts w:ascii="宋体" w:hAnsi="宋体"/>
                <w:color w:val="auto"/>
                <w:sz w:val="24"/>
              </w:rPr>
            </w:pPr>
          </w:p>
        </w:tc>
      </w:tr>
      <w:tr w14:paraId="6D8F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14:paraId="7BC383F6">
            <w:pPr>
              <w:spacing w:line="360" w:lineRule="auto"/>
              <w:jc w:val="center"/>
              <w:rPr>
                <w:rFonts w:ascii="宋体" w:hAnsi="宋体"/>
                <w:color w:val="auto"/>
                <w:w w:val="110"/>
                <w:sz w:val="24"/>
                <w:szCs w:val="24"/>
              </w:rPr>
            </w:pPr>
            <w:r>
              <w:rPr>
                <w:rFonts w:hint="eastAsia" w:ascii="宋体" w:hAnsi="宋体"/>
                <w:color w:val="auto"/>
                <w:w w:val="110"/>
                <w:sz w:val="24"/>
                <w:szCs w:val="24"/>
              </w:rPr>
              <w:t>质量标准</w:t>
            </w:r>
          </w:p>
        </w:tc>
        <w:tc>
          <w:tcPr>
            <w:tcW w:w="6715" w:type="dxa"/>
            <w:vAlign w:val="center"/>
          </w:tcPr>
          <w:p w14:paraId="3E1CE60F">
            <w:pPr>
              <w:spacing w:line="360" w:lineRule="auto"/>
              <w:jc w:val="center"/>
              <w:rPr>
                <w:rFonts w:ascii="宋体" w:hAnsi="宋体"/>
                <w:color w:val="auto"/>
                <w:w w:val="110"/>
                <w:sz w:val="24"/>
                <w:szCs w:val="24"/>
              </w:rPr>
            </w:pPr>
          </w:p>
        </w:tc>
      </w:tr>
      <w:tr w14:paraId="7FF9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14:paraId="27D79E00">
            <w:pPr>
              <w:spacing w:line="360" w:lineRule="auto"/>
              <w:jc w:val="center"/>
              <w:rPr>
                <w:rFonts w:hint="eastAsia" w:ascii="宋体" w:hAnsi="宋体" w:eastAsia="宋体"/>
                <w:color w:val="auto"/>
                <w:w w:val="110"/>
                <w:sz w:val="24"/>
                <w:szCs w:val="24"/>
                <w:lang w:eastAsia="zh-CN"/>
              </w:rPr>
            </w:pPr>
            <w:r>
              <w:rPr>
                <w:rFonts w:hint="eastAsia" w:ascii="宋体" w:hAnsi="宋体"/>
                <w:color w:val="auto"/>
                <w:w w:val="110"/>
                <w:sz w:val="24"/>
                <w:szCs w:val="24"/>
                <w:lang w:val="en-US" w:eastAsia="zh-CN"/>
              </w:rPr>
              <w:t>质保期</w:t>
            </w:r>
            <w:r>
              <w:rPr>
                <w:rFonts w:hint="eastAsia" w:ascii="宋体" w:hAnsi="宋体"/>
                <w:color w:val="auto"/>
                <w:w w:val="110"/>
                <w:sz w:val="24"/>
                <w:szCs w:val="24"/>
                <w:lang w:eastAsia="zh-CN"/>
              </w:rPr>
              <w:t>（年）</w:t>
            </w:r>
          </w:p>
        </w:tc>
        <w:tc>
          <w:tcPr>
            <w:tcW w:w="6715" w:type="dxa"/>
            <w:vAlign w:val="center"/>
          </w:tcPr>
          <w:p w14:paraId="7302ECDA">
            <w:pPr>
              <w:spacing w:line="360" w:lineRule="auto"/>
              <w:jc w:val="center"/>
              <w:rPr>
                <w:rFonts w:ascii="宋体" w:hAnsi="宋体"/>
                <w:color w:val="auto"/>
                <w:w w:val="110"/>
                <w:sz w:val="24"/>
                <w:szCs w:val="24"/>
              </w:rPr>
            </w:pPr>
          </w:p>
        </w:tc>
      </w:tr>
      <w:tr w14:paraId="1578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2804" w:type="dxa"/>
            <w:vAlign w:val="center"/>
          </w:tcPr>
          <w:p w14:paraId="00226C2B">
            <w:pPr>
              <w:spacing w:line="360" w:lineRule="auto"/>
              <w:jc w:val="center"/>
              <w:rPr>
                <w:rFonts w:hint="eastAsia" w:ascii="宋体" w:hAnsi="宋体"/>
                <w:color w:val="auto"/>
                <w:w w:val="110"/>
                <w:sz w:val="24"/>
                <w:szCs w:val="24"/>
                <w:lang w:eastAsia="zh-CN"/>
              </w:rPr>
            </w:pPr>
            <w:r>
              <w:rPr>
                <w:rFonts w:hint="eastAsia" w:ascii="宋体" w:hAnsi="宋体"/>
                <w:color w:val="auto"/>
                <w:w w:val="110"/>
                <w:sz w:val="24"/>
                <w:szCs w:val="24"/>
                <w:lang w:eastAsia="zh-CN"/>
              </w:rPr>
              <w:t>项目经理</w:t>
            </w:r>
          </w:p>
        </w:tc>
        <w:tc>
          <w:tcPr>
            <w:tcW w:w="6715" w:type="dxa"/>
            <w:vAlign w:val="center"/>
          </w:tcPr>
          <w:p w14:paraId="0BE89E44">
            <w:pPr>
              <w:spacing w:line="360" w:lineRule="auto"/>
              <w:jc w:val="left"/>
              <w:rPr>
                <w:rFonts w:hint="eastAsia" w:ascii="宋体"/>
                <w:color w:val="auto"/>
                <w:sz w:val="24"/>
                <w:szCs w:val="24"/>
                <w:highlight w:val="none"/>
              </w:rPr>
            </w:pPr>
            <w:r>
              <w:rPr>
                <w:rFonts w:hint="eastAsia" w:ascii="宋体"/>
                <w:color w:val="auto"/>
                <w:sz w:val="24"/>
                <w:szCs w:val="24"/>
                <w:highlight w:val="none"/>
              </w:rPr>
              <w:t>姓名：</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030025CD">
            <w:pPr>
              <w:spacing w:line="360" w:lineRule="auto"/>
              <w:jc w:val="left"/>
              <w:rPr>
                <w:rFonts w:hint="eastAsia" w:ascii="宋体"/>
                <w:color w:val="auto"/>
                <w:sz w:val="24"/>
                <w:szCs w:val="24"/>
                <w:highlight w:val="none"/>
              </w:rPr>
            </w:pPr>
            <w:r>
              <w:rPr>
                <w:rFonts w:hint="eastAsia" w:ascii="宋体"/>
                <w:color w:val="auto"/>
                <w:sz w:val="24"/>
                <w:szCs w:val="24"/>
                <w:highlight w:val="none"/>
              </w:rPr>
              <w:t>证书等级：</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2A707BB2">
            <w:pPr>
              <w:spacing w:line="360" w:lineRule="auto"/>
              <w:jc w:val="both"/>
              <w:rPr>
                <w:rFonts w:ascii="宋体" w:hAnsi="宋体"/>
                <w:color w:val="auto"/>
                <w:w w:val="110"/>
                <w:sz w:val="24"/>
                <w:szCs w:val="24"/>
              </w:rPr>
            </w:pPr>
            <w:r>
              <w:rPr>
                <w:rFonts w:hint="eastAsia" w:ascii="宋体"/>
                <w:color w:val="auto"/>
                <w:sz w:val="24"/>
                <w:szCs w:val="24"/>
                <w:highlight w:val="none"/>
              </w:rPr>
              <w:t>证书注册编号：</w:t>
            </w:r>
            <w:r>
              <w:rPr>
                <w:rFonts w:hint="eastAsia" w:ascii="宋体"/>
                <w:color w:val="auto"/>
                <w:sz w:val="24"/>
                <w:szCs w:val="24"/>
                <w:highlight w:val="none"/>
                <w:u w:val="single"/>
              </w:rPr>
              <w:t xml:space="preserve">              </w:t>
            </w:r>
            <w:r>
              <w:rPr>
                <w:rFonts w:hint="eastAsia" w:ascii="宋体"/>
                <w:color w:val="auto"/>
                <w:sz w:val="24"/>
                <w:szCs w:val="24"/>
                <w:highlight w:val="none"/>
              </w:rPr>
              <w:t>。</w:t>
            </w:r>
          </w:p>
        </w:tc>
      </w:tr>
    </w:tbl>
    <w:p w14:paraId="7F3D39E2">
      <w:pPr>
        <w:spacing w:line="360" w:lineRule="auto"/>
        <w:ind w:right="420"/>
        <w:rPr>
          <w:rFonts w:ascii="宋体" w:hAnsi="宋体"/>
          <w:color w:val="auto"/>
          <w:sz w:val="24"/>
        </w:rPr>
      </w:pPr>
      <w:r>
        <w:rPr>
          <w:rFonts w:hint="eastAsia" w:ascii="宋体" w:hAnsi="宋体"/>
          <w:color w:val="auto"/>
          <w:sz w:val="24"/>
        </w:rPr>
        <w:t xml:space="preserve">                                                          </w:t>
      </w:r>
    </w:p>
    <w:p w14:paraId="023A6B9F">
      <w:pPr>
        <w:spacing w:line="360" w:lineRule="auto"/>
        <w:ind w:right="420"/>
        <w:rPr>
          <w:rFonts w:ascii="宋体" w:hAnsi="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（盖章）：</w:t>
      </w:r>
    </w:p>
    <w:p w14:paraId="37D49226">
      <w:pPr>
        <w:spacing w:line="480" w:lineRule="exact"/>
        <w:jc w:val="left"/>
        <w:rPr>
          <w:rFonts w:ascii="宋体" w:hAnsi="宋体" w:cs="宋体"/>
          <w:color w:val="auto"/>
          <w:sz w:val="24"/>
        </w:rPr>
      </w:pPr>
      <w:r>
        <w:rPr>
          <w:rFonts w:hint="eastAsia" w:ascii="宋体" w:hAnsi="宋体" w:cs="宋体"/>
          <w:color w:val="auto"/>
          <w:sz w:val="24"/>
        </w:rPr>
        <w:t>法人代表或委托代理人（签字或盖章）：</w:t>
      </w:r>
    </w:p>
    <w:p w14:paraId="16F70F05">
      <w:pPr>
        <w:spacing w:line="480" w:lineRule="exact"/>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BD9DE75">
      <w:pPr>
        <w:pStyle w:val="54"/>
        <w:ind w:left="0" w:leftChars="0" w:firstLine="0" w:firstLineChars="0"/>
        <w:rPr>
          <w:rFonts w:hint="eastAsia" w:ascii="宋体" w:hAnsi="宋体" w:cs="宋体"/>
          <w:color w:val="auto"/>
          <w:sz w:val="24"/>
        </w:rPr>
        <w:sectPr>
          <w:pgSz w:w="11906" w:h="16838"/>
          <w:pgMar w:top="1440" w:right="1080" w:bottom="1440" w:left="1080" w:header="851" w:footer="992" w:gutter="0"/>
          <w:pgNumType w:fmt="decimal"/>
          <w:cols w:space="720" w:num="1"/>
          <w:titlePg/>
          <w:docGrid w:type="lines" w:linePitch="286" w:charSpace="0"/>
        </w:sectPr>
      </w:pPr>
    </w:p>
    <w:p w14:paraId="2B00AA50">
      <w:pPr>
        <w:pStyle w:val="54"/>
        <w:ind w:left="0" w:leftChars="0" w:firstLine="0" w:firstLineChars="0"/>
        <w:rPr>
          <w:rFonts w:hint="eastAsia" w:ascii="宋体" w:hAnsi="宋体" w:cs="宋体"/>
          <w:color w:val="auto"/>
          <w:sz w:val="24"/>
        </w:rPr>
      </w:pPr>
    </w:p>
    <w:p w14:paraId="79E48C2C">
      <w:pPr>
        <w:pStyle w:val="10"/>
        <w:numPr>
          <w:ilvl w:val="0"/>
          <w:numId w:val="3"/>
        </w:numPr>
        <w:jc w:val="center"/>
        <w:rPr>
          <w:rFonts w:hint="eastAsia" w:ascii="宋体" w:hAnsi="宋体" w:cs="宋体"/>
          <w:b/>
          <w:bCs/>
          <w:color w:val="auto"/>
          <w:sz w:val="24"/>
          <w:lang w:eastAsia="zh-CN"/>
        </w:rPr>
      </w:pPr>
      <w:r>
        <w:rPr>
          <w:rFonts w:hint="eastAsia" w:ascii="宋体" w:hAnsi="宋体" w:cs="宋体"/>
          <w:b/>
          <w:bCs/>
          <w:color w:val="auto"/>
          <w:sz w:val="24"/>
          <w:lang w:eastAsia="zh-CN"/>
        </w:rPr>
        <w:t>初次报价的已标价工程量清单</w:t>
      </w:r>
    </w:p>
    <w:p w14:paraId="0F205045">
      <w:pPr>
        <w:numPr>
          <w:ilvl w:val="0"/>
          <w:numId w:val="0"/>
        </w:numPr>
        <w:rPr>
          <w:rFonts w:hint="eastAsia"/>
          <w:lang w:eastAsia="zh-CN"/>
        </w:rPr>
      </w:pPr>
    </w:p>
    <w:p w14:paraId="187C36A5">
      <w:pPr>
        <w:ind w:firstLine="480" w:firstLineChars="200"/>
        <w:rPr>
          <w:rFonts w:hint="eastAsia"/>
          <w:sz w:val="24"/>
        </w:rPr>
      </w:pPr>
      <w:r>
        <w:rPr>
          <w:rFonts w:hint="eastAsia"/>
          <w:sz w:val="24"/>
        </w:rPr>
        <w:t>说明：初次报价的已标价工程量清单按第四部分采购内容及要求中“工程量清单”中的相关清单表格式填写。构成合同文件的已标价工程量清单包括第四部分采购内容及要求中“工程量清单”有关工程量清单、报价以及其他说明的内容。</w:t>
      </w:r>
    </w:p>
    <w:p w14:paraId="38C6FB8F">
      <w:pPr>
        <w:rPr>
          <w:color w:val="auto"/>
        </w:rPr>
      </w:pPr>
    </w:p>
    <w:p w14:paraId="60D490BC">
      <w:pPr>
        <w:rPr>
          <w:rFonts w:ascii="宋体" w:hAnsi="宋体"/>
          <w:color w:val="auto"/>
          <w:sz w:val="24"/>
        </w:rPr>
      </w:pPr>
      <w:r>
        <w:rPr>
          <w:rFonts w:ascii="宋体" w:hAnsi="宋体"/>
          <w:color w:val="auto"/>
          <w:sz w:val="24"/>
        </w:rPr>
        <w:br w:type="page"/>
      </w:r>
    </w:p>
    <w:p w14:paraId="2BC7C386">
      <w:pPr>
        <w:spacing w:line="360" w:lineRule="auto"/>
        <w:jc w:val="center"/>
        <w:rPr>
          <w:rFonts w:hint="eastAsia" w:ascii="宋体" w:hAnsi="宋体" w:eastAsia="宋体"/>
          <w:b/>
          <w:color w:val="auto"/>
          <w:sz w:val="24"/>
          <w:szCs w:val="24"/>
          <w:lang w:eastAsia="zh-CN"/>
        </w:rPr>
      </w:pPr>
      <w:bookmarkStart w:id="159" w:name="_Toc374107074"/>
      <w:bookmarkStart w:id="160" w:name="_Toc323642005"/>
      <w:bookmarkStart w:id="161" w:name="_Toc300901200"/>
      <w:r>
        <w:rPr>
          <w:rFonts w:hint="eastAsia" w:ascii="宋体" w:hAnsi="宋体"/>
          <w:b/>
          <w:bCs/>
          <w:color w:val="auto"/>
          <w:lang w:eastAsia="zh-CN"/>
        </w:rPr>
        <w:t>五</w:t>
      </w:r>
      <w:r>
        <w:rPr>
          <w:rFonts w:hint="eastAsia" w:ascii="宋体" w:hAnsi="宋体"/>
          <w:b/>
          <w:bCs/>
          <w:color w:val="auto"/>
        </w:rPr>
        <w:t>、</w:t>
      </w:r>
      <w:r>
        <w:rPr>
          <w:rFonts w:hint="eastAsia" w:ascii="宋体" w:hAnsi="宋体"/>
          <w:b/>
          <w:color w:val="auto"/>
          <w:sz w:val="24"/>
          <w:szCs w:val="24"/>
          <w:lang w:eastAsia="zh-CN"/>
        </w:rPr>
        <w:t>技术部分（施工组织设计）</w:t>
      </w:r>
    </w:p>
    <w:p w14:paraId="5B6171F0">
      <w:pPr>
        <w:spacing w:line="360" w:lineRule="auto"/>
        <w:rPr>
          <w:rFonts w:ascii="宋体" w:hAnsi="宋体"/>
          <w:color w:val="auto"/>
          <w:sz w:val="24"/>
        </w:rPr>
      </w:pPr>
      <w:r>
        <w:rPr>
          <w:rFonts w:hint="eastAsia" w:ascii="宋体" w:hAnsi="宋体"/>
          <w:color w:val="auto"/>
          <w:sz w:val="24"/>
        </w:rPr>
        <w:t>一、施工组织方案：</w:t>
      </w:r>
    </w:p>
    <w:tbl>
      <w:tblPr>
        <w:tblStyle w:val="39"/>
        <w:tblW w:w="9505" w:type="dxa"/>
        <w:jc w:val="center"/>
        <w:tblLayout w:type="fixed"/>
        <w:tblCellMar>
          <w:top w:w="0" w:type="dxa"/>
          <w:left w:w="108" w:type="dxa"/>
          <w:bottom w:w="0" w:type="dxa"/>
          <w:right w:w="108" w:type="dxa"/>
        </w:tblCellMar>
      </w:tblPr>
      <w:tblGrid>
        <w:gridCol w:w="9505"/>
      </w:tblGrid>
      <w:tr w14:paraId="58B7570A">
        <w:tblPrEx>
          <w:tblCellMar>
            <w:top w:w="0" w:type="dxa"/>
            <w:left w:w="108" w:type="dxa"/>
            <w:bottom w:w="0" w:type="dxa"/>
            <w:right w:w="108" w:type="dxa"/>
          </w:tblCellMar>
        </w:tblPrEx>
        <w:trPr>
          <w:trHeight w:val="600" w:hRule="atLeast"/>
          <w:jc w:val="center"/>
        </w:trPr>
        <w:tc>
          <w:tcPr>
            <w:tcW w:w="9505" w:type="dxa"/>
          </w:tcPr>
          <w:p w14:paraId="434E1D5B">
            <w:pPr>
              <w:rPr>
                <w:rFonts w:ascii="宋体" w:hAnsi="宋体"/>
                <w:color w:val="auto"/>
                <w:sz w:val="24"/>
              </w:rPr>
            </w:pPr>
            <w:r>
              <w:rPr>
                <w:rFonts w:hint="eastAsia" w:ascii="宋体" w:hAnsi="宋体"/>
                <w:color w:val="auto"/>
                <w:sz w:val="24"/>
              </w:rPr>
              <w:t>1.针对项目特点内容规范完整性和整体编制水平</w:t>
            </w:r>
          </w:p>
        </w:tc>
      </w:tr>
      <w:tr w14:paraId="36DFA86C">
        <w:tblPrEx>
          <w:tblCellMar>
            <w:top w:w="0" w:type="dxa"/>
            <w:left w:w="108" w:type="dxa"/>
            <w:bottom w:w="0" w:type="dxa"/>
            <w:right w:w="108" w:type="dxa"/>
          </w:tblCellMar>
        </w:tblPrEx>
        <w:trPr>
          <w:trHeight w:val="600" w:hRule="atLeast"/>
          <w:jc w:val="center"/>
        </w:trPr>
        <w:tc>
          <w:tcPr>
            <w:tcW w:w="9505" w:type="dxa"/>
          </w:tcPr>
          <w:p w14:paraId="74A507BB">
            <w:pPr>
              <w:rPr>
                <w:rFonts w:ascii="宋体" w:hAnsi="宋体"/>
                <w:color w:val="auto"/>
                <w:sz w:val="24"/>
              </w:rPr>
            </w:pPr>
            <w:r>
              <w:rPr>
                <w:rFonts w:hint="eastAsia" w:ascii="宋体" w:hAnsi="宋体"/>
                <w:color w:val="auto"/>
                <w:sz w:val="24"/>
              </w:rPr>
              <w:t>2.施工方案与技术措施</w:t>
            </w:r>
          </w:p>
        </w:tc>
      </w:tr>
      <w:tr w14:paraId="01D107B6">
        <w:tblPrEx>
          <w:tblCellMar>
            <w:top w:w="0" w:type="dxa"/>
            <w:left w:w="108" w:type="dxa"/>
            <w:bottom w:w="0" w:type="dxa"/>
            <w:right w:w="108" w:type="dxa"/>
          </w:tblCellMar>
        </w:tblPrEx>
        <w:trPr>
          <w:trHeight w:val="600" w:hRule="atLeast"/>
          <w:jc w:val="center"/>
        </w:trPr>
        <w:tc>
          <w:tcPr>
            <w:tcW w:w="9505" w:type="dxa"/>
          </w:tcPr>
          <w:p w14:paraId="4578255C">
            <w:pPr>
              <w:rPr>
                <w:rFonts w:ascii="宋体" w:hAnsi="宋体"/>
                <w:color w:val="auto"/>
                <w:sz w:val="24"/>
              </w:rPr>
            </w:pPr>
            <w:r>
              <w:rPr>
                <w:rFonts w:hint="eastAsia" w:ascii="宋体" w:hAnsi="宋体"/>
                <w:color w:val="auto"/>
                <w:sz w:val="24"/>
              </w:rPr>
              <w:t>3.质量管理体系与措施</w:t>
            </w:r>
          </w:p>
        </w:tc>
      </w:tr>
      <w:tr w14:paraId="16476704">
        <w:tblPrEx>
          <w:tblCellMar>
            <w:top w:w="0" w:type="dxa"/>
            <w:left w:w="108" w:type="dxa"/>
            <w:bottom w:w="0" w:type="dxa"/>
            <w:right w:w="108" w:type="dxa"/>
          </w:tblCellMar>
        </w:tblPrEx>
        <w:trPr>
          <w:trHeight w:val="600" w:hRule="atLeast"/>
          <w:jc w:val="center"/>
        </w:trPr>
        <w:tc>
          <w:tcPr>
            <w:tcW w:w="9505" w:type="dxa"/>
          </w:tcPr>
          <w:p w14:paraId="58BFA8A9">
            <w:pPr>
              <w:rPr>
                <w:rFonts w:ascii="宋体" w:hAnsi="宋体"/>
                <w:color w:val="auto"/>
                <w:sz w:val="24"/>
              </w:rPr>
            </w:pPr>
            <w:r>
              <w:rPr>
                <w:rFonts w:hint="eastAsia" w:ascii="宋体" w:hAnsi="宋体"/>
                <w:color w:val="auto"/>
                <w:sz w:val="24"/>
              </w:rPr>
              <w:t>4.安全管理体系与措施</w:t>
            </w:r>
          </w:p>
        </w:tc>
      </w:tr>
      <w:tr w14:paraId="470005A9">
        <w:tblPrEx>
          <w:tblCellMar>
            <w:top w:w="0" w:type="dxa"/>
            <w:left w:w="108" w:type="dxa"/>
            <w:bottom w:w="0" w:type="dxa"/>
            <w:right w:w="108" w:type="dxa"/>
          </w:tblCellMar>
        </w:tblPrEx>
        <w:trPr>
          <w:trHeight w:val="600" w:hRule="atLeast"/>
          <w:jc w:val="center"/>
        </w:trPr>
        <w:tc>
          <w:tcPr>
            <w:tcW w:w="9505" w:type="dxa"/>
          </w:tcPr>
          <w:p w14:paraId="36E9E7B5">
            <w:pPr>
              <w:rPr>
                <w:rFonts w:ascii="宋体" w:hAnsi="宋体"/>
                <w:color w:val="auto"/>
                <w:sz w:val="24"/>
              </w:rPr>
            </w:pPr>
            <w:r>
              <w:rPr>
                <w:rFonts w:hint="eastAsia" w:ascii="宋体" w:hAnsi="宋体"/>
                <w:color w:val="auto"/>
                <w:sz w:val="24"/>
              </w:rPr>
              <w:t>5.工程进度计划与措施</w:t>
            </w:r>
          </w:p>
        </w:tc>
      </w:tr>
      <w:tr w14:paraId="35123409">
        <w:tblPrEx>
          <w:tblCellMar>
            <w:top w:w="0" w:type="dxa"/>
            <w:left w:w="108" w:type="dxa"/>
            <w:bottom w:w="0" w:type="dxa"/>
            <w:right w:w="108" w:type="dxa"/>
          </w:tblCellMar>
        </w:tblPrEx>
        <w:trPr>
          <w:trHeight w:val="600" w:hRule="atLeast"/>
          <w:jc w:val="center"/>
        </w:trPr>
        <w:tc>
          <w:tcPr>
            <w:tcW w:w="9505" w:type="dxa"/>
          </w:tcPr>
          <w:p w14:paraId="2EEBB12F">
            <w:pPr>
              <w:rPr>
                <w:rFonts w:ascii="宋体" w:hAnsi="宋体"/>
                <w:color w:val="auto"/>
                <w:sz w:val="24"/>
              </w:rPr>
            </w:pPr>
            <w:r>
              <w:rPr>
                <w:rFonts w:hint="eastAsia" w:ascii="宋体" w:hAnsi="宋体"/>
                <w:color w:val="auto"/>
                <w:sz w:val="24"/>
              </w:rPr>
              <w:t>6.环保管理体系与措施</w:t>
            </w:r>
          </w:p>
        </w:tc>
      </w:tr>
      <w:tr w14:paraId="51C37F9C">
        <w:tblPrEx>
          <w:tblCellMar>
            <w:top w:w="0" w:type="dxa"/>
            <w:left w:w="108" w:type="dxa"/>
            <w:bottom w:w="0" w:type="dxa"/>
            <w:right w:w="108" w:type="dxa"/>
          </w:tblCellMar>
        </w:tblPrEx>
        <w:trPr>
          <w:trHeight w:val="600" w:hRule="atLeast"/>
          <w:jc w:val="center"/>
        </w:trPr>
        <w:tc>
          <w:tcPr>
            <w:tcW w:w="9505" w:type="dxa"/>
          </w:tcPr>
          <w:p w14:paraId="598C0D5B">
            <w:pPr>
              <w:rPr>
                <w:rFonts w:ascii="宋体" w:hAnsi="宋体"/>
                <w:color w:val="auto"/>
                <w:sz w:val="24"/>
              </w:rPr>
            </w:pPr>
            <w:r>
              <w:rPr>
                <w:rFonts w:hint="eastAsia" w:ascii="宋体" w:hAnsi="宋体"/>
                <w:color w:val="auto"/>
                <w:sz w:val="24"/>
              </w:rPr>
              <w:t>7.文明管理体系与措施</w:t>
            </w:r>
          </w:p>
        </w:tc>
      </w:tr>
      <w:tr w14:paraId="4A682B82">
        <w:tblPrEx>
          <w:tblCellMar>
            <w:top w:w="0" w:type="dxa"/>
            <w:left w:w="108" w:type="dxa"/>
            <w:bottom w:w="0" w:type="dxa"/>
            <w:right w:w="108" w:type="dxa"/>
          </w:tblCellMar>
        </w:tblPrEx>
        <w:trPr>
          <w:trHeight w:val="600" w:hRule="atLeast"/>
          <w:jc w:val="center"/>
        </w:trPr>
        <w:tc>
          <w:tcPr>
            <w:tcW w:w="9505" w:type="dxa"/>
          </w:tcPr>
          <w:p w14:paraId="77254917">
            <w:pPr>
              <w:rPr>
                <w:rFonts w:ascii="宋体" w:hAnsi="宋体"/>
                <w:color w:val="auto"/>
                <w:sz w:val="24"/>
              </w:rPr>
            </w:pPr>
            <w:r>
              <w:rPr>
                <w:rFonts w:hint="eastAsia" w:ascii="宋体" w:hAnsi="宋体"/>
                <w:color w:val="auto"/>
                <w:sz w:val="24"/>
              </w:rPr>
              <w:t>8.施工管理及措施</w:t>
            </w:r>
          </w:p>
        </w:tc>
      </w:tr>
      <w:tr w14:paraId="05938FFF">
        <w:tblPrEx>
          <w:tblCellMar>
            <w:top w:w="0" w:type="dxa"/>
            <w:left w:w="108" w:type="dxa"/>
            <w:bottom w:w="0" w:type="dxa"/>
            <w:right w:w="108" w:type="dxa"/>
          </w:tblCellMar>
        </w:tblPrEx>
        <w:trPr>
          <w:trHeight w:val="600" w:hRule="atLeast"/>
          <w:jc w:val="center"/>
        </w:trPr>
        <w:tc>
          <w:tcPr>
            <w:tcW w:w="9505" w:type="dxa"/>
          </w:tcPr>
          <w:p w14:paraId="64875CDD">
            <w:pPr>
              <w:rPr>
                <w:rFonts w:ascii="宋体" w:hAnsi="宋体"/>
                <w:color w:val="auto"/>
                <w:sz w:val="24"/>
              </w:rPr>
            </w:pPr>
            <w:r>
              <w:rPr>
                <w:rFonts w:hint="eastAsia" w:ascii="宋体" w:hAnsi="宋体"/>
                <w:color w:val="auto"/>
                <w:sz w:val="24"/>
              </w:rPr>
              <w:t>9.资源配备计划及措施</w:t>
            </w:r>
          </w:p>
        </w:tc>
      </w:tr>
      <w:tr w14:paraId="1A49DAAA">
        <w:tblPrEx>
          <w:tblCellMar>
            <w:top w:w="0" w:type="dxa"/>
            <w:left w:w="108" w:type="dxa"/>
            <w:bottom w:w="0" w:type="dxa"/>
            <w:right w:w="108" w:type="dxa"/>
          </w:tblCellMar>
        </w:tblPrEx>
        <w:trPr>
          <w:trHeight w:val="600" w:hRule="atLeast"/>
          <w:jc w:val="center"/>
        </w:trPr>
        <w:tc>
          <w:tcPr>
            <w:tcW w:w="9505" w:type="dxa"/>
          </w:tcPr>
          <w:p w14:paraId="66934E34">
            <w:pPr>
              <w:rPr>
                <w:rFonts w:ascii="宋体" w:hAnsi="宋体"/>
                <w:color w:val="auto"/>
                <w:sz w:val="24"/>
              </w:rPr>
            </w:pPr>
            <w:r>
              <w:rPr>
                <w:rFonts w:hint="eastAsia" w:ascii="宋体" w:hAnsi="宋体"/>
                <w:color w:val="auto"/>
                <w:sz w:val="24"/>
              </w:rPr>
              <w:t>10.施工关键部位、材料采购要点的控制及措施</w:t>
            </w:r>
          </w:p>
        </w:tc>
      </w:tr>
    </w:tbl>
    <w:p w14:paraId="03479950">
      <w:pPr>
        <w:spacing w:line="360" w:lineRule="auto"/>
        <w:rPr>
          <w:rFonts w:ascii="宋体" w:hAnsi="宋体"/>
          <w:color w:val="auto"/>
          <w:sz w:val="24"/>
        </w:rPr>
      </w:pPr>
    </w:p>
    <w:p w14:paraId="4EC38D2A">
      <w:pPr>
        <w:pStyle w:val="86"/>
        <w:tabs>
          <w:tab w:val="left" w:pos="9638"/>
        </w:tabs>
        <w:spacing w:line="360" w:lineRule="auto"/>
        <w:ind w:right="-82"/>
        <w:jc w:val="center"/>
        <w:rPr>
          <w:rFonts w:ascii="宋体" w:hAnsi="宋体"/>
          <w:b/>
          <w:color w:val="auto"/>
          <w:sz w:val="24"/>
          <w:szCs w:val="24"/>
        </w:rPr>
      </w:pPr>
      <w:r>
        <w:rPr>
          <w:rFonts w:hint="eastAsia" w:ascii="宋体" w:hAnsi="宋体"/>
          <w:color w:val="auto"/>
          <w:sz w:val="24"/>
        </w:rPr>
        <w:br w:type="page"/>
      </w:r>
      <w:r>
        <w:rPr>
          <w:rFonts w:hint="eastAsia" w:ascii="宋体" w:hAnsi="宋体"/>
          <w:b/>
          <w:color w:val="auto"/>
          <w:sz w:val="24"/>
          <w:szCs w:val="24"/>
        </w:rPr>
        <w:t>六、项目管理机构</w:t>
      </w:r>
    </w:p>
    <w:p w14:paraId="227E9096">
      <w:pPr>
        <w:spacing w:after="286" w:afterLines="100" w:line="360" w:lineRule="auto"/>
        <w:jc w:val="center"/>
        <w:rPr>
          <w:rFonts w:ascii="宋体" w:hAnsi="宋体"/>
          <w:color w:val="auto"/>
          <w:sz w:val="24"/>
        </w:rPr>
      </w:pPr>
      <w:r>
        <w:rPr>
          <w:rFonts w:hint="eastAsia" w:ascii="宋体" w:hAnsi="宋体"/>
          <w:color w:val="auto"/>
          <w:sz w:val="24"/>
        </w:rPr>
        <w:t>（一）项目管理机构组成表</w:t>
      </w:r>
    </w:p>
    <w:tbl>
      <w:tblPr>
        <w:tblStyle w:val="3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2492"/>
        <w:gridCol w:w="2821"/>
        <w:gridCol w:w="2151"/>
      </w:tblGrid>
      <w:tr w14:paraId="4A35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Merge w:val="restart"/>
            <w:vAlign w:val="center"/>
          </w:tcPr>
          <w:p w14:paraId="3A2C2ABB">
            <w:pPr>
              <w:spacing w:line="360" w:lineRule="auto"/>
              <w:jc w:val="center"/>
              <w:rPr>
                <w:rFonts w:hint="eastAsia" w:ascii="宋体" w:hAnsi="宋体" w:eastAsia="宋体"/>
                <w:color w:val="auto"/>
                <w:sz w:val="24"/>
                <w:lang w:eastAsia="zh-CN"/>
              </w:rPr>
            </w:pPr>
            <w:r>
              <w:rPr>
                <w:rFonts w:hint="eastAsia" w:ascii="宋体" w:hAnsi="宋体"/>
                <w:color w:val="auto"/>
                <w:sz w:val="24"/>
                <w:lang w:eastAsia="zh-CN"/>
              </w:rPr>
              <w:t>序号</w:t>
            </w:r>
          </w:p>
        </w:tc>
        <w:tc>
          <w:tcPr>
            <w:tcW w:w="1251" w:type="pct"/>
            <w:vMerge w:val="restart"/>
            <w:vAlign w:val="center"/>
          </w:tcPr>
          <w:p w14:paraId="35EB4285">
            <w:pPr>
              <w:spacing w:line="360" w:lineRule="auto"/>
              <w:jc w:val="center"/>
              <w:rPr>
                <w:rFonts w:ascii="宋体" w:hAnsi="宋体"/>
                <w:color w:val="auto"/>
                <w:sz w:val="24"/>
              </w:rPr>
            </w:pPr>
            <w:r>
              <w:rPr>
                <w:rFonts w:hint="eastAsia" w:ascii="宋体" w:hAnsi="宋体"/>
                <w:color w:val="auto"/>
                <w:sz w:val="24"/>
              </w:rPr>
              <w:t>姓名</w:t>
            </w:r>
          </w:p>
        </w:tc>
        <w:tc>
          <w:tcPr>
            <w:tcW w:w="1416" w:type="pct"/>
            <w:vMerge w:val="restart"/>
            <w:vAlign w:val="center"/>
          </w:tcPr>
          <w:p w14:paraId="5BE7299C">
            <w:pPr>
              <w:spacing w:line="360" w:lineRule="auto"/>
              <w:jc w:val="center"/>
              <w:rPr>
                <w:rFonts w:hint="eastAsia" w:ascii="宋体" w:hAnsi="宋体" w:eastAsia="宋体"/>
                <w:color w:val="auto"/>
                <w:sz w:val="24"/>
                <w:lang w:eastAsia="zh-CN"/>
              </w:rPr>
            </w:pPr>
            <w:r>
              <w:rPr>
                <w:rFonts w:hint="eastAsia" w:ascii="宋体" w:hAnsi="宋体"/>
                <w:color w:val="auto"/>
                <w:sz w:val="24"/>
                <w:lang w:eastAsia="zh-CN"/>
              </w:rPr>
              <w:t>拟在本项目担任的职务</w:t>
            </w:r>
          </w:p>
        </w:tc>
        <w:tc>
          <w:tcPr>
            <w:tcW w:w="1080" w:type="pct"/>
            <w:vMerge w:val="restart"/>
            <w:vAlign w:val="center"/>
          </w:tcPr>
          <w:p w14:paraId="44DB4425">
            <w:pPr>
              <w:spacing w:line="360" w:lineRule="auto"/>
              <w:jc w:val="center"/>
              <w:rPr>
                <w:rFonts w:ascii="宋体" w:hAnsi="宋体"/>
                <w:color w:val="auto"/>
                <w:sz w:val="24"/>
              </w:rPr>
            </w:pPr>
            <w:r>
              <w:rPr>
                <w:rFonts w:hint="eastAsia" w:ascii="宋体" w:hAnsi="宋体"/>
                <w:color w:val="auto"/>
                <w:sz w:val="24"/>
              </w:rPr>
              <w:t>备注</w:t>
            </w:r>
          </w:p>
        </w:tc>
      </w:tr>
      <w:tr w14:paraId="1C0C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Merge w:val="continue"/>
            <w:vAlign w:val="center"/>
          </w:tcPr>
          <w:p w14:paraId="7198DCE6">
            <w:pPr>
              <w:spacing w:line="360" w:lineRule="auto"/>
              <w:jc w:val="center"/>
              <w:rPr>
                <w:rFonts w:ascii="宋体" w:hAnsi="宋体"/>
                <w:color w:val="auto"/>
                <w:sz w:val="24"/>
              </w:rPr>
            </w:pPr>
          </w:p>
        </w:tc>
        <w:tc>
          <w:tcPr>
            <w:tcW w:w="1251" w:type="pct"/>
            <w:vMerge w:val="continue"/>
            <w:vAlign w:val="center"/>
          </w:tcPr>
          <w:p w14:paraId="417FE132">
            <w:pPr>
              <w:spacing w:line="360" w:lineRule="auto"/>
              <w:jc w:val="center"/>
              <w:rPr>
                <w:rFonts w:ascii="宋体" w:hAnsi="宋体"/>
                <w:color w:val="auto"/>
                <w:sz w:val="24"/>
              </w:rPr>
            </w:pPr>
          </w:p>
        </w:tc>
        <w:tc>
          <w:tcPr>
            <w:tcW w:w="1416" w:type="pct"/>
            <w:vMerge w:val="continue"/>
            <w:vAlign w:val="center"/>
          </w:tcPr>
          <w:p w14:paraId="6BA38AD2">
            <w:pPr>
              <w:spacing w:line="360" w:lineRule="auto"/>
              <w:jc w:val="center"/>
              <w:rPr>
                <w:rFonts w:ascii="宋体" w:hAnsi="宋体"/>
                <w:color w:val="auto"/>
                <w:sz w:val="24"/>
              </w:rPr>
            </w:pPr>
          </w:p>
        </w:tc>
        <w:tc>
          <w:tcPr>
            <w:tcW w:w="1080" w:type="pct"/>
            <w:vMerge w:val="continue"/>
            <w:vAlign w:val="center"/>
          </w:tcPr>
          <w:p w14:paraId="3D550076">
            <w:pPr>
              <w:spacing w:line="360" w:lineRule="auto"/>
              <w:jc w:val="center"/>
              <w:rPr>
                <w:rFonts w:ascii="宋体" w:hAnsi="宋体"/>
                <w:color w:val="auto"/>
                <w:sz w:val="24"/>
              </w:rPr>
            </w:pPr>
          </w:p>
        </w:tc>
      </w:tr>
      <w:tr w14:paraId="2CE6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2AF5650E">
            <w:pPr>
              <w:spacing w:line="360" w:lineRule="auto"/>
              <w:jc w:val="center"/>
              <w:rPr>
                <w:rFonts w:ascii="宋体" w:hAnsi="宋体"/>
                <w:color w:val="auto"/>
                <w:sz w:val="24"/>
              </w:rPr>
            </w:pPr>
          </w:p>
        </w:tc>
        <w:tc>
          <w:tcPr>
            <w:tcW w:w="1251" w:type="pct"/>
            <w:vAlign w:val="center"/>
          </w:tcPr>
          <w:p w14:paraId="62D92C89">
            <w:pPr>
              <w:spacing w:line="360" w:lineRule="auto"/>
              <w:jc w:val="center"/>
              <w:rPr>
                <w:rFonts w:ascii="宋体" w:hAnsi="宋体"/>
                <w:color w:val="auto"/>
                <w:sz w:val="24"/>
              </w:rPr>
            </w:pPr>
          </w:p>
        </w:tc>
        <w:tc>
          <w:tcPr>
            <w:tcW w:w="1416" w:type="pct"/>
            <w:vAlign w:val="center"/>
          </w:tcPr>
          <w:p w14:paraId="435B2AC5">
            <w:pPr>
              <w:spacing w:line="360" w:lineRule="auto"/>
              <w:jc w:val="center"/>
              <w:rPr>
                <w:rFonts w:ascii="宋体" w:hAnsi="宋体"/>
                <w:color w:val="auto"/>
                <w:sz w:val="24"/>
              </w:rPr>
            </w:pPr>
          </w:p>
        </w:tc>
        <w:tc>
          <w:tcPr>
            <w:tcW w:w="1080" w:type="pct"/>
            <w:vAlign w:val="center"/>
          </w:tcPr>
          <w:p w14:paraId="6EA392CD">
            <w:pPr>
              <w:spacing w:line="360" w:lineRule="auto"/>
              <w:jc w:val="center"/>
              <w:rPr>
                <w:rFonts w:ascii="宋体" w:hAnsi="宋体"/>
                <w:color w:val="auto"/>
                <w:sz w:val="24"/>
              </w:rPr>
            </w:pPr>
          </w:p>
        </w:tc>
      </w:tr>
      <w:tr w14:paraId="72FB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5BF6E992">
            <w:pPr>
              <w:spacing w:line="360" w:lineRule="auto"/>
              <w:jc w:val="center"/>
              <w:rPr>
                <w:rFonts w:ascii="宋体" w:hAnsi="宋体"/>
                <w:color w:val="auto"/>
                <w:sz w:val="24"/>
              </w:rPr>
            </w:pPr>
          </w:p>
        </w:tc>
        <w:tc>
          <w:tcPr>
            <w:tcW w:w="1251" w:type="pct"/>
            <w:vAlign w:val="center"/>
          </w:tcPr>
          <w:p w14:paraId="7D1F70BC">
            <w:pPr>
              <w:spacing w:line="360" w:lineRule="auto"/>
              <w:jc w:val="center"/>
              <w:rPr>
                <w:rFonts w:ascii="宋体" w:hAnsi="宋体"/>
                <w:color w:val="auto"/>
                <w:sz w:val="24"/>
              </w:rPr>
            </w:pPr>
          </w:p>
        </w:tc>
        <w:tc>
          <w:tcPr>
            <w:tcW w:w="1416" w:type="pct"/>
            <w:vAlign w:val="center"/>
          </w:tcPr>
          <w:p w14:paraId="116E6535">
            <w:pPr>
              <w:spacing w:line="360" w:lineRule="auto"/>
              <w:jc w:val="center"/>
              <w:rPr>
                <w:rFonts w:ascii="宋体" w:hAnsi="宋体"/>
                <w:color w:val="auto"/>
                <w:sz w:val="24"/>
              </w:rPr>
            </w:pPr>
          </w:p>
        </w:tc>
        <w:tc>
          <w:tcPr>
            <w:tcW w:w="1080" w:type="pct"/>
            <w:vAlign w:val="center"/>
          </w:tcPr>
          <w:p w14:paraId="13890000">
            <w:pPr>
              <w:spacing w:line="360" w:lineRule="auto"/>
              <w:jc w:val="center"/>
              <w:rPr>
                <w:rFonts w:ascii="宋体" w:hAnsi="宋体"/>
                <w:color w:val="auto"/>
                <w:sz w:val="24"/>
              </w:rPr>
            </w:pPr>
          </w:p>
        </w:tc>
      </w:tr>
      <w:tr w14:paraId="7383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133D30EB">
            <w:pPr>
              <w:spacing w:line="360" w:lineRule="auto"/>
              <w:jc w:val="center"/>
              <w:rPr>
                <w:rFonts w:ascii="宋体" w:hAnsi="宋体"/>
                <w:color w:val="auto"/>
                <w:sz w:val="24"/>
              </w:rPr>
            </w:pPr>
          </w:p>
        </w:tc>
        <w:tc>
          <w:tcPr>
            <w:tcW w:w="1251" w:type="pct"/>
            <w:vAlign w:val="center"/>
          </w:tcPr>
          <w:p w14:paraId="65EF1A2F">
            <w:pPr>
              <w:spacing w:line="360" w:lineRule="auto"/>
              <w:jc w:val="center"/>
              <w:rPr>
                <w:rFonts w:ascii="宋体" w:hAnsi="宋体"/>
                <w:color w:val="auto"/>
                <w:sz w:val="24"/>
              </w:rPr>
            </w:pPr>
          </w:p>
        </w:tc>
        <w:tc>
          <w:tcPr>
            <w:tcW w:w="1416" w:type="pct"/>
            <w:vAlign w:val="center"/>
          </w:tcPr>
          <w:p w14:paraId="2B2C6A7F">
            <w:pPr>
              <w:spacing w:line="360" w:lineRule="auto"/>
              <w:jc w:val="center"/>
              <w:rPr>
                <w:rFonts w:ascii="宋体" w:hAnsi="宋体"/>
                <w:color w:val="auto"/>
                <w:sz w:val="24"/>
              </w:rPr>
            </w:pPr>
          </w:p>
        </w:tc>
        <w:tc>
          <w:tcPr>
            <w:tcW w:w="1080" w:type="pct"/>
            <w:vAlign w:val="center"/>
          </w:tcPr>
          <w:p w14:paraId="227A9061">
            <w:pPr>
              <w:spacing w:line="360" w:lineRule="auto"/>
              <w:jc w:val="center"/>
              <w:rPr>
                <w:rFonts w:ascii="宋体" w:hAnsi="宋体"/>
                <w:color w:val="auto"/>
                <w:sz w:val="24"/>
              </w:rPr>
            </w:pPr>
          </w:p>
        </w:tc>
      </w:tr>
      <w:tr w14:paraId="537D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16B57B7E">
            <w:pPr>
              <w:spacing w:line="360" w:lineRule="auto"/>
              <w:jc w:val="center"/>
              <w:rPr>
                <w:rFonts w:ascii="宋体" w:hAnsi="宋体"/>
                <w:color w:val="auto"/>
                <w:sz w:val="24"/>
              </w:rPr>
            </w:pPr>
          </w:p>
        </w:tc>
        <w:tc>
          <w:tcPr>
            <w:tcW w:w="1251" w:type="pct"/>
            <w:vAlign w:val="center"/>
          </w:tcPr>
          <w:p w14:paraId="5BD3A779">
            <w:pPr>
              <w:spacing w:line="360" w:lineRule="auto"/>
              <w:jc w:val="center"/>
              <w:rPr>
                <w:rFonts w:ascii="宋体" w:hAnsi="宋体"/>
                <w:color w:val="auto"/>
                <w:sz w:val="24"/>
              </w:rPr>
            </w:pPr>
          </w:p>
        </w:tc>
        <w:tc>
          <w:tcPr>
            <w:tcW w:w="1416" w:type="pct"/>
            <w:vAlign w:val="center"/>
          </w:tcPr>
          <w:p w14:paraId="6FA9AF72">
            <w:pPr>
              <w:spacing w:line="360" w:lineRule="auto"/>
              <w:jc w:val="center"/>
              <w:rPr>
                <w:rFonts w:ascii="宋体" w:hAnsi="宋体"/>
                <w:color w:val="auto"/>
                <w:sz w:val="24"/>
              </w:rPr>
            </w:pPr>
          </w:p>
        </w:tc>
        <w:tc>
          <w:tcPr>
            <w:tcW w:w="1080" w:type="pct"/>
            <w:vAlign w:val="center"/>
          </w:tcPr>
          <w:p w14:paraId="65D14B31">
            <w:pPr>
              <w:spacing w:line="360" w:lineRule="auto"/>
              <w:jc w:val="center"/>
              <w:rPr>
                <w:rFonts w:ascii="宋体" w:hAnsi="宋体"/>
                <w:color w:val="auto"/>
                <w:sz w:val="24"/>
              </w:rPr>
            </w:pPr>
          </w:p>
        </w:tc>
      </w:tr>
      <w:tr w14:paraId="564D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0809040D">
            <w:pPr>
              <w:spacing w:line="360" w:lineRule="auto"/>
              <w:jc w:val="center"/>
              <w:rPr>
                <w:rFonts w:ascii="宋体" w:hAnsi="宋体"/>
                <w:color w:val="auto"/>
                <w:sz w:val="24"/>
              </w:rPr>
            </w:pPr>
          </w:p>
        </w:tc>
        <w:tc>
          <w:tcPr>
            <w:tcW w:w="1251" w:type="pct"/>
            <w:vAlign w:val="center"/>
          </w:tcPr>
          <w:p w14:paraId="59792653">
            <w:pPr>
              <w:spacing w:line="360" w:lineRule="auto"/>
              <w:jc w:val="center"/>
              <w:rPr>
                <w:rFonts w:ascii="宋体" w:hAnsi="宋体"/>
                <w:color w:val="auto"/>
                <w:sz w:val="24"/>
              </w:rPr>
            </w:pPr>
          </w:p>
        </w:tc>
        <w:tc>
          <w:tcPr>
            <w:tcW w:w="1416" w:type="pct"/>
            <w:vAlign w:val="center"/>
          </w:tcPr>
          <w:p w14:paraId="1C5E4E2A">
            <w:pPr>
              <w:spacing w:line="360" w:lineRule="auto"/>
              <w:jc w:val="center"/>
              <w:rPr>
                <w:rFonts w:ascii="宋体" w:hAnsi="宋体"/>
                <w:color w:val="auto"/>
                <w:sz w:val="24"/>
              </w:rPr>
            </w:pPr>
          </w:p>
        </w:tc>
        <w:tc>
          <w:tcPr>
            <w:tcW w:w="1080" w:type="pct"/>
            <w:vAlign w:val="center"/>
          </w:tcPr>
          <w:p w14:paraId="1CD9EF84">
            <w:pPr>
              <w:spacing w:line="360" w:lineRule="auto"/>
              <w:jc w:val="center"/>
              <w:rPr>
                <w:rFonts w:ascii="宋体" w:hAnsi="宋体"/>
                <w:color w:val="auto"/>
                <w:sz w:val="24"/>
              </w:rPr>
            </w:pPr>
          </w:p>
        </w:tc>
      </w:tr>
      <w:tr w14:paraId="6FF5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4AB2CC20">
            <w:pPr>
              <w:spacing w:line="360" w:lineRule="auto"/>
              <w:jc w:val="center"/>
              <w:rPr>
                <w:rFonts w:ascii="宋体" w:hAnsi="宋体"/>
                <w:color w:val="auto"/>
                <w:sz w:val="24"/>
              </w:rPr>
            </w:pPr>
          </w:p>
        </w:tc>
        <w:tc>
          <w:tcPr>
            <w:tcW w:w="1251" w:type="pct"/>
            <w:vAlign w:val="center"/>
          </w:tcPr>
          <w:p w14:paraId="05A44039">
            <w:pPr>
              <w:spacing w:line="360" w:lineRule="auto"/>
              <w:jc w:val="center"/>
              <w:rPr>
                <w:rFonts w:ascii="宋体" w:hAnsi="宋体"/>
                <w:color w:val="auto"/>
                <w:sz w:val="24"/>
              </w:rPr>
            </w:pPr>
          </w:p>
        </w:tc>
        <w:tc>
          <w:tcPr>
            <w:tcW w:w="1416" w:type="pct"/>
            <w:vAlign w:val="center"/>
          </w:tcPr>
          <w:p w14:paraId="2A78F551">
            <w:pPr>
              <w:spacing w:line="360" w:lineRule="auto"/>
              <w:jc w:val="center"/>
              <w:rPr>
                <w:rFonts w:ascii="宋体" w:hAnsi="宋体"/>
                <w:color w:val="auto"/>
                <w:sz w:val="24"/>
              </w:rPr>
            </w:pPr>
          </w:p>
        </w:tc>
        <w:tc>
          <w:tcPr>
            <w:tcW w:w="1080" w:type="pct"/>
            <w:vAlign w:val="center"/>
          </w:tcPr>
          <w:p w14:paraId="69011840">
            <w:pPr>
              <w:spacing w:line="360" w:lineRule="auto"/>
              <w:jc w:val="center"/>
              <w:rPr>
                <w:rFonts w:ascii="宋体" w:hAnsi="宋体"/>
                <w:color w:val="auto"/>
                <w:sz w:val="24"/>
              </w:rPr>
            </w:pPr>
          </w:p>
        </w:tc>
      </w:tr>
      <w:tr w14:paraId="4DAF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2CB2BB17">
            <w:pPr>
              <w:spacing w:line="360" w:lineRule="auto"/>
              <w:jc w:val="center"/>
              <w:rPr>
                <w:rFonts w:ascii="宋体" w:hAnsi="宋体"/>
                <w:color w:val="auto"/>
                <w:sz w:val="24"/>
              </w:rPr>
            </w:pPr>
          </w:p>
        </w:tc>
        <w:tc>
          <w:tcPr>
            <w:tcW w:w="1251" w:type="pct"/>
            <w:vAlign w:val="center"/>
          </w:tcPr>
          <w:p w14:paraId="2F9BE8C5">
            <w:pPr>
              <w:spacing w:line="360" w:lineRule="auto"/>
              <w:jc w:val="center"/>
              <w:rPr>
                <w:rFonts w:ascii="宋体" w:hAnsi="宋体"/>
                <w:color w:val="auto"/>
                <w:sz w:val="24"/>
              </w:rPr>
            </w:pPr>
          </w:p>
        </w:tc>
        <w:tc>
          <w:tcPr>
            <w:tcW w:w="1416" w:type="pct"/>
            <w:vAlign w:val="center"/>
          </w:tcPr>
          <w:p w14:paraId="5C7843E5">
            <w:pPr>
              <w:spacing w:line="360" w:lineRule="auto"/>
              <w:jc w:val="center"/>
              <w:rPr>
                <w:rFonts w:ascii="宋体" w:hAnsi="宋体"/>
                <w:color w:val="auto"/>
                <w:sz w:val="24"/>
              </w:rPr>
            </w:pPr>
          </w:p>
        </w:tc>
        <w:tc>
          <w:tcPr>
            <w:tcW w:w="1080" w:type="pct"/>
            <w:vAlign w:val="center"/>
          </w:tcPr>
          <w:p w14:paraId="265D253D">
            <w:pPr>
              <w:spacing w:line="360" w:lineRule="auto"/>
              <w:jc w:val="center"/>
              <w:rPr>
                <w:rFonts w:ascii="宋体" w:hAnsi="宋体"/>
                <w:color w:val="auto"/>
                <w:sz w:val="24"/>
              </w:rPr>
            </w:pPr>
          </w:p>
        </w:tc>
      </w:tr>
      <w:tr w14:paraId="318F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5E9408AE">
            <w:pPr>
              <w:spacing w:line="360" w:lineRule="auto"/>
              <w:jc w:val="center"/>
              <w:rPr>
                <w:rFonts w:ascii="宋体" w:hAnsi="宋体"/>
                <w:color w:val="auto"/>
                <w:sz w:val="24"/>
              </w:rPr>
            </w:pPr>
          </w:p>
        </w:tc>
        <w:tc>
          <w:tcPr>
            <w:tcW w:w="1251" w:type="pct"/>
            <w:vAlign w:val="center"/>
          </w:tcPr>
          <w:p w14:paraId="097E565D">
            <w:pPr>
              <w:spacing w:line="360" w:lineRule="auto"/>
              <w:jc w:val="center"/>
              <w:rPr>
                <w:rFonts w:ascii="宋体" w:hAnsi="宋体"/>
                <w:color w:val="auto"/>
                <w:sz w:val="24"/>
              </w:rPr>
            </w:pPr>
          </w:p>
        </w:tc>
        <w:tc>
          <w:tcPr>
            <w:tcW w:w="1416" w:type="pct"/>
            <w:vAlign w:val="center"/>
          </w:tcPr>
          <w:p w14:paraId="38F9EE50">
            <w:pPr>
              <w:spacing w:line="360" w:lineRule="auto"/>
              <w:jc w:val="center"/>
              <w:rPr>
                <w:rFonts w:ascii="宋体" w:hAnsi="宋体"/>
                <w:color w:val="auto"/>
                <w:sz w:val="24"/>
              </w:rPr>
            </w:pPr>
          </w:p>
        </w:tc>
        <w:tc>
          <w:tcPr>
            <w:tcW w:w="1080" w:type="pct"/>
            <w:vAlign w:val="center"/>
          </w:tcPr>
          <w:p w14:paraId="1AF76954">
            <w:pPr>
              <w:spacing w:line="360" w:lineRule="auto"/>
              <w:jc w:val="center"/>
              <w:rPr>
                <w:rFonts w:ascii="宋体" w:hAnsi="宋体"/>
                <w:color w:val="auto"/>
                <w:sz w:val="24"/>
              </w:rPr>
            </w:pPr>
          </w:p>
        </w:tc>
      </w:tr>
      <w:tr w14:paraId="45F7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46F7FEFD">
            <w:pPr>
              <w:spacing w:line="360" w:lineRule="auto"/>
              <w:jc w:val="center"/>
              <w:rPr>
                <w:rFonts w:ascii="宋体" w:hAnsi="宋体"/>
                <w:color w:val="auto"/>
                <w:sz w:val="24"/>
              </w:rPr>
            </w:pPr>
          </w:p>
        </w:tc>
        <w:tc>
          <w:tcPr>
            <w:tcW w:w="1251" w:type="pct"/>
            <w:vAlign w:val="center"/>
          </w:tcPr>
          <w:p w14:paraId="44DF88C0">
            <w:pPr>
              <w:spacing w:line="360" w:lineRule="auto"/>
              <w:jc w:val="center"/>
              <w:rPr>
                <w:rFonts w:ascii="宋体" w:hAnsi="宋体"/>
                <w:color w:val="auto"/>
                <w:sz w:val="24"/>
              </w:rPr>
            </w:pPr>
          </w:p>
        </w:tc>
        <w:tc>
          <w:tcPr>
            <w:tcW w:w="1416" w:type="pct"/>
            <w:vAlign w:val="center"/>
          </w:tcPr>
          <w:p w14:paraId="16543D80">
            <w:pPr>
              <w:spacing w:line="360" w:lineRule="auto"/>
              <w:jc w:val="center"/>
              <w:rPr>
                <w:rFonts w:ascii="宋体" w:hAnsi="宋体"/>
                <w:color w:val="auto"/>
                <w:sz w:val="24"/>
              </w:rPr>
            </w:pPr>
          </w:p>
        </w:tc>
        <w:tc>
          <w:tcPr>
            <w:tcW w:w="1080" w:type="pct"/>
            <w:vAlign w:val="center"/>
          </w:tcPr>
          <w:p w14:paraId="629E3874">
            <w:pPr>
              <w:spacing w:line="360" w:lineRule="auto"/>
              <w:jc w:val="center"/>
              <w:rPr>
                <w:rFonts w:ascii="宋体" w:hAnsi="宋体"/>
                <w:color w:val="auto"/>
                <w:sz w:val="24"/>
              </w:rPr>
            </w:pPr>
          </w:p>
        </w:tc>
      </w:tr>
      <w:tr w14:paraId="2F6B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50C2D436">
            <w:pPr>
              <w:spacing w:line="360" w:lineRule="auto"/>
              <w:jc w:val="center"/>
              <w:rPr>
                <w:rFonts w:ascii="宋体" w:hAnsi="宋体"/>
                <w:color w:val="auto"/>
                <w:sz w:val="24"/>
              </w:rPr>
            </w:pPr>
          </w:p>
        </w:tc>
        <w:tc>
          <w:tcPr>
            <w:tcW w:w="1251" w:type="pct"/>
            <w:vAlign w:val="center"/>
          </w:tcPr>
          <w:p w14:paraId="4BBE7EE5">
            <w:pPr>
              <w:spacing w:line="360" w:lineRule="auto"/>
              <w:jc w:val="center"/>
              <w:rPr>
                <w:rFonts w:ascii="宋体" w:hAnsi="宋体"/>
                <w:color w:val="auto"/>
                <w:sz w:val="24"/>
              </w:rPr>
            </w:pPr>
          </w:p>
        </w:tc>
        <w:tc>
          <w:tcPr>
            <w:tcW w:w="1416" w:type="pct"/>
            <w:vAlign w:val="center"/>
          </w:tcPr>
          <w:p w14:paraId="083E238E">
            <w:pPr>
              <w:spacing w:line="360" w:lineRule="auto"/>
              <w:jc w:val="center"/>
              <w:rPr>
                <w:rFonts w:ascii="宋体" w:hAnsi="宋体"/>
                <w:color w:val="auto"/>
                <w:sz w:val="24"/>
              </w:rPr>
            </w:pPr>
          </w:p>
        </w:tc>
        <w:tc>
          <w:tcPr>
            <w:tcW w:w="1080" w:type="pct"/>
            <w:vAlign w:val="center"/>
          </w:tcPr>
          <w:p w14:paraId="4EF76ED9">
            <w:pPr>
              <w:spacing w:line="360" w:lineRule="auto"/>
              <w:jc w:val="center"/>
              <w:rPr>
                <w:rFonts w:ascii="宋体" w:hAnsi="宋体"/>
                <w:color w:val="auto"/>
                <w:sz w:val="24"/>
              </w:rPr>
            </w:pPr>
          </w:p>
        </w:tc>
      </w:tr>
      <w:tr w14:paraId="40B6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376D7E5B">
            <w:pPr>
              <w:spacing w:line="360" w:lineRule="auto"/>
              <w:jc w:val="center"/>
              <w:rPr>
                <w:rFonts w:ascii="宋体" w:hAnsi="宋体"/>
                <w:color w:val="auto"/>
                <w:sz w:val="24"/>
              </w:rPr>
            </w:pPr>
          </w:p>
        </w:tc>
        <w:tc>
          <w:tcPr>
            <w:tcW w:w="1251" w:type="pct"/>
            <w:vAlign w:val="center"/>
          </w:tcPr>
          <w:p w14:paraId="25B3BA5D">
            <w:pPr>
              <w:spacing w:line="360" w:lineRule="auto"/>
              <w:jc w:val="center"/>
              <w:rPr>
                <w:rFonts w:ascii="宋体" w:hAnsi="宋体"/>
                <w:color w:val="auto"/>
                <w:sz w:val="24"/>
              </w:rPr>
            </w:pPr>
          </w:p>
        </w:tc>
        <w:tc>
          <w:tcPr>
            <w:tcW w:w="1416" w:type="pct"/>
            <w:vAlign w:val="center"/>
          </w:tcPr>
          <w:p w14:paraId="5DF70354">
            <w:pPr>
              <w:spacing w:line="360" w:lineRule="auto"/>
              <w:jc w:val="center"/>
              <w:rPr>
                <w:rFonts w:ascii="宋体" w:hAnsi="宋体"/>
                <w:color w:val="auto"/>
                <w:sz w:val="24"/>
              </w:rPr>
            </w:pPr>
          </w:p>
        </w:tc>
        <w:tc>
          <w:tcPr>
            <w:tcW w:w="1080" w:type="pct"/>
            <w:vAlign w:val="center"/>
          </w:tcPr>
          <w:p w14:paraId="4BFB2433">
            <w:pPr>
              <w:spacing w:line="360" w:lineRule="auto"/>
              <w:jc w:val="center"/>
              <w:rPr>
                <w:rFonts w:ascii="宋体" w:hAnsi="宋体"/>
                <w:color w:val="auto"/>
                <w:sz w:val="24"/>
              </w:rPr>
            </w:pPr>
          </w:p>
        </w:tc>
      </w:tr>
      <w:tr w14:paraId="1A4E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61A5FF51">
            <w:pPr>
              <w:spacing w:line="360" w:lineRule="auto"/>
              <w:jc w:val="center"/>
              <w:rPr>
                <w:rFonts w:ascii="宋体" w:hAnsi="宋体"/>
                <w:color w:val="auto"/>
                <w:sz w:val="24"/>
              </w:rPr>
            </w:pPr>
          </w:p>
        </w:tc>
        <w:tc>
          <w:tcPr>
            <w:tcW w:w="1251" w:type="pct"/>
            <w:vAlign w:val="center"/>
          </w:tcPr>
          <w:p w14:paraId="14BF34A9">
            <w:pPr>
              <w:spacing w:line="360" w:lineRule="auto"/>
              <w:jc w:val="center"/>
              <w:rPr>
                <w:rFonts w:ascii="宋体" w:hAnsi="宋体"/>
                <w:color w:val="auto"/>
                <w:sz w:val="24"/>
              </w:rPr>
            </w:pPr>
          </w:p>
        </w:tc>
        <w:tc>
          <w:tcPr>
            <w:tcW w:w="1416" w:type="pct"/>
            <w:vAlign w:val="center"/>
          </w:tcPr>
          <w:p w14:paraId="364DA1EC">
            <w:pPr>
              <w:spacing w:line="360" w:lineRule="auto"/>
              <w:jc w:val="center"/>
              <w:rPr>
                <w:rFonts w:ascii="宋体" w:hAnsi="宋体"/>
                <w:color w:val="auto"/>
                <w:sz w:val="24"/>
              </w:rPr>
            </w:pPr>
          </w:p>
        </w:tc>
        <w:tc>
          <w:tcPr>
            <w:tcW w:w="1080" w:type="pct"/>
            <w:vAlign w:val="center"/>
          </w:tcPr>
          <w:p w14:paraId="0F88212D">
            <w:pPr>
              <w:spacing w:line="360" w:lineRule="auto"/>
              <w:jc w:val="center"/>
              <w:rPr>
                <w:rFonts w:ascii="宋体" w:hAnsi="宋体"/>
                <w:color w:val="auto"/>
                <w:sz w:val="24"/>
              </w:rPr>
            </w:pPr>
          </w:p>
        </w:tc>
      </w:tr>
      <w:tr w14:paraId="049E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134DE233">
            <w:pPr>
              <w:spacing w:line="360" w:lineRule="auto"/>
              <w:jc w:val="center"/>
              <w:rPr>
                <w:rFonts w:ascii="宋体" w:hAnsi="宋体"/>
                <w:color w:val="auto"/>
                <w:sz w:val="24"/>
              </w:rPr>
            </w:pPr>
          </w:p>
        </w:tc>
        <w:tc>
          <w:tcPr>
            <w:tcW w:w="1251" w:type="pct"/>
            <w:vAlign w:val="center"/>
          </w:tcPr>
          <w:p w14:paraId="0EDBE750">
            <w:pPr>
              <w:spacing w:line="360" w:lineRule="auto"/>
              <w:jc w:val="center"/>
              <w:rPr>
                <w:rFonts w:ascii="宋体" w:hAnsi="宋体"/>
                <w:color w:val="auto"/>
                <w:sz w:val="24"/>
              </w:rPr>
            </w:pPr>
          </w:p>
        </w:tc>
        <w:tc>
          <w:tcPr>
            <w:tcW w:w="1416" w:type="pct"/>
            <w:vAlign w:val="center"/>
          </w:tcPr>
          <w:p w14:paraId="7CD8517E">
            <w:pPr>
              <w:spacing w:line="360" w:lineRule="auto"/>
              <w:jc w:val="center"/>
              <w:rPr>
                <w:rFonts w:ascii="宋体" w:hAnsi="宋体"/>
                <w:color w:val="auto"/>
                <w:sz w:val="24"/>
              </w:rPr>
            </w:pPr>
          </w:p>
        </w:tc>
        <w:tc>
          <w:tcPr>
            <w:tcW w:w="1080" w:type="pct"/>
            <w:vAlign w:val="center"/>
          </w:tcPr>
          <w:p w14:paraId="0131F746">
            <w:pPr>
              <w:spacing w:line="360" w:lineRule="auto"/>
              <w:jc w:val="center"/>
              <w:rPr>
                <w:rFonts w:ascii="宋体" w:hAnsi="宋体"/>
                <w:color w:val="auto"/>
                <w:sz w:val="24"/>
              </w:rPr>
            </w:pPr>
          </w:p>
        </w:tc>
      </w:tr>
    </w:tbl>
    <w:p w14:paraId="1E2DB7E6">
      <w:pPr>
        <w:spacing w:line="360" w:lineRule="auto"/>
        <w:rPr>
          <w:rFonts w:hint="eastAsia" w:ascii="宋体" w:hAnsi="宋体" w:eastAsia="宋体"/>
          <w:color w:val="auto"/>
          <w:sz w:val="24"/>
          <w:lang w:val="en-US" w:eastAsia="zh-CN"/>
        </w:rPr>
      </w:pPr>
      <w:r>
        <w:rPr>
          <w:rFonts w:hint="eastAsia" w:ascii="宋体" w:hAnsi="宋体"/>
          <w:color w:val="auto"/>
          <w:sz w:val="24"/>
          <w:lang w:eastAsia="zh-CN"/>
        </w:rPr>
        <w:t>注：本表格后附（</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项目经理建造师注册证书、安全生产考核合格证书（B证）</w:t>
      </w: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color w:val="auto"/>
          <w:sz w:val="24"/>
        </w:rPr>
        <w:t>项目管理班子</w:t>
      </w:r>
      <w:r>
        <w:rPr>
          <w:rFonts w:hint="eastAsia" w:ascii="宋体" w:hAnsi="宋体"/>
          <w:color w:val="auto"/>
          <w:sz w:val="24"/>
          <w:lang w:eastAsia="zh-CN"/>
        </w:rPr>
        <w:t>成员岗位证书（如有）</w:t>
      </w:r>
      <w:r>
        <w:rPr>
          <w:rFonts w:hint="eastAsia" w:ascii="宋体" w:hAnsi="宋体"/>
          <w:color w:val="auto"/>
          <w:sz w:val="24"/>
          <w:lang w:val="en-US" w:eastAsia="zh-CN"/>
        </w:rPr>
        <w:t>。</w:t>
      </w:r>
    </w:p>
    <w:p w14:paraId="2E6807D3">
      <w:pPr>
        <w:spacing w:before="286" w:beforeLines="100" w:after="286" w:afterLines="100" w:line="360" w:lineRule="auto"/>
        <w:jc w:val="left"/>
        <w:rPr>
          <w:rFonts w:hint="eastAsia" w:ascii="宋体" w:hAnsi="宋体"/>
          <w:color w:val="auto"/>
          <w:sz w:val="24"/>
          <w:lang w:eastAsia="zh-CN"/>
        </w:rPr>
      </w:pPr>
    </w:p>
    <w:p w14:paraId="1CA9F213">
      <w:pPr>
        <w:spacing w:before="286" w:beforeLines="100" w:after="286" w:afterLines="100" w:line="360" w:lineRule="auto"/>
        <w:jc w:val="left"/>
        <w:rPr>
          <w:rFonts w:hint="eastAsia" w:ascii="宋体" w:hAnsi="宋体"/>
          <w:color w:val="auto"/>
          <w:sz w:val="24"/>
          <w:lang w:eastAsia="zh-CN"/>
        </w:rPr>
      </w:pPr>
    </w:p>
    <w:p w14:paraId="42E06589">
      <w:pPr>
        <w:spacing w:before="286" w:beforeLines="100" w:after="286" w:afterLines="100" w:line="360" w:lineRule="auto"/>
        <w:jc w:val="left"/>
        <w:rPr>
          <w:rFonts w:hint="eastAsia" w:ascii="宋体" w:hAnsi="宋体"/>
          <w:color w:val="auto"/>
          <w:sz w:val="24"/>
          <w:lang w:eastAsia="zh-CN"/>
        </w:rPr>
      </w:pPr>
    </w:p>
    <w:p w14:paraId="055FE3D8">
      <w:pPr>
        <w:spacing w:before="286" w:beforeLines="100" w:after="286" w:afterLines="100" w:line="360" w:lineRule="auto"/>
        <w:jc w:val="left"/>
        <w:rPr>
          <w:rFonts w:ascii="宋体" w:hAnsi="宋体"/>
          <w:color w:val="auto"/>
          <w:sz w:val="24"/>
        </w:rPr>
      </w:pPr>
      <w:r>
        <w:rPr>
          <w:rFonts w:hint="eastAsia" w:ascii="宋体" w:hAnsi="宋体"/>
          <w:color w:val="auto"/>
          <w:sz w:val="24"/>
          <w:lang w:eastAsia="zh-CN"/>
        </w:rPr>
        <w:t>（二）</w:t>
      </w:r>
      <w:r>
        <w:rPr>
          <w:rFonts w:hint="eastAsia" w:ascii="宋体" w:hAnsi="宋体"/>
          <w:color w:val="auto"/>
          <w:sz w:val="24"/>
        </w:rPr>
        <w:t>：承诺书</w:t>
      </w:r>
    </w:p>
    <w:p w14:paraId="3B2BD9D9">
      <w:pPr>
        <w:spacing w:before="286" w:beforeLines="100" w:after="286" w:afterLines="100" w:line="360" w:lineRule="auto"/>
        <w:jc w:val="center"/>
        <w:rPr>
          <w:rFonts w:ascii="宋体" w:hAnsi="宋体"/>
          <w:color w:val="auto"/>
          <w:sz w:val="24"/>
        </w:rPr>
      </w:pPr>
      <w:r>
        <w:rPr>
          <w:rFonts w:hint="eastAsia" w:ascii="宋体" w:hAnsi="宋体"/>
          <w:color w:val="auto"/>
          <w:sz w:val="24"/>
        </w:rPr>
        <w:t>承诺书</w:t>
      </w:r>
    </w:p>
    <w:p w14:paraId="09D78279">
      <w:pPr>
        <w:spacing w:after="286" w:afterLines="100" w:line="360" w:lineRule="auto"/>
        <w:ind w:firstLine="480" w:firstLineChars="200"/>
        <w:rPr>
          <w:rFonts w:ascii="宋体" w:hAnsi="宋体"/>
          <w:color w:val="auto"/>
          <w:sz w:val="24"/>
        </w:rPr>
      </w:pPr>
      <w:r>
        <w:rPr>
          <w:rFonts w:hint="eastAsia" w:ascii="宋体" w:hAnsi="宋体"/>
          <w:color w:val="auto"/>
          <w:sz w:val="24"/>
          <w:u w:val="single"/>
        </w:rPr>
        <w:t xml:space="preserve">（采购人名称）    </w:t>
      </w:r>
      <w:r>
        <w:rPr>
          <w:rFonts w:hint="eastAsia" w:ascii="宋体" w:hAnsi="宋体"/>
          <w:color w:val="auto"/>
          <w:sz w:val="24"/>
        </w:rPr>
        <w:t>：</w:t>
      </w:r>
    </w:p>
    <w:p w14:paraId="43726F32">
      <w:pPr>
        <w:spacing w:line="360" w:lineRule="auto"/>
        <w:ind w:firstLine="480" w:firstLineChars="200"/>
        <w:rPr>
          <w:rFonts w:ascii="宋体" w:hAnsi="宋体"/>
          <w:color w:val="auto"/>
          <w:sz w:val="24"/>
        </w:rPr>
      </w:pPr>
      <w:r>
        <w:rPr>
          <w:rFonts w:hint="eastAsia" w:ascii="宋体" w:hAnsi="宋体"/>
          <w:color w:val="auto"/>
          <w:sz w:val="24"/>
        </w:rPr>
        <w:t>我方在此声明，我方拟派往</w:t>
      </w:r>
      <w:r>
        <w:rPr>
          <w:rFonts w:hint="eastAsia" w:ascii="宋体" w:hAnsi="宋体"/>
          <w:color w:val="auto"/>
          <w:sz w:val="24"/>
          <w:u w:val="single"/>
        </w:rPr>
        <w:t xml:space="preserve">   （项目名称）</w:t>
      </w:r>
      <w:r>
        <w:rPr>
          <w:rFonts w:hint="eastAsia" w:ascii="宋体" w:hAnsi="宋体"/>
          <w:color w:val="auto"/>
          <w:sz w:val="24"/>
        </w:rPr>
        <w:t>（以下简称“本工程”）的项目经理</w:t>
      </w:r>
      <w:r>
        <w:rPr>
          <w:rFonts w:hint="eastAsia" w:ascii="宋体" w:hAnsi="宋体"/>
          <w:color w:val="auto"/>
          <w:sz w:val="24"/>
          <w:u w:val="single"/>
        </w:rPr>
        <w:t xml:space="preserve">     </w:t>
      </w:r>
      <w:r>
        <w:rPr>
          <w:rFonts w:hint="eastAsia" w:ascii="宋体" w:hAnsi="宋体"/>
          <w:color w:val="auto"/>
          <w:sz w:val="24"/>
        </w:rPr>
        <w:t>（项目经理姓名）现阶段没有担任任何在施建设工程项目的项目经理。</w:t>
      </w:r>
    </w:p>
    <w:p w14:paraId="5F9D4D69">
      <w:pPr>
        <w:spacing w:line="36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14:paraId="356ECB3F">
      <w:pPr>
        <w:spacing w:line="360" w:lineRule="auto"/>
        <w:ind w:firstLine="480" w:firstLineChars="200"/>
        <w:rPr>
          <w:rFonts w:ascii="宋体" w:hAnsi="宋体"/>
          <w:color w:val="auto"/>
          <w:sz w:val="24"/>
        </w:rPr>
      </w:pPr>
    </w:p>
    <w:p w14:paraId="4DB441AA">
      <w:pPr>
        <w:spacing w:line="360" w:lineRule="auto"/>
        <w:ind w:firstLine="480" w:firstLineChars="200"/>
        <w:rPr>
          <w:rFonts w:ascii="宋体" w:hAnsi="宋体"/>
          <w:color w:val="auto"/>
          <w:sz w:val="24"/>
        </w:rPr>
      </w:pPr>
    </w:p>
    <w:p w14:paraId="175B6607">
      <w:pPr>
        <w:spacing w:line="360" w:lineRule="auto"/>
        <w:ind w:firstLine="480" w:firstLineChars="200"/>
        <w:rPr>
          <w:rFonts w:ascii="宋体" w:hAnsi="宋体"/>
          <w:color w:val="auto"/>
          <w:sz w:val="24"/>
        </w:rPr>
      </w:pPr>
      <w:r>
        <w:rPr>
          <w:rFonts w:hint="eastAsia" w:ascii="宋体" w:hAnsi="宋体"/>
          <w:color w:val="auto"/>
          <w:sz w:val="24"/>
        </w:rPr>
        <w:t>特此承诺。</w:t>
      </w:r>
    </w:p>
    <w:p w14:paraId="11C97508">
      <w:pPr>
        <w:spacing w:line="360" w:lineRule="auto"/>
        <w:ind w:firstLine="480" w:firstLineChars="20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单位名称：</w:t>
      </w:r>
    </w:p>
    <w:p w14:paraId="1D6B8FDB">
      <w:pPr>
        <w:spacing w:line="360" w:lineRule="auto"/>
        <w:ind w:firstLine="480" w:firstLineChars="200"/>
        <w:jc w:val="right"/>
        <w:rPr>
          <w:rFonts w:ascii="宋体" w:hAns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 xml:space="preserve"> 日</w:t>
      </w:r>
    </w:p>
    <w:p w14:paraId="0A978955">
      <w:pPr>
        <w:pStyle w:val="3"/>
        <w:numPr>
          <w:ilvl w:val="0"/>
          <w:numId w:val="0"/>
        </w:numPr>
        <w:spacing w:line="360" w:lineRule="auto"/>
        <w:jc w:val="both"/>
        <w:outlineLvl w:val="9"/>
        <w:rPr>
          <w:rFonts w:hint="eastAsia" w:ascii="宋体" w:hAnsi="宋体"/>
          <w:b/>
          <w:color w:val="auto"/>
          <w:sz w:val="24"/>
          <w:szCs w:val="24"/>
          <w:lang w:eastAsia="zh-CN"/>
        </w:rPr>
      </w:pPr>
    </w:p>
    <w:p w14:paraId="698E7446">
      <w:pPr>
        <w:rPr>
          <w:rFonts w:hint="eastAsia" w:ascii="宋体" w:hAnsi="宋体"/>
          <w:b/>
          <w:color w:val="auto"/>
          <w:sz w:val="24"/>
          <w:szCs w:val="24"/>
          <w:lang w:eastAsia="zh-CN"/>
        </w:rPr>
      </w:pPr>
    </w:p>
    <w:p w14:paraId="16A71FA9">
      <w:pPr>
        <w:pStyle w:val="10"/>
        <w:rPr>
          <w:rFonts w:hint="eastAsia" w:ascii="宋体" w:hAnsi="宋体"/>
          <w:b/>
          <w:color w:val="auto"/>
          <w:sz w:val="24"/>
          <w:szCs w:val="24"/>
          <w:lang w:eastAsia="zh-CN"/>
        </w:rPr>
      </w:pPr>
    </w:p>
    <w:p w14:paraId="73F39AF8">
      <w:pPr>
        <w:rPr>
          <w:rFonts w:hint="eastAsia" w:ascii="宋体" w:hAnsi="宋体"/>
          <w:b/>
          <w:color w:val="auto"/>
          <w:sz w:val="24"/>
          <w:szCs w:val="24"/>
          <w:lang w:eastAsia="zh-CN"/>
        </w:rPr>
      </w:pPr>
    </w:p>
    <w:p w14:paraId="681D3220">
      <w:pPr>
        <w:pStyle w:val="10"/>
        <w:rPr>
          <w:rFonts w:hint="eastAsia" w:ascii="宋体" w:hAnsi="宋体"/>
          <w:b/>
          <w:color w:val="auto"/>
          <w:sz w:val="24"/>
          <w:szCs w:val="24"/>
          <w:lang w:eastAsia="zh-CN"/>
        </w:rPr>
      </w:pPr>
    </w:p>
    <w:p w14:paraId="0232BC2A">
      <w:pPr>
        <w:rPr>
          <w:rFonts w:hint="eastAsia" w:ascii="宋体" w:hAnsi="宋体"/>
          <w:b/>
          <w:color w:val="auto"/>
          <w:sz w:val="24"/>
          <w:szCs w:val="24"/>
          <w:lang w:eastAsia="zh-CN"/>
        </w:rPr>
      </w:pPr>
    </w:p>
    <w:p w14:paraId="2EB5D37E">
      <w:pPr>
        <w:pStyle w:val="10"/>
        <w:rPr>
          <w:rFonts w:hint="eastAsia" w:ascii="宋体" w:hAnsi="宋体"/>
          <w:b/>
          <w:color w:val="auto"/>
          <w:sz w:val="24"/>
          <w:szCs w:val="24"/>
          <w:lang w:eastAsia="zh-CN"/>
        </w:rPr>
      </w:pPr>
    </w:p>
    <w:p w14:paraId="19F88C97">
      <w:pPr>
        <w:rPr>
          <w:rFonts w:hint="eastAsia" w:ascii="宋体" w:hAnsi="宋体"/>
          <w:b/>
          <w:color w:val="auto"/>
          <w:sz w:val="24"/>
          <w:szCs w:val="24"/>
          <w:lang w:eastAsia="zh-CN"/>
        </w:rPr>
      </w:pPr>
    </w:p>
    <w:p w14:paraId="417F77ED">
      <w:pPr>
        <w:pStyle w:val="10"/>
        <w:rPr>
          <w:rFonts w:hint="eastAsia"/>
          <w:color w:val="auto"/>
          <w:lang w:eastAsia="zh-CN"/>
        </w:rPr>
      </w:pPr>
    </w:p>
    <w:p w14:paraId="50BBB360">
      <w:pPr>
        <w:numPr>
          <w:ilvl w:val="0"/>
          <w:numId w:val="0"/>
        </w:numPr>
        <w:rPr>
          <w:rFonts w:hint="eastAsia"/>
          <w:color w:val="auto"/>
          <w:lang w:eastAsia="zh-CN"/>
        </w:rPr>
      </w:pPr>
    </w:p>
    <w:p w14:paraId="7FA55327">
      <w:pPr>
        <w:pStyle w:val="3"/>
        <w:spacing w:line="360" w:lineRule="auto"/>
        <w:jc w:val="center"/>
        <w:rPr>
          <w:rFonts w:ascii="宋体" w:hAnsi="宋体" w:eastAsia="宋体"/>
          <w:color w:val="auto"/>
          <w:sz w:val="24"/>
          <w:szCs w:val="24"/>
        </w:rPr>
      </w:pPr>
      <w:r>
        <w:rPr>
          <w:rFonts w:hint="eastAsia" w:ascii="宋体" w:hAnsi="宋体"/>
          <w:b/>
          <w:color w:val="auto"/>
          <w:sz w:val="24"/>
          <w:szCs w:val="24"/>
          <w:lang w:eastAsia="zh-CN"/>
        </w:rPr>
        <w:t>七、</w:t>
      </w:r>
      <w:r>
        <w:rPr>
          <w:rFonts w:hint="eastAsia" w:ascii="宋体" w:hAnsi="宋体" w:eastAsia="宋体"/>
          <w:color w:val="auto"/>
          <w:sz w:val="24"/>
          <w:szCs w:val="24"/>
        </w:rPr>
        <w:t>资格审查资料</w:t>
      </w:r>
      <w:bookmarkEnd w:id="159"/>
      <w:bookmarkEnd w:id="160"/>
      <w:bookmarkEnd w:id="161"/>
    </w:p>
    <w:p w14:paraId="6FA863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（一）营业执照</w:t>
      </w:r>
    </w:p>
    <w:p w14:paraId="36A68A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lang w:eastAsia="zh-CN"/>
        </w:rPr>
      </w:pPr>
      <w:r>
        <w:rPr>
          <w:rFonts w:hint="eastAsia"/>
          <w:color w:val="auto"/>
          <w:sz w:val="24"/>
          <w:szCs w:val="24"/>
          <w:lang w:eastAsia="zh-CN"/>
        </w:rPr>
        <w:t>附加盖公章的营业执照复印件或扫描件</w:t>
      </w:r>
    </w:p>
    <w:p w14:paraId="7A6C9DA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（二）资质证书</w:t>
      </w:r>
    </w:p>
    <w:p w14:paraId="607D6A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lang w:eastAsia="zh-CN"/>
        </w:rPr>
      </w:pPr>
      <w:r>
        <w:rPr>
          <w:rFonts w:hint="eastAsia"/>
          <w:color w:val="auto"/>
          <w:sz w:val="24"/>
          <w:szCs w:val="24"/>
          <w:lang w:eastAsia="zh-CN"/>
        </w:rPr>
        <w:t>附加盖公章的营业执照复印件或扫描件</w:t>
      </w:r>
    </w:p>
    <w:p w14:paraId="3F2465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4"/>
          <w:szCs w:val="24"/>
          <w:lang w:eastAsia="zh-CN"/>
        </w:rPr>
      </w:pPr>
    </w:p>
    <w:p w14:paraId="23B00B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（三）安全生产许可证</w:t>
      </w:r>
    </w:p>
    <w:p w14:paraId="3C8C24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lang w:eastAsia="zh-CN"/>
        </w:rPr>
      </w:pPr>
      <w:r>
        <w:rPr>
          <w:rFonts w:hint="eastAsia"/>
          <w:color w:val="auto"/>
          <w:sz w:val="24"/>
          <w:szCs w:val="24"/>
          <w:lang w:eastAsia="zh-CN"/>
        </w:rPr>
        <w:t>附加盖公章的营业执照复印件或扫描件</w:t>
      </w:r>
    </w:p>
    <w:p w14:paraId="292844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lang w:eastAsia="zh-CN"/>
        </w:rPr>
      </w:pPr>
    </w:p>
    <w:p w14:paraId="0D3529A2">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供应商缴纳税收和社会保障资金等证明告知承诺书</w:t>
      </w:r>
    </w:p>
    <w:p w14:paraId="4B7F7DC6">
      <w:pPr>
        <w:pStyle w:val="10"/>
        <w:numPr>
          <w:ilvl w:val="0"/>
          <w:numId w:val="0"/>
        </w:numPr>
        <w:rPr>
          <w:rFonts w:hint="eastAsia"/>
          <w:lang w:eastAsia="zh-CN"/>
        </w:rPr>
      </w:pPr>
    </w:p>
    <w:p w14:paraId="64832E2E">
      <w:pPr>
        <w:spacing w:line="360" w:lineRule="auto"/>
        <w:ind w:firstLine="480" w:firstLineChars="200"/>
        <w:rPr>
          <w:rFonts w:ascii="宋体" w:hAnsi="宋体" w:cs="宋体"/>
          <w:sz w:val="24"/>
          <w:lang w:val="zh-CN" w:bidi="zh-CN"/>
        </w:rPr>
      </w:pPr>
      <w:r>
        <w:rPr>
          <w:rFonts w:hint="eastAsia" w:ascii="宋体" w:hAnsi="宋体" w:cs="宋体"/>
          <w:sz w:val="24"/>
          <w:lang w:val="zh-CN" w:bidi="zh-CN"/>
        </w:rPr>
        <w:t>本公司（联合体）郑重承诺：</w:t>
      </w:r>
    </w:p>
    <w:p w14:paraId="0729261C">
      <w:pPr>
        <w:spacing w:line="360" w:lineRule="auto"/>
        <w:ind w:firstLine="480" w:firstLineChars="200"/>
        <w:rPr>
          <w:rFonts w:ascii="宋体" w:hAnsi="宋体" w:cs="宋体"/>
          <w:sz w:val="24"/>
          <w:lang w:val="zh-CN" w:bidi="zh-CN"/>
        </w:rPr>
      </w:pPr>
      <w:r>
        <w:rPr>
          <w:rFonts w:hint="eastAsia" w:ascii="宋体" w:hAnsi="宋体" w:cs="宋体"/>
          <w:sz w:val="24"/>
          <w:lang w:val="zh-CN" w:bidi="zh-CN"/>
        </w:rPr>
        <w:t>1.承诺具有良好的商业信誉和健全的财务会计制度；</w:t>
      </w:r>
    </w:p>
    <w:p w14:paraId="00B8B162">
      <w:pPr>
        <w:spacing w:line="360" w:lineRule="auto"/>
        <w:ind w:firstLine="480" w:firstLineChars="200"/>
        <w:rPr>
          <w:rFonts w:ascii="宋体" w:hAnsi="宋体" w:cs="宋体"/>
          <w:sz w:val="24"/>
          <w:lang w:val="zh-CN" w:bidi="zh-CN"/>
        </w:rPr>
      </w:pPr>
      <w:r>
        <w:rPr>
          <w:rFonts w:hint="eastAsia" w:ascii="宋体" w:hAnsi="宋体" w:cs="宋体"/>
          <w:sz w:val="24"/>
          <w:lang w:val="zh-CN" w:bidi="zh-CN"/>
        </w:rPr>
        <w:t>2.承诺依法缴纳税收和社会保障资金的良好记录；</w:t>
      </w:r>
    </w:p>
    <w:p w14:paraId="70BC6F94">
      <w:pPr>
        <w:spacing w:line="360" w:lineRule="auto"/>
        <w:ind w:firstLine="480" w:firstLineChars="200"/>
        <w:rPr>
          <w:rFonts w:ascii="宋体" w:hAnsi="宋体" w:cs="宋体"/>
          <w:sz w:val="24"/>
          <w:lang w:val="zh-CN" w:bidi="zh-CN"/>
        </w:rPr>
      </w:pPr>
      <w:r>
        <w:rPr>
          <w:rFonts w:hint="eastAsia" w:ascii="宋体" w:hAnsi="宋体" w:cs="宋体"/>
          <w:sz w:val="24"/>
          <w:lang w:val="zh-CN" w:bidi="zh-CN"/>
        </w:rPr>
        <w:t>3.承诺参加政府采购活动前三年内，在经营活动中没有重大违法记录。</w:t>
      </w:r>
    </w:p>
    <w:p w14:paraId="394C2B32">
      <w:pPr>
        <w:spacing w:line="360" w:lineRule="auto"/>
        <w:ind w:firstLine="480" w:firstLineChars="200"/>
        <w:rPr>
          <w:rFonts w:ascii="宋体" w:hAnsi="宋体" w:cs="宋体"/>
          <w:sz w:val="24"/>
          <w:lang w:val="zh-CN" w:bidi="zh-CN"/>
        </w:rPr>
      </w:pPr>
      <w:r>
        <w:rPr>
          <w:rFonts w:hint="eastAsia" w:ascii="宋体" w:hAnsi="宋体" w:cs="宋体"/>
          <w:sz w:val="24"/>
          <w:lang w:val="zh-CN" w:bidi="zh-CN"/>
        </w:rPr>
        <w:t>我公司对上述承诺内容的真实性负责，如虚假承诺，将依法承担相应法律责任。</w:t>
      </w:r>
    </w:p>
    <w:p w14:paraId="152C7C37">
      <w:pPr>
        <w:spacing w:line="360" w:lineRule="auto"/>
        <w:rPr>
          <w:rFonts w:ascii="宋体" w:hAnsi="宋体" w:cs="宋体"/>
          <w:sz w:val="24"/>
          <w:lang w:val="zh-CN" w:bidi="zh-CN"/>
        </w:rPr>
      </w:pPr>
    </w:p>
    <w:p w14:paraId="01C70517">
      <w:pPr>
        <w:spacing w:line="360" w:lineRule="auto"/>
        <w:rPr>
          <w:rFonts w:ascii="宋体" w:hAnsi="宋体" w:cs="宋体"/>
          <w:sz w:val="24"/>
          <w:lang w:val="zh-CN" w:bidi="zh-CN"/>
        </w:rPr>
      </w:pPr>
    </w:p>
    <w:p w14:paraId="4DFFA870">
      <w:pPr>
        <w:spacing w:line="360" w:lineRule="auto"/>
        <w:ind w:firstLine="5040" w:firstLineChars="2100"/>
        <w:rPr>
          <w:rFonts w:ascii="宋体" w:hAnsi="宋体" w:cs="宋体"/>
          <w:sz w:val="24"/>
          <w:lang w:val="zh-CN" w:bidi="zh-CN"/>
        </w:rPr>
      </w:pPr>
      <w:r>
        <w:rPr>
          <w:rFonts w:hint="eastAsia" w:ascii="宋体" w:hAnsi="宋体" w:cs="宋体"/>
          <w:sz w:val="24"/>
          <w:lang w:val="zh-CN" w:bidi="zh-CN"/>
        </w:rPr>
        <w:t>承诺单位（公章）：</w:t>
      </w:r>
    </w:p>
    <w:p w14:paraId="59AF8A1E">
      <w:pPr>
        <w:spacing w:line="360" w:lineRule="auto"/>
        <w:ind w:firstLine="120" w:firstLineChars="50"/>
        <w:rPr>
          <w:rFonts w:ascii="宋体" w:hAnsi="宋体" w:cs="宋体"/>
          <w:sz w:val="24"/>
          <w:lang w:val="zh-CN" w:bidi="zh-CN"/>
        </w:rPr>
      </w:pPr>
      <w:r>
        <w:rPr>
          <w:rFonts w:hint="eastAsia" w:ascii="宋体" w:hAnsi="宋体" w:cs="宋体"/>
          <w:sz w:val="24"/>
          <w:lang w:val="zh-CN" w:bidi="zh-CN"/>
        </w:rPr>
        <w:t>法定代表人（非</w:t>
      </w:r>
      <w:r>
        <w:rPr>
          <w:rFonts w:ascii="宋体" w:hAnsi="宋体" w:cs="宋体"/>
          <w:sz w:val="24"/>
          <w:lang w:val="zh-CN" w:bidi="zh-CN"/>
        </w:rPr>
        <w:t>法人组织的负责人</w:t>
      </w:r>
      <w:r>
        <w:rPr>
          <w:rFonts w:hint="eastAsia" w:ascii="宋体" w:hAnsi="宋体" w:cs="宋体"/>
          <w:sz w:val="24"/>
          <w:lang w:val="zh-CN" w:bidi="zh-CN"/>
        </w:rPr>
        <w:t>）或其授权代表（签字或盖章）：</w:t>
      </w:r>
    </w:p>
    <w:p w14:paraId="3A356E23">
      <w:pPr>
        <w:spacing w:line="360" w:lineRule="auto"/>
        <w:jc w:val="left"/>
        <w:rPr>
          <w:rFonts w:hint="eastAsia" w:ascii="宋体" w:hAnsi="宋体" w:cs="宋体"/>
          <w:sz w:val="24"/>
          <w:lang w:val="zh-CN" w:bidi="zh-CN"/>
        </w:rPr>
      </w:pPr>
      <w:r>
        <w:rPr>
          <w:rFonts w:hint="eastAsia" w:ascii="宋体" w:hAnsi="宋体" w:cs="宋体"/>
          <w:sz w:val="24"/>
          <w:lang w:val="zh-CN" w:bidi="zh-CN"/>
        </w:rPr>
        <w:t xml:space="preserve">  </w:t>
      </w:r>
      <w:r>
        <w:rPr>
          <w:rFonts w:ascii="宋体" w:hAnsi="宋体" w:cs="宋体"/>
          <w:sz w:val="24"/>
          <w:lang w:val="zh-CN" w:bidi="zh-CN"/>
        </w:rPr>
        <w:t xml:space="preserve">                                        </w:t>
      </w:r>
      <w:r>
        <w:rPr>
          <w:rFonts w:hint="eastAsia" w:ascii="宋体" w:hAnsi="宋体" w:cs="宋体"/>
          <w:sz w:val="24"/>
          <w:lang w:bidi="zh-CN"/>
        </w:rPr>
        <w:t xml:space="preserve">           </w:t>
      </w:r>
      <w:r>
        <w:rPr>
          <w:rFonts w:ascii="宋体" w:hAnsi="宋体" w:cs="宋体"/>
          <w:sz w:val="24"/>
          <w:lang w:val="zh-CN" w:bidi="zh-CN"/>
        </w:rPr>
        <w:t xml:space="preserve"> </w:t>
      </w:r>
      <w:r>
        <w:rPr>
          <w:rFonts w:hint="eastAsia" w:ascii="宋体" w:hAnsi="宋体" w:cs="宋体"/>
          <w:sz w:val="24"/>
          <w:lang w:val="zh-CN" w:bidi="zh-CN"/>
        </w:rPr>
        <w:t>年</w:t>
      </w:r>
      <w:r>
        <w:rPr>
          <w:rFonts w:hint="eastAsia" w:ascii="宋体" w:hAnsi="宋体" w:cs="宋体"/>
          <w:sz w:val="24"/>
          <w:lang w:bidi="zh-CN"/>
        </w:rPr>
        <w:t xml:space="preserve">   </w:t>
      </w:r>
      <w:r>
        <w:rPr>
          <w:rFonts w:hint="eastAsia" w:ascii="宋体" w:hAnsi="宋体" w:cs="宋体"/>
          <w:sz w:val="24"/>
          <w:lang w:val="zh-CN" w:bidi="zh-CN"/>
        </w:rPr>
        <w:t xml:space="preserve"> 月</w:t>
      </w:r>
      <w:r>
        <w:rPr>
          <w:rFonts w:hint="eastAsia" w:ascii="宋体" w:hAnsi="宋体" w:cs="宋体"/>
          <w:sz w:val="24"/>
          <w:lang w:bidi="zh-CN"/>
        </w:rPr>
        <w:t xml:space="preserve">   </w:t>
      </w:r>
      <w:r>
        <w:rPr>
          <w:rFonts w:hint="eastAsia" w:ascii="宋体" w:hAnsi="宋体" w:cs="宋体"/>
          <w:sz w:val="24"/>
          <w:lang w:val="zh-CN" w:bidi="zh-CN"/>
        </w:rPr>
        <w:t xml:space="preserve"> 日</w:t>
      </w:r>
    </w:p>
    <w:p w14:paraId="108C2428">
      <w:pPr>
        <w:pStyle w:val="10"/>
        <w:rPr>
          <w:rFonts w:hint="eastAsia" w:ascii="宋体" w:hAnsi="宋体" w:cs="宋体"/>
          <w:sz w:val="24"/>
          <w:lang w:val="zh-CN" w:bidi="zh-CN"/>
        </w:rPr>
      </w:pPr>
    </w:p>
    <w:p w14:paraId="78B9B8F0">
      <w:pPr>
        <w:pStyle w:val="10"/>
        <w:rPr>
          <w:rFonts w:hint="eastAsia" w:ascii="宋体" w:hAnsi="宋体" w:cs="宋体"/>
          <w:sz w:val="24"/>
          <w:lang w:val="zh-CN" w:bidi="zh-CN"/>
        </w:rPr>
      </w:pPr>
    </w:p>
    <w:p w14:paraId="34A6A6F3">
      <w:pPr>
        <w:pStyle w:val="10"/>
        <w:rPr>
          <w:rFonts w:hint="eastAsia" w:ascii="宋体" w:hAnsi="宋体" w:cs="宋体"/>
          <w:sz w:val="24"/>
          <w:lang w:val="zh-CN" w:bidi="zh-CN"/>
        </w:rPr>
      </w:pPr>
    </w:p>
    <w:p w14:paraId="49FE5E20">
      <w:pPr>
        <w:pStyle w:val="10"/>
        <w:rPr>
          <w:rFonts w:hint="eastAsia"/>
          <w:lang w:val="zh-CN"/>
        </w:rPr>
      </w:pPr>
      <w:r>
        <w:rPr>
          <w:rFonts w:hint="eastAsia" w:ascii="宋体" w:hAnsi="宋体" w:cs="宋体"/>
          <w:sz w:val="24"/>
          <w:lang w:val="zh-CN" w:bidi="zh-CN"/>
        </w:rPr>
        <w:t>（</w:t>
      </w:r>
      <w:r>
        <w:rPr>
          <w:rFonts w:hint="eastAsia" w:ascii="宋体" w:hAnsi="宋体" w:cs="宋体"/>
          <w:sz w:val="24"/>
          <w:lang w:val="en-US" w:bidi="zh-CN"/>
        </w:rPr>
        <w:t>五</w:t>
      </w:r>
      <w:r>
        <w:rPr>
          <w:rFonts w:hint="eastAsia" w:ascii="宋体" w:hAnsi="宋体" w:cs="宋体"/>
          <w:sz w:val="24"/>
          <w:lang w:val="zh-CN" w:bidi="zh-CN"/>
        </w:rPr>
        <w:t>）供应商近三年承担的类似工程业绩</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329B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02458F4">
            <w:pPr>
              <w:spacing w:after="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6094" w:type="dxa"/>
            <w:noWrap w:val="0"/>
            <w:vAlign w:val="center"/>
          </w:tcPr>
          <w:p w14:paraId="10D5EAD8">
            <w:pPr>
              <w:spacing w:after="0" w:line="360" w:lineRule="auto"/>
              <w:jc w:val="center"/>
              <w:rPr>
                <w:rFonts w:hint="eastAsia" w:ascii="宋体" w:hAnsi="宋体" w:eastAsia="宋体" w:cs="宋体"/>
                <w:color w:val="000000"/>
                <w:sz w:val="24"/>
                <w:szCs w:val="24"/>
              </w:rPr>
            </w:pPr>
          </w:p>
        </w:tc>
      </w:tr>
      <w:tr w14:paraId="30D8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ECE7B6C">
            <w:pPr>
              <w:spacing w:after="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项目所在地</w:t>
            </w:r>
          </w:p>
        </w:tc>
        <w:tc>
          <w:tcPr>
            <w:tcW w:w="6094" w:type="dxa"/>
            <w:noWrap w:val="0"/>
            <w:vAlign w:val="center"/>
          </w:tcPr>
          <w:p w14:paraId="5196DE2B">
            <w:pPr>
              <w:spacing w:after="0" w:line="360" w:lineRule="auto"/>
              <w:jc w:val="center"/>
              <w:rPr>
                <w:rFonts w:hint="eastAsia" w:ascii="宋体" w:hAnsi="宋体" w:eastAsia="宋体" w:cs="宋体"/>
                <w:color w:val="000000"/>
                <w:sz w:val="24"/>
                <w:szCs w:val="24"/>
              </w:rPr>
            </w:pPr>
          </w:p>
        </w:tc>
      </w:tr>
      <w:tr w14:paraId="3710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7151A1D">
            <w:pPr>
              <w:spacing w:after="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发包人名称</w:t>
            </w:r>
          </w:p>
        </w:tc>
        <w:tc>
          <w:tcPr>
            <w:tcW w:w="6094" w:type="dxa"/>
            <w:noWrap w:val="0"/>
            <w:vAlign w:val="center"/>
          </w:tcPr>
          <w:p w14:paraId="0248B7E7">
            <w:pPr>
              <w:spacing w:after="0" w:line="360" w:lineRule="auto"/>
              <w:jc w:val="center"/>
              <w:rPr>
                <w:rFonts w:hint="eastAsia" w:ascii="宋体" w:hAnsi="宋体" w:eastAsia="宋体" w:cs="宋体"/>
                <w:color w:val="000000"/>
                <w:sz w:val="24"/>
                <w:szCs w:val="24"/>
              </w:rPr>
            </w:pPr>
          </w:p>
        </w:tc>
      </w:tr>
      <w:tr w14:paraId="54ED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91EC226">
            <w:pPr>
              <w:spacing w:after="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发包人地址</w:t>
            </w:r>
          </w:p>
        </w:tc>
        <w:tc>
          <w:tcPr>
            <w:tcW w:w="6094" w:type="dxa"/>
            <w:noWrap w:val="0"/>
            <w:vAlign w:val="center"/>
          </w:tcPr>
          <w:p w14:paraId="1A61D400">
            <w:pPr>
              <w:spacing w:after="0" w:line="360" w:lineRule="auto"/>
              <w:jc w:val="center"/>
              <w:rPr>
                <w:rFonts w:hint="eastAsia" w:ascii="宋体" w:hAnsi="宋体" w:eastAsia="宋体" w:cs="宋体"/>
                <w:color w:val="000000"/>
                <w:sz w:val="24"/>
                <w:szCs w:val="24"/>
              </w:rPr>
            </w:pPr>
          </w:p>
        </w:tc>
      </w:tr>
      <w:tr w14:paraId="5BF0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AC6AD14">
            <w:pPr>
              <w:spacing w:after="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发包人联系人及电话</w:t>
            </w:r>
          </w:p>
        </w:tc>
        <w:tc>
          <w:tcPr>
            <w:tcW w:w="6094" w:type="dxa"/>
            <w:noWrap w:val="0"/>
            <w:vAlign w:val="center"/>
          </w:tcPr>
          <w:p w14:paraId="3D57F113">
            <w:pPr>
              <w:spacing w:after="0" w:line="360" w:lineRule="auto"/>
              <w:jc w:val="center"/>
              <w:rPr>
                <w:rFonts w:hint="eastAsia" w:ascii="宋体" w:hAnsi="宋体" w:eastAsia="宋体" w:cs="宋体"/>
                <w:color w:val="000000"/>
                <w:sz w:val="24"/>
                <w:szCs w:val="24"/>
              </w:rPr>
            </w:pPr>
          </w:p>
        </w:tc>
      </w:tr>
      <w:tr w14:paraId="1337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9BF759C">
            <w:pPr>
              <w:spacing w:after="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合同价格</w:t>
            </w:r>
          </w:p>
        </w:tc>
        <w:tc>
          <w:tcPr>
            <w:tcW w:w="6094" w:type="dxa"/>
            <w:noWrap w:val="0"/>
            <w:vAlign w:val="center"/>
          </w:tcPr>
          <w:p w14:paraId="39320A18">
            <w:pPr>
              <w:spacing w:after="0" w:line="360" w:lineRule="auto"/>
              <w:jc w:val="center"/>
              <w:rPr>
                <w:rFonts w:hint="eastAsia" w:ascii="宋体" w:hAnsi="宋体" w:eastAsia="宋体" w:cs="宋体"/>
                <w:color w:val="000000"/>
                <w:sz w:val="24"/>
                <w:szCs w:val="24"/>
              </w:rPr>
            </w:pPr>
          </w:p>
        </w:tc>
      </w:tr>
      <w:tr w14:paraId="1D98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355C5BF">
            <w:pPr>
              <w:spacing w:after="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开工日期</w:t>
            </w:r>
          </w:p>
        </w:tc>
        <w:tc>
          <w:tcPr>
            <w:tcW w:w="6094" w:type="dxa"/>
            <w:noWrap w:val="0"/>
            <w:vAlign w:val="center"/>
          </w:tcPr>
          <w:p w14:paraId="60B5DC73">
            <w:pPr>
              <w:spacing w:after="0" w:line="360" w:lineRule="auto"/>
              <w:jc w:val="center"/>
              <w:rPr>
                <w:rFonts w:hint="eastAsia" w:ascii="宋体" w:hAnsi="宋体" w:eastAsia="宋体" w:cs="宋体"/>
                <w:color w:val="000000"/>
                <w:sz w:val="24"/>
                <w:szCs w:val="24"/>
              </w:rPr>
            </w:pPr>
          </w:p>
        </w:tc>
      </w:tr>
      <w:tr w14:paraId="3711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6DFBD6B">
            <w:pPr>
              <w:spacing w:after="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竣工日期</w:t>
            </w:r>
          </w:p>
        </w:tc>
        <w:tc>
          <w:tcPr>
            <w:tcW w:w="6094" w:type="dxa"/>
            <w:noWrap w:val="0"/>
            <w:vAlign w:val="center"/>
          </w:tcPr>
          <w:p w14:paraId="7C161994">
            <w:pPr>
              <w:spacing w:after="0" w:line="360" w:lineRule="auto"/>
              <w:jc w:val="center"/>
              <w:rPr>
                <w:rFonts w:hint="eastAsia" w:ascii="宋体" w:hAnsi="宋体" w:eastAsia="宋体" w:cs="宋体"/>
                <w:color w:val="000000"/>
                <w:sz w:val="24"/>
                <w:szCs w:val="24"/>
              </w:rPr>
            </w:pPr>
          </w:p>
        </w:tc>
      </w:tr>
      <w:tr w14:paraId="5623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6F45CC9">
            <w:pPr>
              <w:spacing w:after="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承担的工作</w:t>
            </w:r>
          </w:p>
        </w:tc>
        <w:tc>
          <w:tcPr>
            <w:tcW w:w="6094" w:type="dxa"/>
            <w:noWrap w:val="0"/>
            <w:vAlign w:val="center"/>
          </w:tcPr>
          <w:p w14:paraId="2729F2EB">
            <w:pPr>
              <w:spacing w:after="0" w:line="360" w:lineRule="auto"/>
              <w:jc w:val="center"/>
              <w:rPr>
                <w:rFonts w:hint="eastAsia" w:ascii="宋体" w:hAnsi="宋体" w:eastAsia="宋体" w:cs="宋体"/>
                <w:color w:val="000000"/>
                <w:sz w:val="24"/>
                <w:szCs w:val="24"/>
              </w:rPr>
            </w:pPr>
          </w:p>
        </w:tc>
      </w:tr>
      <w:tr w14:paraId="511E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2C84834">
            <w:pPr>
              <w:spacing w:after="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工程质量</w:t>
            </w:r>
          </w:p>
        </w:tc>
        <w:tc>
          <w:tcPr>
            <w:tcW w:w="6094" w:type="dxa"/>
            <w:noWrap w:val="0"/>
            <w:vAlign w:val="center"/>
          </w:tcPr>
          <w:p w14:paraId="1C44127A">
            <w:pPr>
              <w:spacing w:after="0" w:line="360" w:lineRule="auto"/>
              <w:jc w:val="center"/>
              <w:rPr>
                <w:rFonts w:hint="eastAsia" w:ascii="宋体" w:hAnsi="宋体" w:eastAsia="宋体" w:cs="宋体"/>
                <w:color w:val="000000"/>
                <w:sz w:val="24"/>
                <w:szCs w:val="24"/>
              </w:rPr>
            </w:pPr>
          </w:p>
        </w:tc>
      </w:tr>
      <w:tr w14:paraId="22C6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07FE52E">
            <w:pPr>
              <w:spacing w:after="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项目经理</w:t>
            </w:r>
          </w:p>
        </w:tc>
        <w:tc>
          <w:tcPr>
            <w:tcW w:w="6094" w:type="dxa"/>
            <w:noWrap w:val="0"/>
            <w:vAlign w:val="center"/>
          </w:tcPr>
          <w:p w14:paraId="3A069A8D">
            <w:pPr>
              <w:spacing w:after="0" w:line="360" w:lineRule="auto"/>
              <w:jc w:val="center"/>
              <w:rPr>
                <w:rFonts w:hint="eastAsia" w:ascii="宋体" w:hAnsi="宋体" w:eastAsia="宋体" w:cs="宋体"/>
                <w:color w:val="000000"/>
                <w:sz w:val="24"/>
                <w:szCs w:val="24"/>
              </w:rPr>
            </w:pPr>
          </w:p>
        </w:tc>
      </w:tr>
      <w:tr w14:paraId="58C4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7E0752C">
            <w:pPr>
              <w:spacing w:after="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技术负责人</w:t>
            </w:r>
          </w:p>
        </w:tc>
        <w:tc>
          <w:tcPr>
            <w:tcW w:w="6094" w:type="dxa"/>
            <w:noWrap w:val="0"/>
            <w:vAlign w:val="center"/>
          </w:tcPr>
          <w:p w14:paraId="52C34425">
            <w:pPr>
              <w:spacing w:after="0" w:line="360" w:lineRule="auto"/>
              <w:jc w:val="center"/>
              <w:rPr>
                <w:rFonts w:hint="eastAsia" w:ascii="宋体" w:hAnsi="宋体" w:eastAsia="宋体" w:cs="宋体"/>
                <w:color w:val="000000"/>
                <w:sz w:val="24"/>
                <w:szCs w:val="24"/>
              </w:rPr>
            </w:pPr>
          </w:p>
        </w:tc>
      </w:tr>
      <w:tr w14:paraId="63EF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F0AD87F">
            <w:pPr>
              <w:spacing w:after="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总监理工程师及电话</w:t>
            </w:r>
          </w:p>
        </w:tc>
        <w:tc>
          <w:tcPr>
            <w:tcW w:w="6094" w:type="dxa"/>
            <w:noWrap w:val="0"/>
            <w:vAlign w:val="center"/>
          </w:tcPr>
          <w:p w14:paraId="5FA63D6F">
            <w:pPr>
              <w:spacing w:after="0" w:line="360" w:lineRule="auto"/>
              <w:jc w:val="center"/>
              <w:rPr>
                <w:rFonts w:hint="eastAsia" w:ascii="宋体" w:hAnsi="宋体" w:eastAsia="宋体" w:cs="宋体"/>
                <w:color w:val="000000"/>
                <w:sz w:val="24"/>
                <w:szCs w:val="24"/>
              </w:rPr>
            </w:pPr>
          </w:p>
        </w:tc>
      </w:tr>
      <w:tr w14:paraId="30CE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2411" w:type="dxa"/>
            <w:noWrap w:val="0"/>
            <w:vAlign w:val="center"/>
          </w:tcPr>
          <w:p w14:paraId="3305C3FC">
            <w:pPr>
              <w:spacing w:after="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项目描述</w:t>
            </w:r>
          </w:p>
        </w:tc>
        <w:tc>
          <w:tcPr>
            <w:tcW w:w="6094" w:type="dxa"/>
            <w:noWrap w:val="0"/>
            <w:vAlign w:val="center"/>
          </w:tcPr>
          <w:p w14:paraId="3418D61C">
            <w:pPr>
              <w:spacing w:after="0" w:line="360" w:lineRule="auto"/>
              <w:jc w:val="center"/>
              <w:rPr>
                <w:rFonts w:hint="eastAsia" w:ascii="宋体" w:hAnsi="宋体" w:eastAsia="宋体" w:cs="宋体"/>
                <w:color w:val="000000"/>
                <w:sz w:val="24"/>
                <w:szCs w:val="24"/>
              </w:rPr>
            </w:pPr>
          </w:p>
        </w:tc>
      </w:tr>
      <w:tr w14:paraId="63B6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7B590A0">
            <w:pPr>
              <w:spacing w:after="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c>
          <w:tcPr>
            <w:tcW w:w="6094" w:type="dxa"/>
            <w:noWrap w:val="0"/>
            <w:vAlign w:val="center"/>
          </w:tcPr>
          <w:p w14:paraId="327E1DE2">
            <w:pPr>
              <w:spacing w:after="0" w:line="360" w:lineRule="auto"/>
              <w:jc w:val="center"/>
              <w:rPr>
                <w:rFonts w:hint="eastAsia" w:ascii="宋体" w:hAnsi="宋体" w:eastAsia="宋体" w:cs="宋体"/>
                <w:color w:val="000000"/>
                <w:sz w:val="24"/>
                <w:szCs w:val="24"/>
              </w:rPr>
            </w:pPr>
          </w:p>
        </w:tc>
      </w:tr>
    </w:tbl>
    <w:p w14:paraId="0DCFA25F">
      <w:pPr>
        <w:spacing w:line="380" w:lineRule="exact"/>
        <w:rPr>
          <w:rFonts w:hint="eastAsia" w:ascii="宋体" w:hAnsi="宋体" w:eastAsia="宋体" w:cs="宋体"/>
          <w:sz w:val="24"/>
          <w:szCs w:val="24"/>
          <w:highlight w:val="none"/>
        </w:rPr>
      </w:pPr>
      <w:r>
        <w:rPr>
          <w:rFonts w:hint="eastAsia" w:ascii="宋体" w:hAnsi="宋体" w:eastAsia="宋体" w:cs="宋体"/>
          <w:sz w:val="24"/>
          <w:szCs w:val="24"/>
        </w:rPr>
        <w:t>备注</w:t>
      </w:r>
      <w:r>
        <w:rPr>
          <w:rFonts w:hint="eastAsia" w:ascii="宋体" w:hAnsi="宋体" w:eastAsia="宋体" w:cs="宋体"/>
          <w:sz w:val="24"/>
          <w:szCs w:val="24"/>
          <w:highlight w:val="none"/>
        </w:rPr>
        <w:t>：1、供应商类似工程指</w:t>
      </w:r>
      <w:r>
        <w:rPr>
          <w:rFonts w:hint="eastAsia" w:ascii="宋体" w:hAnsi="宋体" w:eastAsia="宋体" w:cs="宋体"/>
          <w:color w:val="auto"/>
          <w:sz w:val="24"/>
          <w:szCs w:val="24"/>
          <w:highlight w:val="none"/>
        </w:rPr>
        <w:t>与本工程类似的</w:t>
      </w:r>
      <w:r>
        <w:rPr>
          <w:rFonts w:hint="eastAsia" w:ascii="宋体" w:hAnsi="宋体" w:eastAsia="宋体" w:cs="宋体"/>
          <w:color w:val="auto"/>
          <w:sz w:val="24"/>
          <w:szCs w:val="24"/>
          <w:highlight w:val="none"/>
          <w:lang w:val="en-US" w:eastAsia="zh-CN"/>
        </w:rPr>
        <w:t>建筑</w:t>
      </w:r>
      <w:r>
        <w:rPr>
          <w:rFonts w:hint="eastAsia" w:ascii="宋体" w:hAnsi="宋体" w:eastAsia="宋体" w:cs="宋体"/>
          <w:color w:val="auto"/>
          <w:sz w:val="24"/>
          <w:szCs w:val="24"/>
          <w:highlight w:val="none"/>
        </w:rPr>
        <w:t>工程。</w:t>
      </w:r>
    </w:p>
    <w:p w14:paraId="171D39CC">
      <w:pPr>
        <w:spacing w:line="440" w:lineRule="exact"/>
        <w:ind w:left="630" w:leftChars="300"/>
        <w:rPr>
          <w:rFonts w:hint="eastAsia" w:ascii="宋体" w:hAnsi="宋体" w:eastAsia="宋体" w:cs="宋体"/>
          <w:sz w:val="24"/>
          <w:szCs w:val="24"/>
          <w:highlight w:val="none"/>
        </w:rPr>
      </w:pPr>
      <w:r>
        <w:rPr>
          <w:rFonts w:hint="eastAsia" w:ascii="宋体" w:hAnsi="宋体" w:eastAsia="宋体" w:cs="宋体"/>
          <w:sz w:val="24"/>
          <w:szCs w:val="24"/>
          <w:highlight w:val="none"/>
        </w:rPr>
        <w:t>2、本表后附</w:t>
      </w:r>
      <w:r>
        <w:rPr>
          <w:rFonts w:hint="eastAsia" w:ascii="宋体" w:hAnsi="宋体" w:eastAsia="宋体" w:cs="宋体"/>
          <w:sz w:val="24"/>
          <w:szCs w:val="24"/>
          <w:highlight w:val="none"/>
          <w:lang w:val="en-US" w:eastAsia="zh-CN"/>
        </w:rPr>
        <w:t>中标通知书、</w:t>
      </w:r>
      <w:r>
        <w:rPr>
          <w:rFonts w:hint="eastAsia" w:ascii="宋体" w:hAnsi="宋体" w:eastAsia="宋体" w:cs="宋体"/>
          <w:sz w:val="24"/>
          <w:szCs w:val="24"/>
          <w:highlight w:val="none"/>
        </w:rPr>
        <w:t>合同协议书</w:t>
      </w:r>
      <w:r>
        <w:rPr>
          <w:rFonts w:hint="eastAsia" w:ascii="宋体" w:hAnsi="宋体" w:eastAsia="宋体" w:cs="宋体"/>
          <w:sz w:val="24"/>
          <w:szCs w:val="24"/>
          <w:highlight w:val="none"/>
          <w:lang w:val="en-US" w:eastAsia="zh-CN"/>
        </w:rPr>
        <w:t>原件的扫描件或</w:t>
      </w:r>
      <w:r>
        <w:rPr>
          <w:rFonts w:hint="eastAsia" w:ascii="宋体" w:hAnsi="宋体" w:eastAsia="宋体" w:cs="宋体"/>
          <w:sz w:val="24"/>
          <w:szCs w:val="24"/>
          <w:highlight w:val="none"/>
        </w:rPr>
        <w:t>复印件。</w:t>
      </w:r>
    </w:p>
    <w:p w14:paraId="492249D7">
      <w:pPr>
        <w:spacing w:line="440" w:lineRule="exact"/>
        <w:ind w:left="630" w:leftChars="300"/>
        <w:rPr>
          <w:rFonts w:hint="eastAsia" w:ascii="宋体" w:hAnsi="宋体" w:eastAsia="宋体" w:cs="宋体"/>
          <w:sz w:val="24"/>
          <w:szCs w:val="24"/>
          <w:highlight w:val="none"/>
        </w:rPr>
      </w:pPr>
      <w:r>
        <w:rPr>
          <w:rFonts w:hint="eastAsia" w:ascii="宋体" w:hAnsi="宋体" w:eastAsia="宋体" w:cs="宋体"/>
          <w:sz w:val="24"/>
          <w:szCs w:val="24"/>
          <w:highlight w:val="none"/>
        </w:rPr>
        <w:t>具体年份要求：近</w:t>
      </w:r>
      <w:r>
        <w:rPr>
          <w:rFonts w:hint="eastAsia" w:ascii="宋体" w:hAnsi="宋体" w:eastAsia="宋体" w:cs="宋体"/>
          <w:sz w:val="24"/>
          <w:szCs w:val="24"/>
          <w:highlight w:val="none"/>
          <w:u w:val="single"/>
        </w:rPr>
        <w:t>3</w:t>
      </w:r>
      <w:r>
        <w:rPr>
          <w:rFonts w:hint="eastAsia" w:ascii="宋体" w:hAnsi="宋体" w:eastAsia="宋体" w:cs="宋体"/>
          <w:sz w:val="24"/>
          <w:szCs w:val="24"/>
          <w:highlight w:val="none"/>
        </w:rPr>
        <w:t>年，指</w:t>
      </w:r>
      <w:r>
        <w:rPr>
          <w:rFonts w:hint="eastAsia" w:ascii="宋体" w:hAnsi="宋体" w:eastAsia="宋体" w:cs="宋体"/>
          <w:sz w:val="24"/>
          <w:szCs w:val="24"/>
          <w:highlight w:val="none"/>
          <w:u w:val="single"/>
        </w:rPr>
        <w:t>20</w:t>
      </w:r>
      <w:r>
        <w:rPr>
          <w:rFonts w:hint="eastAsia" w:ascii="宋体" w:hAnsi="宋体" w:eastAsia="宋体" w:cs="宋体"/>
          <w:sz w:val="24"/>
          <w:szCs w:val="24"/>
          <w:highlight w:val="none"/>
          <w:u w:val="single"/>
          <w:lang w:val="en-US" w:eastAsia="zh-CN"/>
        </w:rPr>
        <w:t>21</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日起至今。每张表格只填写一个项目，并标明序号。</w:t>
      </w:r>
    </w:p>
    <w:p w14:paraId="2642484C">
      <w:pPr>
        <w:pStyle w:val="10"/>
        <w:rPr>
          <w:rFonts w:hint="eastAsia"/>
          <w:lang w:val="zh-CN"/>
        </w:rPr>
      </w:pPr>
    </w:p>
    <w:p w14:paraId="5FA441D2">
      <w:pPr>
        <w:pStyle w:val="10"/>
        <w:numPr>
          <w:ilvl w:val="0"/>
          <w:numId w:val="0"/>
        </w:numPr>
        <w:ind w:leftChars="0"/>
        <w:rPr>
          <w:rFonts w:hint="default"/>
          <w:lang w:val="en-US" w:eastAsia="zh-CN"/>
        </w:rPr>
      </w:pPr>
    </w:p>
    <w:p w14:paraId="348A2C93">
      <w:pPr>
        <w:pStyle w:val="3"/>
        <w:spacing w:line="360" w:lineRule="auto"/>
        <w:jc w:val="center"/>
        <w:rPr>
          <w:rFonts w:ascii="宋体" w:hAnsi="宋体" w:eastAsia="宋体"/>
          <w:color w:val="auto"/>
          <w:sz w:val="24"/>
          <w:szCs w:val="24"/>
        </w:rPr>
      </w:pPr>
      <w:r>
        <w:rPr>
          <w:rFonts w:hint="eastAsia" w:ascii="宋体" w:hAnsi="宋体" w:eastAsia="宋体"/>
          <w:color w:val="auto"/>
          <w:sz w:val="24"/>
          <w:szCs w:val="24"/>
          <w:lang w:eastAsia="zh-CN"/>
        </w:rPr>
        <w:t>八</w:t>
      </w:r>
      <w:r>
        <w:rPr>
          <w:rFonts w:hint="eastAsia" w:ascii="宋体" w:hAnsi="宋体" w:eastAsia="宋体"/>
          <w:color w:val="auto"/>
          <w:sz w:val="24"/>
          <w:szCs w:val="24"/>
        </w:rPr>
        <w:t>、建设工程扬尘治理工作承诺书</w:t>
      </w:r>
    </w:p>
    <w:p w14:paraId="5896EFA5">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14:paraId="6E70B84E">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一、工作目标</w:t>
      </w:r>
    </w:p>
    <w:p w14:paraId="23ACB191">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实现“施工现场100%围挡；路面100%硬化；驶出车辆100%冲洗；运输车辆100%密闭；裸露物料100%覆盖；特殊作业及扬尘地块100%喷淋洒水；出入口路段100%清扫洒水”。</w:t>
      </w:r>
    </w:p>
    <w:p w14:paraId="41501357">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二、承诺事项</w:t>
      </w:r>
    </w:p>
    <w:p w14:paraId="11E7FBEC">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1、坚决贯彻执行《济宁市建筑工地扬尘治理工作导则（试行）》，切实做好生产现场及周边环境的扬尘整治工作。</w:t>
      </w:r>
    </w:p>
    <w:p w14:paraId="432E8762">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2、建立健全公司扬尘整治专项检查组织机构，夯实扬尘治理工作责任，针对不同施工阶段，制定具体防治措施。</w:t>
      </w:r>
    </w:p>
    <w:p w14:paraId="16EBACA4">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381A138F">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4、认真开展施工现场扬尘污染综合整治活动，对施工现场，每月组织不少于两次的专项检查，对发现的问题及时监督整改。</w:t>
      </w:r>
    </w:p>
    <w:p w14:paraId="5B551133">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5、完善施工扬尘处置应急预案，在气象部门发布空气质量预警时，坚决停止室外生产及其他易产生扬尘作业，并采取有效措施进行降尘。</w:t>
      </w:r>
    </w:p>
    <w:p w14:paraId="3FA4BE9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三、责任追究</w:t>
      </w:r>
    </w:p>
    <w:p w14:paraId="11B0271D">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1、坚决落实“三不”惩治措施。对扬尘治理不达标的工程不予验收、不予拨付安全文明施工费、不予评选优质工程，并在创建安全文明工地活动中实行一票否决。</w:t>
      </w:r>
    </w:p>
    <w:p w14:paraId="3BC555D1">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2、对达不到扬尘治理标准的、要求停工整改拒不整改的项目，提请上级主管部门取消该项目负责人建造师执业资格。</w:t>
      </w:r>
    </w:p>
    <w:p w14:paraId="68B1182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14:paraId="313B2C24">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本项目采取一切有效措施，确保完成承诺事项，否则，自愿接受主管部门做出的一切处罚。</w:t>
      </w:r>
    </w:p>
    <w:p w14:paraId="0D7E5343">
      <w:pPr>
        <w:widowControl/>
        <w:jc w:val="right"/>
        <w:rPr>
          <w:rFonts w:ascii="宋体" w:hAnsi="宋体" w:cs="宋体"/>
          <w:color w:val="auto"/>
          <w:sz w:val="24"/>
          <w:lang w:bidi="ar"/>
        </w:rPr>
      </w:pPr>
    </w:p>
    <w:p w14:paraId="063E2FF0">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供 </w:t>
      </w:r>
      <w:r>
        <w:rPr>
          <w:rFonts w:ascii="宋体" w:hAnsi="宋体" w:cs="宋体"/>
          <w:color w:val="auto"/>
          <w:sz w:val="24"/>
          <w:lang w:bidi="ar"/>
        </w:rPr>
        <w:t xml:space="preserve"> </w:t>
      </w:r>
      <w:r>
        <w:rPr>
          <w:rFonts w:hint="eastAsia" w:ascii="宋体" w:hAnsi="宋体" w:cs="宋体"/>
          <w:color w:val="auto"/>
          <w:sz w:val="24"/>
          <w:lang w:bidi="ar"/>
        </w:rPr>
        <w:t xml:space="preserve">应 </w:t>
      </w:r>
      <w:r>
        <w:rPr>
          <w:rFonts w:ascii="宋体" w:hAnsi="宋体" w:cs="宋体"/>
          <w:color w:val="auto"/>
          <w:sz w:val="24"/>
          <w:lang w:bidi="ar"/>
        </w:rPr>
        <w:t xml:space="preserve"> </w:t>
      </w:r>
      <w:r>
        <w:rPr>
          <w:rFonts w:hint="eastAsia" w:ascii="宋体" w:hAnsi="宋体" w:cs="宋体"/>
          <w:color w:val="auto"/>
          <w:sz w:val="24"/>
          <w:lang w:bidi="ar"/>
        </w:rPr>
        <w:t>商：</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hint="eastAsia" w:ascii="宋体" w:hAnsi="宋体" w:cs="宋体"/>
          <w:color w:val="auto"/>
          <w:sz w:val="24"/>
          <w:lang w:bidi="ar"/>
        </w:rPr>
        <w:t>（盖单位章）</w:t>
      </w:r>
    </w:p>
    <w:p w14:paraId="426D476A">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法定代表人：</w:t>
      </w:r>
      <w:r>
        <w:rPr>
          <w:rFonts w:hint="eastAsia" w:ascii="宋体" w:hAnsi="宋体" w:cs="宋体"/>
          <w:color w:val="auto"/>
          <w:sz w:val="24"/>
          <w:u w:val="single"/>
          <w:lang w:bidi="ar"/>
        </w:rPr>
        <w:t xml:space="preserve">               （</w:t>
      </w:r>
      <w:r>
        <w:rPr>
          <w:rFonts w:hint="eastAsia" w:ascii="宋体" w:hAnsi="宋体" w:cs="宋体"/>
          <w:color w:val="auto"/>
          <w:sz w:val="24"/>
          <w:lang w:bidi="ar"/>
        </w:rPr>
        <w:t>签字或盖章）</w:t>
      </w:r>
    </w:p>
    <w:p w14:paraId="07C089B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日 </w:t>
      </w:r>
      <w:r>
        <w:rPr>
          <w:rFonts w:ascii="宋体" w:hAnsi="宋体" w:cs="宋体"/>
          <w:color w:val="auto"/>
          <w:sz w:val="24"/>
          <w:lang w:bidi="ar"/>
        </w:rPr>
        <w:t xml:space="preserve">     </w:t>
      </w:r>
      <w:r>
        <w:rPr>
          <w:rFonts w:hint="eastAsia" w:ascii="宋体" w:hAnsi="宋体" w:cs="宋体"/>
          <w:color w:val="auto"/>
          <w:sz w:val="24"/>
          <w:lang w:bidi="ar"/>
        </w:rPr>
        <w:t>期：</w:t>
      </w:r>
    </w:p>
    <w:p w14:paraId="70691178">
      <w:pPr>
        <w:widowControl/>
        <w:jc w:val="right"/>
        <w:rPr>
          <w:rFonts w:ascii="宋体" w:hAnsi="宋体" w:cs="宋体"/>
          <w:color w:val="auto"/>
          <w:sz w:val="24"/>
          <w:lang w:bidi="ar"/>
        </w:rPr>
      </w:pPr>
    </w:p>
    <w:p w14:paraId="17322DEC">
      <w:pPr>
        <w:widowControl/>
        <w:jc w:val="left"/>
        <w:rPr>
          <w:rFonts w:ascii="宋体" w:hAnsi="宋体" w:cs="黑体"/>
          <w:b/>
          <w:color w:val="auto"/>
          <w:kern w:val="0"/>
          <w:sz w:val="24"/>
        </w:rPr>
      </w:pPr>
      <w:r>
        <w:rPr>
          <w:rFonts w:ascii="宋体" w:hAnsi="宋体" w:cs="黑体"/>
          <w:b/>
          <w:color w:val="auto"/>
          <w:kern w:val="0"/>
          <w:sz w:val="24"/>
        </w:rPr>
        <w:br w:type="page"/>
      </w:r>
    </w:p>
    <w:p w14:paraId="0911B650">
      <w:pPr>
        <w:pStyle w:val="3"/>
        <w:spacing w:line="360" w:lineRule="auto"/>
        <w:jc w:val="center"/>
        <w:rPr>
          <w:rFonts w:ascii="宋体" w:hAnsi="宋体" w:eastAsia="宋体"/>
          <w:color w:val="auto"/>
          <w:sz w:val="24"/>
          <w:szCs w:val="24"/>
        </w:rPr>
      </w:pPr>
      <w:r>
        <w:rPr>
          <w:rFonts w:hint="eastAsia" w:ascii="宋体" w:hAnsi="宋体" w:cs="黑体"/>
          <w:b/>
          <w:color w:val="auto"/>
          <w:kern w:val="0"/>
          <w:sz w:val="24"/>
          <w:lang w:eastAsia="zh-CN"/>
        </w:rPr>
        <w:t>九</w:t>
      </w:r>
      <w:r>
        <w:rPr>
          <w:rFonts w:hint="eastAsia" w:ascii="宋体" w:hAnsi="宋体" w:cs="黑体"/>
          <w:b/>
          <w:color w:val="auto"/>
          <w:kern w:val="0"/>
          <w:sz w:val="24"/>
        </w:rPr>
        <w:t>、</w:t>
      </w:r>
      <w:r>
        <w:rPr>
          <w:rFonts w:hint="eastAsia" w:ascii="宋体" w:hAnsi="宋体" w:eastAsia="宋体"/>
          <w:color w:val="auto"/>
          <w:sz w:val="24"/>
          <w:szCs w:val="24"/>
        </w:rPr>
        <w:t>其他资料</w:t>
      </w:r>
    </w:p>
    <w:p w14:paraId="0127AA4D">
      <w:pPr>
        <w:pStyle w:val="86"/>
        <w:tabs>
          <w:tab w:val="left" w:pos="9638"/>
        </w:tabs>
        <w:spacing w:line="360" w:lineRule="auto"/>
        <w:ind w:right="-82" w:firstLine="472" w:firstLineChars="196"/>
        <w:jc w:val="left"/>
        <w:rPr>
          <w:rFonts w:hint="eastAsia" w:ascii="宋体" w:hAnsi="宋体" w:eastAsia="宋体" w:cs="宋体"/>
          <w:b/>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eastAsia="zh-CN"/>
        </w:rPr>
        <w:t>（</w:t>
      </w: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w:t>
      </w:r>
      <w:r>
        <w:rPr>
          <w:rFonts w:hint="eastAsia" w:ascii="宋体" w:hAnsi="宋体" w:eastAsia="宋体" w:cs="宋体"/>
          <w:b/>
          <w:sz w:val="24"/>
          <w:szCs w:val="24"/>
        </w:rPr>
        <w:t>供应商认为需要加以说明的其他内容和需要提供的证明文件</w:t>
      </w:r>
    </w:p>
    <w:p w14:paraId="6EC83C1A">
      <w:pPr>
        <w:pStyle w:val="86"/>
        <w:tabs>
          <w:tab w:val="left" w:pos="9638"/>
        </w:tabs>
        <w:spacing w:line="360" w:lineRule="auto"/>
        <w:ind w:right="-82" w:firstLine="472" w:firstLineChars="196"/>
        <w:rPr>
          <w:rFonts w:hint="eastAsia" w:ascii="宋体" w:hAnsi="宋体" w:eastAsia="宋体" w:cs="宋体"/>
          <w:b/>
          <w:sz w:val="24"/>
          <w:szCs w:val="24"/>
        </w:rPr>
      </w:pPr>
      <w:r>
        <w:rPr>
          <w:rFonts w:hint="eastAsia" w:ascii="宋体" w:hAnsi="宋体" w:eastAsia="宋体" w:cs="宋体"/>
          <w:b/>
          <w:sz w:val="24"/>
          <w:szCs w:val="24"/>
        </w:rPr>
        <w:t>1、……</w:t>
      </w:r>
    </w:p>
    <w:p w14:paraId="28F6A695">
      <w:pPr>
        <w:pStyle w:val="86"/>
        <w:tabs>
          <w:tab w:val="left" w:pos="9638"/>
        </w:tabs>
        <w:spacing w:line="360" w:lineRule="auto"/>
        <w:ind w:right="-82" w:firstLine="472" w:firstLineChars="196"/>
        <w:rPr>
          <w:rFonts w:hint="eastAsia" w:ascii="宋体" w:hAnsi="宋体" w:eastAsia="宋体" w:cs="宋体"/>
          <w:b/>
          <w:sz w:val="24"/>
          <w:szCs w:val="24"/>
        </w:rPr>
      </w:pPr>
      <w:r>
        <w:rPr>
          <w:rFonts w:hint="eastAsia" w:ascii="宋体" w:hAnsi="宋体" w:eastAsia="宋体" w:cs="宋体"/>
          <w:b/>
          <w:sz w:val="24"/>
          <w:szCs w:val="24"/>
        </w:rPr>
        <w:t>2、……</w:t>
      </w:r>
    </w:p>
    <w:p w14:paraId="17729BF5">
      <w:pPr>
        <w:pStyle w:val="86"/>
        <w:tabs>
          <w:tab w:val="left" w:pos="9638"/>
        </w:tabs>
        <w:spacing w:line="360" w:lineRule="auto"/>
        <w:ind w:right="-82" w:firstLine="472" w:firstLineChars="196"/>
        <w:rPr>
          <w:rFonts w:hint="eastAsia" w:ascii="宋体" w:hAnsi="宋体" w:eastAsia="宋体" w:cs="宋体"/>
          <w:sz w:val="24"/>
          <w:szCs w:val="24"/>
        </w:rPr>
      </w:pPr>
      <w:r>
        <w:rPr>
          <w:rFonts w:hint="eastAsia" w:ascii="宋体" w:hAnsi="宋体" w:eastAsia="宋体" w:cs="宋体"/>
          <w:b/>
          <w:sz w:val="24"/>
          <w:szCs w:val="24"/>
        </w:rPr>
        <w:t>3、……</w:t>
      </w:r>
    </w:p>
    <w:p w14:paraId="7E87280B">
      <w:pPr>
        <w:spacing w:line="360" w:lineRule="auto"/>
        <w:rPr>
          <w:rFonts w:hint="eastAsia" w:ascii="宋体" w:hAnsi="宋体"/>
        </w:rPr>
      </w:pPr>
    </w:p>
    <w:p w14:paraId="084C6831">
      <w:pPr>
        <w:spacing w:line="360" w:lineRule="auto"/>
        <w:rPr>
          <w:rFonts w:hint="eastAsia" w:ascii="宋体" w:hAnsi="宋体"/>
        </w:rPr>
      </w:pPr>
    </w:p>
    <w:p w14:paraId="1BBAE317">
      <w:pPr>
        <w:spacing w:line="360" w:lineRule="auto"/>
        <w:rPr>
          <w:rFonts w:hint="eastAsia" w:ascii="宋体" w:hAnsi="宋体"/>
        </w:rPr>
      </w:pPr>
    </w:p>
    <w:p w14:paraId="070DE04F">
      <w:pPr>
        <w:spacing w:line="360" w:lineRule="auto"/>
        <w:rPr>
          <w:rFonts w:hint="eastAsia" w:ascii="宋体" w:hAnsi="宋体"/>
        </w:rPr>
      </w:pPr>
    </w:p>
    <w:p w14:paraId="37DBB477">
      <w:pPr>
        <w:spacing w:line="360" w:lineRule="auto"/>
        <w:rPr>
          <w:rFonts w:hint="eastAsia" w:ascii="宋体" w:hAnsi="宋体"/>
        </w:rPr>
      </w:pPr>
    </w:p>
    <w:p w14:paraId="62AD9A49">
      <w:pPr>
        <w:spacing w:line="360" w:lineRule="auto"/>
        <w:rPr>
          <w:rFonts w:hint="eastAsia" w:ascii="宋体" w:hAnsi="宋体"/>
        </w:rPr>
      </w:pPr>
    </w:p>
    <w:p w14:paraId="2F985D64">
      <w:pPr>
        <w:spacing w:line="360" w:lineRule="auto"/>
        <w:rPr>
          <w:rFonts w:hint="eastAsia" w:ascii="宋体" w:hAnsi="宋体"/>
        </w:rPr>
      </w:pPr>
    </w:p>
    <w:p w14:paraId="70006883">
      <w:pPr>
        <w:spacing w:line="360" w:lineRule="auto"/>
        <w:rPr>
          <w:rFonts w:hint="eastAsia" w:ascii="宋体" w:hAnsi="宋体"/>
        </w:rPr>
      </w:pPr>
    </w:p>
    <w:p w14:paraId="2C49092A">
      <w:pPr>
        <w:spacing w:line="360" w:lineRule="auto"/>
        <w:rPr>
          <w:rFonts w:hint="eastAsia" w:ascii="宋体" w:hAnsi="宋体"/>
        </w:rPr>
      </w:pPr>
    </w:p>
    <w:p w14:paraId="48A9AEA8">
      <w:pPr>
        <w:spacing w:line="360" w:lineRule="auto"/>
        <w:rPr>
          <w:rFonts w:hint="eastAsia" w:ascii="宋体" w:hAnsi="宋体"/>
        </w:rPr>
      </w:pPr>
    </w:p>
    <w:p w14:paraId="059ACA69">
      <w:pPr>
        <w:spacing w:line="360" w:lineRule="auto"/>
        <w:rPr>
          <w:rFonts w:hint="eastAsia" w:ascii="宋体" w:hAnsi="宋体"/>
        </w:rPr>
      </w:pPr>
    </w:p>
    <w:p w14:paraId="3635B99B">
      <w:pPr>
        <w:spacing w:line="360" w:lineRule="auto"/>
        <w:rPr>
          <w:rFonts w:hint="eastAsia" w:ascii="宋体" w:hAnsi="宋体"/>
        </w:rPr>
      </w:pPr>
    </w:p>
    <w:p w14:paraId="0C884F1A">
      <w:pPr>
        <w:spacing w:line="360" w:lineRule="auto"/>
        <w:rPr>
          <w:rFonts w:hint="eastAsia" w:ascii="宋体" w:hAnsi="宋体"/>
        </w:rPr>
      </w:pPr>
    </w:p>
    <w:p w14:paraId="255727BA">
      <w:pPr>
        <w:spacing w:line="360" w:lineRule="auto"/>
        <w:rPr>
          <w:rFonts w:hint="eastAsia" w:ascii="宋体" w:hAnsi="宋体"/>
        </w:rPr>
      </w:pPr>
    </w:p>
    <w:p w14:paraId="33D0FBDB">
      <w:pPr>
        <w:spacing w:line="360" w:lineRule="auto"/>
        <w:rPr>
          <w:rFonts w:hint="eastAsia" w:ascii="宋体" w:hAnsi="宋体"/>
        </w:rPr>
      </w:pPr>
    </w:p>
    <w:p w14:paraId="1719E363">
      <w:pPr>
        <w:spacing w:line="360" w:lineRule="auto"/>
        <w:rPr>
          <w:rFonts w:hint="eastAsia" w:ascii="宋体" w:hAnsi="宋体"/>
        </w:rPr>
      </w:pPr>
    </w:p>
    <w:p w14:paraId="25CA62C0">
      <w:pPr>
        <w:spacing w:line="360" w:lineRule="auto"/>
        <w:rPr>
          <w:rFonts w:hint="eastAsia" w:ascii="宋体" w:hAnsi="宋体"/>
        </w:rPr>
      </w:pPr>
    </w:p>
    <w:p w14:paraId="1141A0E9">
      <w:pPr>
        <w:spacing w:line="360" w:lineRule="auto"/>
        <w:rPr>
          <w:rFonts w:hint="eastAsia" w:ascii="宋体" w:hAnsi="宋体"/>
        </w:rPr>
      </w:pPr>
    </w:p>
    <w:p w14:paraId="43702576">
      <w:pPr>
        <w:spacing w:line="360" w:lineRule="auto"/>
        <w:rPr>
          <w:rFonts w:hint="eastAsia" w:ascii="宋体" w:hAnsi="宋体"/>
        </w:rPr>
      </w:pPr>
    </w:p>
    <w:p w14:paraId="6023F579">
      <w:pPr>
        <w:spacing w:line="360" w:lineRule="auto"/>
        <w:rPr>
          <w:rFonts w:hint="eastAsia" w:ascii="宋体" w:hAnsi="宋体"/>
        </w:rPr>
      </w:pPr>
    </w:p>
    <w:p w14:paraId="30880D89">
      <w:pPr>
        <w:spacing w:line="360" w:lineRule="auto"/>
        <w:rPr>
          <w:rFonts w:hint="eastAsia" w:ascii="宋体" w:hAnsi="宋体"/>
        </w:rPr>
      </w:pPr>
    </w:p>
    <w:p w14:paraId="5AB864C7">
      <w:pPr>
        <w:spacing w:line="360" w:lineRule="auto"/>
        <w:rPr>
          <w:rFonts w:hint="eastAsia" w:ascii="宋体" w:hAnsi="宋体"/>
        </w:rPr>
      </w:pPr>
    </w:p>
    <w:p w14:paraId="1653E532">
      <w:pPr>
        <w:spacing w:line="360" w:lineRule="auto"/>
        <w:rPr>
          <w:rFonts w:hint="eastAsia" w:ascii="宋体" w:hAnsi="宋体"/>
        </w:rPr>
      </w:pPr>
    </w:p>
    <w:p w14:paraId="525D4709">
      <w:pPr>
        <w:spacing w:line="360" w:lineRule="auto"/>
        <w:rPr>
          <w:rFonts w:hint="eastAsia" w:ascii="宋体" w:hAnsi="宋体"/>
        </w:rPr>
      </w:pPr>
    </w:p>
    <w:p w14:paraId="33E96864">
      <w:pPr>
        <w:spacing w:line="360" w:lineRule="auto"/>
        <w:rPr>
          <w:rFonts w:hint="eastAsia" w:ascii="宋体" w:hAnsi="宋体"/>
        </w:rPr>
      </w:pPr>
    </w:p>
    <w:p w14:paraId="1284EAD3">
      <w:pPr>
        <w:spacing w:line="560" w:lineRule="exact"/>
        <w:rPr>
          <w:rFonts w:ascii="宋体" w:hAnsi="宋体"/>
          <w:color w:val="auto"/>
          <w:szCs w:val="24"/>
        </w:rPr>
        <w:sectPr>
          <w:pgSz w:w="11906" w:h="16838"/>
          <w:pgMar w:top="1440" w:right="1080" w:bottom="1440" w:left="1080" w:header="851" w:footer="992" w:gutter="0"/>
          <w:pgNumType w:fmt="decimal"/>
          <w:cols w:space="720" w:num="1"/>
          <w:titlePg/>
          <w:docGrid w:type="lines" w:linePitch="286" w:charSpace="0"/>
        </w:sectPr>
      </w:pPr>
    </w:p>
    <w:p w14:paraId="1FE15C64">
      <w:pPr>
        <w:spacing w:line="360" w:lineRule="auto"/>
        <w:jc w:val="center"/>
        <w:rPr>
          <w:rFonts w:hint="eastAsia" w:ascii="宋体" w:hAnsi="宋体"/>
          <w:color w:val="auto"/>
          <w:sz w:val="24"/>
          <w:szCs w:val="24"/>
        </w:rPr>
      </w:pPr>
      <w:r>
        <w:rPr>
          <w:rFonts w:hint="eastAsia" w:ascii="宋体" w:hAnsi="宋体" w:cs="宋体"/>
          <w:color w:val="auto"/>
          <w:kern w:val="0"/>
          <w:sz w:val="24"/>
          <w:szCs w:val="24"/>
          <w:lang w:eastAsia="zh-CN"/>
        </w:rPr>
        <w:t>磋商</w:t>
      </w:r>
      <w:r>
        <w:rPr>
          <w:rFonts w:hint="eastAsia" w:ascii="宋体" w:hAnsi="宋体"/>
          <w:color w:val="auto"/>
          <w:sz w:val="24"/>
          <w:szCs w:val="24"/>
        </w:rPr>
        <w:t>响应文件密封信封正面格式</w:t>
      </w:r>
    </w:p>
    <w:p w14:paraId="6FF764F7">
      <w:pPr>
        <w:spacing w:line="360" w:lineRule="auto"/>
        <w:jc w:val="center"/>
        <w:rPr>
          <w:rFonts w:hint="eastAsia" w:ascii="宋体" w:hAnsi="宋体"/>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5EE1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14:paraId="18B8143E">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14:paraId="0208208B">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p>
          <w:p w14:paraId="57534DB1">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14:paraId="1FF8469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包    号：</w:t>
            </w:r>
            <w:r>
              <w:rPr>
                <w:rFonts w:hint="eastAsia" w:ascii="宋体" w:hAnsi="宋体"/>
                <w:color w:val="auto"/>
                <w:sz w:val="24"/>
                <w:szCs w:val="24"/>
                <w:u w:val="single"/>
              </w:rPr>
              <w:t xml:space="preserve">                       </w:t>
            </w:r>
          </w:p>
          <w:p w14:paraId="55A3F3DB">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p>
          <w:p w14:paraId="646E26E8">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p>
          <w:p w14:paraId="57A54D16">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电话：</w:t>
            </w:r>
            <w:r>
              <w:rPr>
                <w:rFonts w:hint="eastAsia" w:ascii="宋体" w:hAnsi="宋体"/>
                <w:color w:val="auto"/>
                <w:sz w:val="24"/>
                <w:szCs w:val="24"/>
                <w:u w:val="single"/>
              </w:rPr>
              <w:t xml:space="preserve">                          </w:t>
            </w:r>
          </w:p>
          <w:p w14:paraId="78059EB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p>
        </w:tc>
      </w:tr>
    </w:tbl>
    <w:p w14:paraId="7E73CB87">
      <w:pPr>
        <w:spacing w:line="360" w:lineRule="auto"/>
        <w:rPr>
          <w:rFonts w:hint="eastAsia" w:ascii="宋体" w:hAnsi="宋体"/>
          <w:color w:val="auto"/>
          <w:sz w:val="24"/>
          <w:szCs w:val="24"/>
        </w:rPr>
      </w:pPr>
    </w:p>
    <w:p w14:paraId="45A89365">
      <w:pPr>
        <w:spacing w:line="360" w:lineRule="auto"/>
        <w:jc w:val="center"/>
        <w:rPr>
          <w:rFonts w:hint="eastAsia" w:ascii="宋体" w:hAnsi="宋体"/>
          <w:bCs/>
          <w:color w:val="auto"/>
          <w:sz w:val="24"/>
          <w:szCs w:val="24"/>
        </w:rPr>
      </w:pPr>
      <w:r>
        <w:rPr>
          <w:rFonts w:hint="eastAsia" w:ascii="宋体" w:hAnsi="宋体" w:cs="宋体"/>
          <w:color w:val="auto"/>
          <w:kern w:val="0"/>
          <w:sz w:val="24"/>
          <w:szCs w:val="24"/>
          <w:lang w:eastAsia="zh-CN"/>
        </w:rPr>
        <w:t>磋商</w:t>
      </w:r>
      <w:r>
        <w:rPr>
          <w:rFonts w:hint="eastAsia" w:ascii="宋体" w:hAnsi="宋体"/>
          <w:bCs/>
          <w:color w:val="auto"/>
          <w:sz w:val="24"/>
          <w:szCs w:val="24"/>
        </w:rPr>
        <w:t>响应文件密封信封封口格式</w:t>
      </w:r>
    </w:p>
    <w:p w14:paraId="1EF9525B">
      <w:pPr>
        <w:spacing w:line="360" w:lineRule="auto"/>
        <w:rPr>
          <w:rFonts w:hint="eastAsia" w:ascii="宋体" w:hAnsi="宋体"/>
          <w:bCs/>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47AA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14:paraId="22EFDB2D">
            <w:pPr>
              <w:spacing w:line="360" w:lineRule="auto"/>
              <w:rPr>
                <w:rFonts w:hint="eastAsia" w:ascii="宋体" w:hAnsi="宋体"/>
                <w:bCs/>
                <w:color w:val="auto"/>
                <w:sz w:val="24"/>
                <w:szCs w:val="24"/>
              </w:rPr>
            </w:pPr>
          </w:p>
          <w:p w14:paraId="544D361A">
            <w:pPr>
              <w:spacing w:line="360" w:lineRule="auto"/>
              <w:rPr>
                <w:rFonts w:hint="eastAsia" w:ascii="宋体" w:hAnsi="宋体"/>
                <w:bCs/>
                <w:color w:val="auto"/>
                <w:sz w:val="24"/>
                <w:szCs w:val="24"/>
              </w:rPr>
            </w:pPr>
          </w:p>
          <w:p w14:paraId="30BBBBB2">
            <w:pPr>
              <w:spacing w:line="360" w:lineRule="auto"/>
              <w:rPr>
                <w:rFonts w:hint="eastAsia" w:ascii="宋体" w:hAnsi="宋体"/>
                <w:bCs/>
                <w:color w:val="auto"/>
                <w:sz w:val="24"/>
                <w:szCs w:val="24"/>
              </w:rPr>
            </w:pPr>
          </w:p>
          <w:p w14:paraId="6D926AC5">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r>
              <w:rPr>
                <w:rFonts w:hint="eastAsia" w:ascii="宋体" w:hAnsi="宋体"/>
                <w:bCs/>
                <w:color w:val="auto"/>
                <w:sz w:val="24"/>
                <w:szCs w:val="24"/>
                <w:u w:val="single"/>
              </w:rPr>
              <w:t xml:space="preserve">    </w:t>
            </w:r>
            <w:r>
              <w:rPr>
                <w:rFonts w:hint="eastAsia" w:ascii="宋体" w:hAnsi="宋体"/>
                <w:bCs/>
                <w:color w:val="auto"/>
                <w:sz w:val="24"/>
                <w:szCs w:val="24"/>
              </w:rPr>
              <w:t>时</w:t>
            </w:r>
            <w:r>
              <w:rPr>
                <w:rFonts w:hint="eastAsia" w:ascii="宋体" w:hAnsi="宋体"/>
                <w:bCs/>
                <w:color w:val="auto"/>
                <w:sz w:val="24"/>
                <w:szCs w:val="24"/>
                <w:u w:val="single"/>
              </w:rPr>
              <w:t xml:space="preserve">   分</w:t>
            </w:r>
            <w:r>
              <w:rPr>
                <w:rFonts w:hint="eastAsia" w:ascii="宋体" w:hAnsi="宋体"/>
                <w:bCs/>
                <w:color w:val="auto"/>
                <w:sz w:val="24"/>
                <w:szCs w:val="24"/>
              </w:rPr>
              <w:t>前不准启封（</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r>
              <w:rPr>
                <w:rFonts w:hint="eastAsia" w:ascii="宋体" w:hAnsi="宋体"/>
                <w:bCs/>
                <w:color w:val="auto"/>
                <w:sz w:val="24"/>
                <w:szCs w:val="24"/>
              </w:rPr>
              <w:t>）……</w:t>
            </w:r>
          </w:p>
          <w:p w14:paraId="4170D68E">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14:paraId="5D210044">
            <w:pPr>
              <w:spacing w:line="360" w:lineRule="auto"/>
              <w:rPr>
                <w:rFonts w:hint="eastAsia" w:ascii="宋体" w:hAnsi="宋体"/>
                <w:bCs/>
                <w:color w:val="auto"/>
                <w:sz w:val="24"/>
                <w:szCs w:val="24"/>
              </w:rPr>
            </w:pPr>
          </w:p>
          <w:p w14:paraId="7CD11077">
            <w:pPr>
              <w:spacing w:line="360" w:lineRule="auto"/>
              <w:ind w:firstLine="3600" w:firstLineChars="1500"/>
              <w:rPr>
                <w:rFonts w:hint="eastAsia" w:ascii="宋体" w:hAnsi="宋体"/>
                <w:bCs/>
                <w:color w:val="auto"/>
                <w:sz w:val="24"/>
                <w:szCs w:val="24"/>
              </w:rPr>
            </w:pPr>
          </w:p>
          <w:p w14:paraId="47345CBC">
            <w:pPr>
              <w:spacing w:line="360" w:lineRule="auto"/>
              <w:ind w:firstLine="4200" w:firstLineChars="1750"/>
              <w:rPr>
                <w:rFonts w:hint="eastAsia" w:ascii="宋体" w:hAnsi="宋体"/>
                <w:bCs/>
                <w:color w:val="auto"/>
                <w:sz w:val="24"/>
                <w:szCs w:val="24"/>
              </w:rPr>
            </w:pPr>
            <w:r>
              <w:rPr>
                <w:rFonts w:hint="eastAsia" w:ascii="宋体" w:hAnsi="宋体"/>
                <w:bCs/>
                <w:color w:val="auto"/>
                <w:sz w:val="24"/>
                <w:szCs w:val="24"/>
              </w:rPr>
              <w:t>（封口处）</w:t>
            </w:r>
          </w:p>
          <w:p w14:paraId="1076AEBB">
            <w:pPr>
              <w:spacing w:line="360" w:lineRule="auto"/>
              <w:rPr>
                <w:rFonts w:hint="eastAsia" w:ascii="宋体" w:hAnsi="宋体"/>
                <w:bCs/>
                <w:color w:val="auto"/>
                <w:sz w:val="24"/>
                <w:szCs w:val="24"/>
              </w:rPr>
            </w:pPr>
          </w:p>
        </w:tc>
      </w:tr>
    </w:tbl>
    <w:p w14:paraId="0BDA09AF">
      <w:pPr>
        <w:rPr>
          <w:color w:val="auto"/>
        </w:rPr>
      </w:pPr>
    </w:p>
    <w:sectPr>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ED56">
    <w:pPr>
      <w:pStyle w:val="2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EFF3">
    <w:pPr>
      <w:pStyle w:val="25"/>
      <w:tabs>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14:paraId="7F6C9A32">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1312;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14:paraId="7F6C9A32">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869D0">
    <w:pPr>
      <w:pStyle w:val="2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5A3D0B5">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14:paraId="65A3D0B5">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4E94B">
    <w:pPr>
      <w:pStyle w:val="2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3324C">
                          <w:pPr>
                            <w:pStyle w:val="25"/>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53324C">
                    <w:pPr>
                      <w:pStyle w:val="25"/>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47FEE">
    <w:pPr>
      <w:pStyle w:val="25"/>
      <w:tabs>
        <w:tab w:val="center" w:pos="4535"/>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3D83B">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353D83B">
                    <w:pPr>
                      <w:pStyle w:val="2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BFD1">
    <w:pPr>
      <w:pStyle w:val="25"/>
      <w:framePr w:wrap="around" w:vAnchor="text" w:hAnchor="margin" w:xAlign="center" w:y="1"/>
      <w:rPr>
        <w:rStyle w:val="43"/>
      </w:rPr>
    </w:pPr>
    <w:r>
      <w:fldChar w:fldCharType="begin"/>
    </w:r>
    <w:r>
      <w:rPr>
        <w:rStyle w:val="43"/>
      </w:rPr>
      <w:instrText xml:space="preserve">PAGE  </w:instrText>
    </w:r>
    <w:r>
      <w:fldChar w:fldCharType="end"/>
    </w:r>
  </w:p>
  <w:p w14:paraId="1B26ED8C">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F80D5">
    <w:pPr>
      <w:pStyle w:val="25"/>
      <w:tabs>
        <w:tab w:val="center" w:pos="4535"/>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1F2BDA">
                          <w:pPr>
                            <w:pStyle w:val="2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D1F2BDA">
                    <w:pPr>
                      <w:pStyle w:val="25"/>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2B7E">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83D23B">
                          <w:pPr>
                            <w:pStyle w:val="2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C83D23B">
                    <w:pPr>
                      <w:pStyle w:val="2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E8B8F">
    <w:pPr>
      <w:pStyle w:val="2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86C18">
                          <w:pPr>
                            <w:pStyle w:val="2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0486C18">
                    <w:pPr>
                      <w:pStyle w:val="2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4778E">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14:paraId="497DC54B">
                              <w:pPr>
                                <w:pStyle w:val="25"/>
                                <w:jc w:val="center"/>
                              </w:pPr>
                              <w:r>
                                <w:fldChar w:fldCharType="begin"/>
                              </w:r>
                              <w:r>
                                <w:instrText xml:space="preserve">PAGE   \* MERGEFORMAT</w:instrText>
                              </w:r>
                              <w:r>
                                <w:fldChar w:fldCharType="separate"/>
                              </w:r>
                              <w:r>
                                <w:rPr>
                                  <w:lang w:val="zh-CN"/>
                                </w:rPr>
                                <w:t>2</w:t>
                              </w:r>
                              <w:r>
                                <w:fldChar w:fldCharType="end"/>
                              </w:r>
                            </w:p>
                          </w:sdtContent>
                        </w:sdt>
                        <w:p w14:paraId="138C2855">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14:paraId="497DC54B">
                        <w:pPr>
                          <w:pStyle w:val="25"/>
                          <w:jc w:val="center"/>
                        </w:pPr>
                        <w:r>
                          <w:fldChar w:fldCharType="begin"/>
                        </w:r>
                        <w:r>
                          <w:instrText xml:space="preserve">PAGE   \* MERGEFORMAT</w:instrText>
                        </w:r>
                        <w:r>
                          <w:fldChar w:fldCharType="separate"/>
                        </w:r>
                        <w:r>
                          <w:rPr>
                            <w:lang w:val="zh-CN"/>
                          </w:rPr>
                          <w:t>2</w:t>
                        </w:r>
                        <w:r>
                          <w:fldChar w:fldCharType="end"/>
                        </w:r>
                      </w:p>
                    </w:sdtContent>
                  </w:sdt>
                  <w:p w14:paraId="138C2855">
                    <w:pPr>
                      <w:pStyle w:val="10"/>
                    </w:pPr>
                  </w:p>
                </w:txbxContent>
              </v:textbox>
            </v:shape>
          </w:pict>
        </mc:Fallback>
      </mc:AlternateContent>
    </w:r>
  </w:p>
  <w:p w14:paraId="522281CE">
    <w:pPr>
      <w:pStyle w:val="2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FE591">
    <w:pPr>
      <w:pStyle w:val="2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BC24">
    <w:pPr>
      <w:widowControl/>
      <w:shd w:val="clear" w:color="auto" w:fill="FFFFFF"/>
      <w:spacing w:line="560" w:lineRule="exact"/>
      <w:rPr>
        <w:rFonts w:ascii="宋体" w:hAnsi="宋体" w:cs="宋体"/>
        <w:kern w:val="0"/>
        <w:szCs w:val="21"/>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FDEC0">
    <w:pPr>
      <w:pStyle w:val="2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77E0">
    <w:pPr>
      <w:pStyle w:val="26"/>
      <w:pBdr>
        <w:bottom w:val="none" w:color="auto" w:sz="0" w:space="0"/>
      </w:pBdr>
      <w:wordWrap w:val="0"/>
      <w:rPr>
        <w:b/>
        <w:bCs/>
        <w:i/>
        <w:w w:val="90"/>
        <w:sz w:val="21"/>
        <w:szCs w:val="21"/>
      </w:rPr>
    </w:pPr>
    <w:r>
      <w:rPr>
        <w:rFonts w:hint="eastAsia"/>
        <w:bCs/>
        <w:w w:val="90"/>
        <w:sz w:val="21"/>
        <w:szCs w:val="21"/>
      </w:rPr>
      <w:t xml:space="preserve">             </w:t>
    </w:r>
    <w:r>
      <w:rPr>
        <w:rFonts w:hint="eastAsia"/>
        <w:bCs/>
        <w:i/>
        <w:w w:val="90"/>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51FF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F36F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6E8D0">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9CA18"/>
    <w:multiLevelType w:val="singleLevel"/>
    <w:tmpl w:val="E259CA18"/>
    <w:lvl w:ilvl="0" w:tentative="0">
      <w:start w:val="22"/>
      <w:numFmt w:val="decimal"/>
      <w:lvlText w:val="%1."/>
      <w:lvlJc w:val="left"/>
      <w:pPr>
        <w:tabs>
          <w:tab w:val="left" w:pos="312"/>
        </w:tabs>
      </w:pPr>
    </w:lvl>
  </w:abstractNum>
  <w:abstractNum w:abstractNumId="1">
    <w:nsid w:val="36354543"/>
    <w:multiLevelType w:val="singleLevel"/>
    <w:tmpl w:val="36354543"/>
    <w:lvl w:ilvl="0" w:tentative="0">
      <w:start w:val="4"/>
      <w:numFmt w:val="chineseCounting"/>
      <w:suff w:val="nothing"/>
      <w:lvlText w:val="%1、"/>
      <w:lvlJc w:val="left"/>
      <w:rPr>
        <w:rFonts w:hint="eastAsia"/>
      </w:rPr>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abstractNum w:abstractNumId="3">
    <w:nsid w:val="6ED330DB"/>
    <w:multiLevelType w:val="singleLevel"/>
    <w:tmpl w:val="6ED330DB"/>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NzA2Yzg5NjRkYTBjNmFmYTM1MDlhMzg5MzBkYzgifQ=="/>
  </w:docVars>
  <w:rsids>
    <w:rsidRoot w:val="00172A27"/>
    <w:rsid w:val="00001496"/>
    <w:rsid w:val="00002202"/>
    <w:rsid w:val="000115A0"/>
    <w:rsid w:val="000318E3"/>
    <w:rsid w:val="00037EFF"/>
    <w:rsid w:val="00046BAA"/>
    <w:rsid w:val="0005083D"/>
    <w:rsid w:val="00056405"/>
    <w:rsid w:val="000765FC"/>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7EB"/>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223C"/>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76409"/>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9E15FA"/>
    <w:rsid w:val="01C04E49"/>
    <w:rsid w:val="01C56903"/>
    <w:rsid w:val="01E5130F"/>
    <w:rsid w:val="022E6ED6"/>
    <w:rsid w:val="024418C5"/>
    <w:rsid w:val="02775E4F"/>
    <w:rsid w:val="02806B76"/>
    <w:rsid w:val="029F53A6"/>
    <w:rsid w:val="02D011EF"/>
    <w:rsid w:val="030F7337"/>
    <w:rsid w:val="032E62D5"/>
    <w:rsid w:val="03333D73"/>
    <w:rsid w:val="034A70C0"/>
    <w:rsid w:val="03567E64"/>
    <w:rsid w:val="039558ED"/>
    <w:rsid w:val="03D8291E"/>
    <w:rsid w:val="03F82FC0"/>
    <w:rsid w:val="03F84D6E"/>
    <w:rsid w:val="03F95AF2"/>
    <w:rsid w:val="040A2CF3"/>
    <w:rsid w:val="042B7EE6"/>
    <w:rsid w:val="04605389"/>
    <w:rsid w:val="04763EE5"/>
    <w:rsid w:val="04B055CA"/>
    <w:rsid w:val="04D255BF"/>
    <w:rsid w:val="04E84D70"/>
    <w:rsid w:val="04FE1B34"/>
    <w:rsid w:val="0530678A"/>
    <w:rsid w:val="056800F4"/>
    <w:rsid w:val="057559BC"/>
    <w:rsid w:val="0599432F"/>
    <w:rsid w:val="05FE23E4"/>
    <w:rsid w:val="061061E5"/>
    <w:rsid w:val="064847BE"/>
    <w:rsid w:val="065937C6"/>
    <w:rsid w:val="068F04F2"/>
    <w:rsid w:val="07024983"/>
    <w:rsid w:val="076D1F31"/>
    <w:rsid w:val="079F3753"/>
    <w:rsid w:val="082A74C0"/>
    <w:rsid w:val="083C60EB"/>
    <w:rsid w:val="085602B5"/>
    <w:rsid w:val="08707E74"/>
    <w:rsid w:val="09276FF5"/>
    <w:rsid w:val="099E1F14"/>
    <w:rsid w:val="0A1B5234"/>
    <w:rsid w:val="0A7E23AD"/>
    <w:rsid w:val="0AAE262A"/>
    <w:rsid w:val="0B612FC8"/>
    <w:rsid w:val="0BA0659B"/>
    <w:rsid w:val="0BE935F9"/>
    <w:rsid w:val="0C24351A"/>
    <w:rsid w:val="0C2A3A44"/>
    <w:rsid w:val="0C5F1A85"/>
    <w:rsid w:val="0C6076EF"/>
    <w:rsid w:val="0C665AC7"/>
    <w:rsid w:val="0C727ABA"/>
    <w:rsid w:val="0C88710A"/>
    <w:rsid w:val="0CBE28CD"/>
    <w:rsid w:val="0CD10361"/>
    <w:rsid w:val="0CD30126"/>
    <w:rsid w:val="0CD63DCD"/>
    <w:rsid w:val="0D29380C"/>
    <w:rsid w:val="0D52243E"/>
    <w:rsid w:val="0D5501D9"/>
    <w:rsid w:val="0DCC686B"/>
    <w:rsid w:val="0DDA0A0F"/>
    <w:rsid w:val="0DDE3227"/>
    <w:rsid w:val="0E0D58BA"/>
    <w:rsid w:val="0E172295"/>
    <w:rsid w:val="0E530B10"/>
    <w:rsid w:val="0E635A20"/>
    <w:rsid w:val="0EE10C23"/>
    <w:rsid w:val="0F256C33"/>
    <w:rsid w:val="0F647518"/>
    <w:rsid w:val="0F856841"/>
    <w:rsid w:val="0FE5157E"/>
    <w:rsid w:val="10054FA8"/>
    <w:rsid w:val="102E38C6"/>
    <w:rsid w:val="10865ABA"/>
    <w:rsid w:val="10AC68EA"/>
    <w:rsid w:val="10C304B2"/>
    <w:rsid w:val="10CB7366"/>
    <w:rsid w:val="10E802AE"/>
    <w:rsid w:val="10EF014E"/>
    <w:rsid w:val="11204641"/>
    <w:rsid w:val="112A6783"/>
    <w:rsid w:val="11A357F2"/>
    <w:rsid w:val="11AC7198"/>
    <w:rsid w:val="124F64A1"/>
    <w:rsid w:val="12580C2B"/>
    <w:rsid w:val="126D6927"/>
    <w:rsid w:val="127961AB"/>
    <w:rsid w:val="12A367ED"/>
    <w:rsid w:val="12D22707"/>
    <w:rsid w:val="12F40DC0"/>
    <w:rsid w:val="1301085A"/>
    <w:rsid w:val="13036299"/>
    <w:rsid w:val="134F18E7"/>
    <w:rsid w:val="136046DE"/>
    <w:rsid w:val="136D7BB8"/>
    <w:rsid w:val="13767D8B"/>
    <w:rsid w:val="13A84EB1"/>
    <w:rsid w:val="13B04414"/>
    <w:rsid w:val="13BA0A3C"/>
    <w:rsid w:val="14060496"/>
    <w:rsid w:val="143B5416"/>
    <w:rsid w:val="14493297"/>
    <w:rsid w:val="14562094"/>
    <w:rsid w:val="14825BBF"/>
    <w:rsid w:val="14BD6CF8"/>
    <w:rsid w:val="14C15E5F"/>
    <w:rsid w:val="14CA068E"/>
    <w:rsid w:val="14D346B7"/>
    <w:rsid w:val="14E10453"/>
    <w:rsid w:val="1509626B"/>
    <w:rsid w:val="150F3CC6"/>
    <w:rsid w:val="151D729A"/>
    <w:rsid w:val="152D05F0"/>
    <w:rsid w:val="152D61E3"/>
    <w:rsid w:val="158D3597"/>
    <w:rsid w:val="159B7C4F"/>
    <w:rsid w:val="15D96741"/>
    <w:rsid w:val="15F31839"/>
    <w:rsid w:val="160937DE"/>
    <w:rsid w:val="1666200B"/>
    <w:rsid w:val="168F6955"/>
    <w:rsid w:val="16D25540"/>
    <w:rsid w:val="16F2389F"/>
    <w:rsid w:val="17525EE6"/>
    <w:rsid w:val="17A50911"/>
    <w:rsid w:val="17A728DB"/>
    <w:rsid w:val="17AC1CA0"/>
    <w:rsid w:val="17AF79E2"/>
    <w:rsid w:val="17BF5E77"/>
    <w:rsid w:val="17C80719"/>
    <w:rsid w:val="180050FE"/>
    <w:rsid w:val="189919B7"/>
    <w:rsid w:val="18F0565A"/>
    <w:rsid w:val="18F16CB3"/>
    <w:rsid w:val="18FB47B8"/>
    <w:rsid w:val="191504FB"/>
    <w:rsid w:val="194E081D"/>
    <w:rsid w:val="195919B3"/>
    <w:rsid w:val="19765977"/>
    <w:rsid w:val="19975305"/>
    <w:rsid w:val="19DB2EEA"/>
    <w:rsid w:val="1A07652D"/>
    <w:rsid w:val="1A0B293A"/>
    <w:rsid w:val="1A200269"/>
    <w:rsid w:val="1A5F2610"/>
    <w:rsid w:val="1A813044"/>
    <w:rsid w:val="1AB07CF9"/>
    <w:rsid w:val="1AD17A45"/>
    <w:rsid w:val="1B332CB8"/>
    <w:rsid w:val="1B4B27A6"/>
    <w:rsid w:val="1B5340FA"/>
    <w:rsid w:val="1B544878"/>
    <w:rsid w:val="1B593EEC"/>
    <w:rsid w:val="1B8236BA"/>
    <w:rsid w:val="1BBE01F3"/>
    <w:rsid w:val="1BC2301B"/>
    <w:rsid w:val="1C090454"/>
    <w:rsid w:val="1C2E5379"/>
    <w:rsid w:val="1C5B380D"/>
    <w:rsid w:val="1C750501"/>
    <w:rsid w:val="1C924681"/>
    <w:rsid w:val="1CB84297"/>
    <w:rsid w:val="1CCE593E"/>
    <w:rsid w:val="1D183933"/>
    <w:rsid w:val="1D271DC8"/>
    <w:rsid w:val="1DE2466D"/>
    <w:rsid w:val="1E040786"/>
    <w:rsid w:val="1E430E84"/>
    <w:rsid w:val="1E737A66"/>
    <w:rsid w:val="1EEC5078"/>
    <w:rsid w:val="1F1076B4"/>
    <w:rsid w:val="1F3D35AB"/>
    <w:rsid w:val="1F3E3BDF"/>
    <w:rsid w:val="1F48203A"/>
    <w:rsid w:val="1F883474"/>
    <w:rsid w:val="1FA21CAE"/>
    <w:rsid w:val="1FAD782F"/>
    <w:rsid w:val="1FE62B6D"/>
    <w:rsid w:val="1FFE56B3"/>
    <w:rsid w:val="202109D2"/>
    <w:rsid w:val="20247B33"/>
    <w:rsid w:val="204C132C"/>
    <w:rsid w:val="2068152D"/>
    <w:rsid w:val="20820AF5"/>
    <w:rsid w:val="209239FD"/>
    <w:rsid w:val="209C689A"/>
    <w:rsid w:val="21093654"/>
    <w:rsid w:val="21B376AD"/>
    <w:rsid w:val="21F77E20"/>
    <w:rsid w:val="223645D8"/>
    <w:rsid w:val="229879F0"/>
    <w:rsid w:val="22C03E97"/>
    <w:rsid w:val="22CF718A"/>
    <w:rsid w:val="231D4366"/>
    <w:rsid w:val="231E09D8"/>
    <w:rsid w:val="232264E9"/>
    <w:rsid w:val="232748D0"/>
    <w:rsid w:val="23553414"/>
    <w:rsid w:val="239D608F"/>
    <w:rsid w:val="23A67EEB"/>
    <w:rsid w:val="23BE3486"/>
    <w:rsid w:val="24BC2045"/>
    <w:rsid w:val="24C474C9"/>
    <w:rsid w:val="24CE38C9"/>
    <w:rsid w:val="24CF3471"/>
    <w:rsid w:val="24E33BFF"/>
    <w:rsid w:val="25355402"/>
    <w:rsid w:val="255227E4"/>
    <w:rsid w:val="256C2A6E"/>
    <w:rsid w:val="25A22934"/>
    <w:rsid w:val="25D15E45"/>
    <w:rsid w:val="25D9247A"/>
    <w:rsid w:val="26451DBB"/>
    <w:rsid w:val="26C568DA"/>
    <w:rsid w:val="26D24163"/>
    <w:rsid w:val="26D5059B"/>
    <w:rsid w:val="26D818A9"/>
    <w:rsid w:val="27103633"/>
    <w:rsid w:val="273D0B66"/>
    <w:rsid w:val="27461ED6"/>
    <w:rsid w:val="27791B20"/>
    <w:rsid w:val="27916521"/>
    <w:rsid w:val="279B2A28"/>
    <w:rsid w:val="27C6027A"/>
    <w:rsid w:val="28441A80"/>
    <w:rsid w:val="28E8466A"/>
    <w:rsid w:val="290C5E08"/>
    <w:rsid w:val="29945D79"/>
    <w:rsid w:val="29997CC5"/>
    <w:rsid w:val="29AC7A30"/>
    <w:rsid w:val="29C130D3"/>
    <w:rsid w:val="2A080115"/>
    <w:rsid w:val="2A5306A1"/>
    <w:rsid w:val="2A6C1915"/>
    <w:rsid w:val="2A762340"/>
    <w:rsid w:val="2A810E15"/>
    <w:rsid w:val="2A986A3E"/>
    <w:rsid w:val="2AC86999"/>
    <w:rsid w:val="2B4F2E3B"/>
    <w:rsid w:val="2B7B0043"/>
    <w:rsid w:val="2BDF043E"/>
    <w:rsid w:val="2BEE242F"/>
    <w:rsid w:val="2C040291"/>
    <w:rsid w:val="2C191F5E"/>
    <w:rsid w:val="2C26606D"/>
    <w:rsid w:val="2C372039"/>
    <w:rsid w:val="2C3B686F"/>
    <w:rsid w:val="2C4A6A18"/>
    <w:rsid w:val="2C673F8F"/>
    <w:rsid w:val="2C6B7F24"/>
    <w:rsid w:val="2C8B1087"/>
    <w:rsid w:val="2CD47877"/>
    <w:rsid w:val="2CDE24A4"/>
    <w:rsid w:val="2CF73565"/>
    <w:rsid w:val="2D26209C"/>
    <w:rsid w:val="2DCA5DCE"/>
    <w:rsid w:val="2DE7182C"/>
    <w:rsid w:val="2E032D5E"/>
    <w:rsid w:val="2E104B78"/>
    <w:rsid w:val="2E177139"/>
    <w:rsid w:val="2E461810"/>
    <w:rsid w:val="2E4F2F2D"/>
    <w:rsid w:val="2EA56E79"/>
    <w:rsid w:val="2EC102CF"/>
    <w:rsid w:val="2EFA4B83"/>
    <w:rsid w:val="2F44231D"/>
    <w:rsid w:val="2F921775"/>
    <w:rsid w:val="2FA33530"/>
    <w:rsid w:val="300B1B55"/>
    <w:rsid w:val="300C27FE"/>
    <w:rsid w:val="30455EAC"/>
    <w:rsid w:val="31244B45"/>
    <w:rsid w:val="31344570"/>
    <w:rsid w:val="313A6116"/>
    <w:rsid w:val="3143321D"/>
    <w:rsid w:val="31BC6B2B"/>
    <w:rsid w:val="321112EA"/>
    <w:rsid w:val="32747D62"/>
    <w:rsid w:val="32AC3044"/>
    <w:rsid w:val="32B06230"/>
    <w:rsid w:val="32F04CDF"/>
    <w:rsid w:val="32FB3683"/>
    <w:rsid w:val="331B50EC"/>
    <w:rsid w:val="3344327C"/>
    <w:rsid w:val="33E721A0"/>
    <w:rsid w:val="34220587"/>
    <w:rsid w:val="344A2B14"/>
    <w:rsid w:val="34B234AB"/>
    <w:rsid w:val="34BA1A48"/>
    <w:rsid w:val="34EB7E53"/>
    <w:rsid w:val="34F4322C"/>
    <w:rsid w:val="350606FD"/>
    <w:rsid w:val="3511416E"/>
    <w:rsid w:val="353E4427"/>
    <w:rsid w:val="35C93186"/>
    <w:rsid w:val="3606477F"/>
    <w:rsid w:val="363043CC"/>
    <w:rsid w:val="3663145F"/>
    <w:rsid w:val="36E27034"/>
    <w:rsid w:val="370E7E29"/>
    <w:rsid w:val="375B3D1D"/>
    <w:rsid w:val="37DB37D6"/>
    <w:rsid w:val="382A2DCE"/>
    <w:rsid w:val="384D672F"/>
    <w:rsid w:val="38537B36"/>
    <w:rsid w:val="385E093C"/>
    <w:rsid w:val="38650971"/>
    <w:rsid w:val="39310544"/>
    <w:rsid w:val="39406294"/>
    <w:rsid w:val="39496958"/>
    <w:rsid w:val="397F500E"/>
    <w:rsid w:val="398919E9"/>
    <w:rsid w:val="39970508"/>
    <w:rsid w:val="39BE5599"/>
    <w:rsid w:val="3A146373"/>
    <w:rsid w:val="3A6C0780"/>
    <w:rsid w:val="3A92742B"/>
    <w:rsid w:val="3A953785"/>
    <w:rsid w:val="3AE12C2D"/>
    <w:rsid w:val="3AF37A62"/>
    <w:rsid w:val="3B061570"/>
    <w:rsid w:val="3B295232"/>
    <w:rsid w:val="3B410038"/>
    <w:rsid w:val="3B4B5394"/>
    <w:rsid w:val="3B754759"/>
    <w:rsid w:val="3B7F4DD8"/>
    <w:rsid w:val="3B914B86"/>
    <w:rsid w:val="3BA27ACD"/>
    <w:rsid w:val="3BA27F3E"/>
    <w:rsid w:val="3C324A97"/>
    <w:rsid w:val="3C4271A8"/>
    <w:rsid w:val="3C5D383C"/>
    <w:rsid w:val="3C5D3E50"/>
    <w:rsid w:val="3C9D5BCB"/>
    <w:rsid w:val="3CDD2778"/>
    <w:rsid w:val="3D015D3A"/>
    <w:rsid w:val="3D052D66"/>
    <w:rsid w:val="3D207DC0"/>
    <w:rsid w:val="3D8C5F4C"/>
    <w:rsid w:val="3DA83EFA"/>
    <w:rsid w:val="3E616E13"/>
    <w:rsid w:val="3EB5661C"/>
    <w:rsid w:val="3EC87EDC"/>
    <w:rsid w:val="3EEC6A1B"/>
    <w:rsid w:val="3F040E29"/>
    <w:rsid w:val="3F1433ED"/>
    <w:rsid w:val="3F2A5A1C"/>
    <w:rsid w:val="3F323CB0"/>
    <w:rsid w:val="3F702F92"/>
    <w:rsid w:val="3F972B9F"/>
    <w:rsid w:val="3F9C49E9"/>
    <w:rsid w:val="3FB94B3D"/>
    <w:rsid w:val="3FD54206"/>
    <w:rsid w:val="3FD72405"/>
    <w:rsid w:val="403A31F7"/>
    <w:rsid w:val="40B70141"/>
    <w:rsid w:val="413A6ABB"/>
    <w:rsid w:val="41603A2E"/>
    <w:rsid w:val="41656898"/>
    <w:rsid w:val="41AF5482"/>
    <w:rsid w:val="41FB6721"/>
    <w:rsid w:val="42046C68"/>
    <w:rsid w:val="42DE4A51"/>
    <w:rsid w:val="4332119D"/>
    <w:rsid w:val="434864E2"/>
    <w:rsid w:val="438B2456"/>
    <w:rsid w:val="439873F8"/>
    <w:rsid w:val="43D56439"/>
    <w:rsid w:val="43F26D23"/>
    <w:rsid w:val="4436276D"/>
    <w:rsid w:val="443D75E3"/>
    <w:rsid w:val="443D7EE2"/>
    <w:rsid w:val="44676DCB"/>
    <w:rsid w:val="446E7B78"/>
    <w:rsid w:val="4471488C"/>
    <w:rsid w:val="449D27EC"/>
    <w:rsid w:val="44D22496"/>
    <w:rsid w:val="44DF4BB3"/>
    <w:rsid w:val="451B7A9E"/>
    <w:rsid w:val="45410E18"/>
    <w:rsid w:val="45BC6EF2"/>
    <w:rsid w:val="45DF7DD0"/>
    <w:rsid w:val="4626062E"/>
    <w:rsid w:val="46CA5828"/>
    <w:rsid w:val="472509C6"/>
    <w:rsid w:val="474A4216"/>
    <w:rsid w:val="478B1E23"/>
    <w:rsid w:val="47B53958"/>
    <w:rsid w:val="480F1C53"/>
    <w:rsid w:val="481855B1"/>
    <w:rsid w:val="481A3696"/>
    <w:rsid w:val="4922622C"/>
    <w:rsid w:val="496C529A"/>
    <w:rsid w:val="497003A2"/>
    <w:rsid w:val="49BC6688"/>
    <w:rsid w:val="49F7474D"/>
    <w:rsid w:val="4A2D5CBA"/>
    <w:rsid w:val="4A727F0E"/>
    <w:rsid w:val="4A851654"/>
    <w:rsid w:val="4AAB79E7"/>
    <w:rsid w:val="4AD20BCB"/>
    <w:rsid w:val="4AF51685"/>
    <w:rsid w:val="4AF616DD"/>
    <w:rsid w:val="4B470965"/>
    <w:rsid w:val="4B550211"/>
    <w:rsid w:val="4B637C0F"/>
    <w:rsid w:val="4B70165E"/>
    <w:rsid w:val="4B75001F"/>
    <w:rsid w:val="4B860BDD"/>
    <w:rsid w:val="4C34144D"/>
    <w:rsid w:val="4C676045"/>
    <w:rsid w:val="4CC254E6"/>
    <w:rsid w:val="4CD2389B"/>
    <w:rsid w:val="4CD52B3A"/>
    <w:rsid w:val="4CEE3060"/>
    <w:rsid w:val="4CFE492A"/>
    <w:rsid w:val="4D425ABB"/>
    <w:rsid w:val="4D7A191D"/>
    <w:rsid w:val="4D926C66"/>
    <w:rsid w:val="4DC60A73"/>
    <w:rsid w:val="4DD77BBE"/>
    <w:rsid w:val="4DE11B7D"/>
    <w:rsid w:val="4E3F065B"/>
    <w:rsid w:val="4ECA7876"/>
    <w:rsid w:val="4EDE26B2"/>
    <w:rsid w:val="4F846A83"/>
    <w:rsid w:val="4F8A6F55"/>
    <w:rsid w:val="4FAE3B00"/>
    <w:rsid w:val="4FBC5295"/>
    <w:rsid w:val="4FFA40C6"/>
    <w:rsid w:val="500C47D7"/>
    <w:rsid w:val="504137C0"/>
    <w:rsid w:val="508E75C7"/>
    <w:rsid w:val="50EB7742"/>
    <w:rsid w:val="50EF2622"/>
    <w:rsid w:val="512C73D2"/>
    <w:rsid w:val="51792F7D"/>
    <w:rsid w:val="518615D6"/>
    <w:rsid w:val="51C97887"/>
    <w:rsid w:val="51D51447"/>
    <w:rsid w:val="51F0603B"/>
    <w:rsid w:val="5272350A"/>
    <w:rsid w:val="528A2602"/>
    <w:rsid w:val="529E1C09"/>
    <w:rsid w:val="52DE64AA"/>
    <w:rsid w:val="52EC3766"/>
    <w:rsid w:val="53171F82"/>
    <w:rsid w:val="533D17B3"/>
    <w:rsid w:val="53422DC2"/>
    <w:rsid w:val="53BE0110"/>
    <w:rsid w:val="54266B0F"/>
    <w:rsid w:val="545743A8"/>
    <w:rsid w:val="5482715A"/>
    <w:rsid w:val="54A37EEE"/>
    <w:rsid w:val="54C96B2C"/>
    <w:rsid w:val="5501034D"/>
    <w:rsid w:val="55442D10"/>
    <w:rsid w:val="554F0CA1"/>
    <w:rsid w:val="55861F85"/>
    <w:rsid w:val="559B2D78"/>
    <w:rsid w:val="559F6E56"/>
    <w:rsid w:val="5604091D"/>
    <w:rsid w:val="560C32E1"/>
    <w:rsid w:val="56325F75"/>
    <w:rsid w:val="56496330"/>
    <w:rsid w:val="56C109C9"/>
    <w:rsid w:val="56C1236A"/>
    <w:rsid w:val="56D44B7D"/>
    <w:rsid w:val="56F25234"/>
    <w:rsid w:val="5715473E"/>
    <w:rsid w:val="572528F9"/>
    <w:rsid w:val="57914155"/>
    <w:rsid w:val="57C65BAE"/>
    <w:rsid w:val="57DA6114"/>
    <w:rsid w:val="58070251"/>
    <w:rsid w:val="583A0626"/>
    <w:rsid w:val="58736890"/>
    <w:rsid w:val="58A91308"/>
    <w:rsid w:val="58B336C6"/>
    <w:rsid w:val="58D72319"/>
    <w:rsid w:val="59181005"/>
    <w:rsid w:val="591F6673"/>
    <w:rsid w:val="592A46E1"/>
    <w:rsid w:val="597E384D"/>
    <w:rsid w:val="5993342B"/>
    <w:rsid w:val="5994085A"/>
    <w:rsid w:val="59C04B5B"/>
    <w:rsid w:val="59C61F2F"/>
    <w:rsid w:val="59DE4FE1"/>
    <w:rsid w:val="5A2450EA"/>
    <w:rsid w:val="5A811902"/>
    <w:rsid w:val="5A903350"/>
    <w:rsid w:val="5A92474A"/>
    <w:rsid w:val="5B5872DB"/>
    <w:rsid w:val="5B8017FE"/>
    <w:rsid w:val="5B9D08B5"/>
    <w:rsid w:val="5BA25330"/>
    <w:rsid w:val="5BD1511E"/>
    <w:rsid w:val="5BE036DF"/>
    <w:rsid w:val="5C0B3B2B"/>
    <w:rsid w:val="5C4E05A1"/>
    <w:rsid w:val="5C5F1839"/>
    <w:rsid w:val="5CB5194F"/>
    <w:rsid w:val="5CD71A0A"/>
    <w:rsid w:val="5CF22818"/>
    <w:rsid w:val="5CFD6159"/>
    <w:rsid w:val="5D250B83"/>
    <w:rsid w:val="5D4C4DAB"/>
    <w:rsid w:val="5D8E0D0F"/>
    <w:rsid w:val="5E0A2761"/>
    <w:rsid w:val="5E8B0E48"/>
    <w:rsid w:val="5EE60DC2"/>
    <w:rsid w:val="5EE97FF1"/>
    <w:rsid w:val="5EFE61EB"/>
    <w:rsid w:val="5F092B01"/>
    <w:rsid w:val="5F5C4A79"/>
    <w:rsid w:val="5F7A2117"/>
    <w:rsid w:val="60161979"/>
    <w:rsid w:val="603040BD"/>
    <w:rsid w:val="60B86951"/>
    <w:rsid w:val="60C413D5"/>
    <w:rsid w:val="60D333C6"/>
    <w:rsid w:val="60EA02FE"/>
    <w:rsid w:val="60F15F42"/>
    <w:rsid w:val="61252E31"/>
    <w:rsid w:val="613A4786"/>
    <w:rsid w:val="61463CD9"/>
    <w:rsid w:val="614F5761"/>
    <w:rsid w:val="61772657"/>
    <w:rsid w:val="61942442"/>
    <w:rsid w:val="61F7246A"/>
    <w:rsid w:val="6200079A"/>
    <w:rsid w:val="620F48D2"/>
    <w:rsid w:val="62BC57C9"/>
    <w:rsid w:val="62E0001C"/>
    <w:rsid w:val="6315082E"/>
    <w:rsid w:val="632170F5"/>
    <w:rsid w:val="63314A1B"/>
    <w:rsid w:val="638A36D6"/>
    <w:rsid w:val="63A1494E"/>
    <w:rsid w:val="63A67F77"/>
    <w:rsid w:val="63C60C97"/>
    <w:rsid w:val="64663B6A"/>
    <w:rsid w:val="64666967"/>
    <w:rsid w:val="64925346"/>
    <w:rsid w:val="655B1BDC"/>
    <w:rsid w:val="65685219"/>
    <w:rsid w:val="65951AAE"/>
    <w:rsid w:val="65982E30"/>
    <w:rsid w:val="65C0487F"/>
    <w:rsid w:val="65EA7D0C"/>
    <w:rsid w:val="66120B98"/>
    <w:rsid w:val="667F1AEE"/>
    <w:rsid w:val="66A55805"/>
    <w:rsid w:val="66DB3793"/>
    <w:rsid w:val="66E07D38"/>
    <w:rsid w:val="66ED36D5"/>
    <w:rsid w:val="670723FC"/>
    <w:rsid w:val="672227C4"/>
    <w:rsid w:val="676254A4"/>
    <w:rsid w:val="67954F6E"/>
    <w:rsid w:val="67A93283"/>
    <w:rsid w:val="67F307F2"/>
    <w:rsid w:val="67F330AB"/>
    <w:rsid w:val="680B1697"/>
    <w:rsid w:val="682F0B41"/>
    <w:rsid w:val="683055A2"/>
    <w:rsid w:val="68847F10"/>
    <w:rsid w:val="68BB130F"/>
    <w:rsid w:val="68C301C4"/>
    <w:rsid w:val="68CA3301"/>
    <w:rsid w:val="68FB2328"/>
    <w:rsid w:val="691C1F18"/>
    <w:rsid w:val="69213601"/>
    <w:rsid w:val="692C3EF9"/>
    <w:rsid w:val="6A205AF9"/>
    <w:rsid w:val="6A30723E"/>
    <w:rsid w:val="6A9667FA"/>
    <w:rsid w:val="6ABE4125"/>
    <w:rsid w:val="6B054AC4"/>
    <w:rsid w:val="6B0D1EB5"/>
    <w:rsid w:val="6B422D37"/>
    <w:rsid w:val="6C1B3E73"/>
    <w:rsid w:val="6C3D3BF8"/>
    <w:rsid w:val="6C551158"/>
    <w:rsid w:val="6C7F5930"/>
    <w:rsid w:val="6C8A14E3"/>
    <w:rsid w:val="6C8E0AE9"/>
    <w:rsid w:val="6D746183"/>
    <w:rsid w:val="6DF42BCE"/>
    <w:rsid w:val="6E090B60"/>
    <w:rsid w:val="6E331D73"/>
    <w:rsid w:val="6E361220"/>
    <w:rsid w:val="6E3A0F94"/>
    <w:rsid w:val="6E656967"/>
    <w:rsid w:val="6E701D92"/>
    <w:rsid w:val="6E9B274D"/>
    <w:rsid w:val="6E9F0223"/>
    <w:rsid w:val="6EA01116"/>
    <w:rsid w:val="6EAF0AA9"/>
    <w:rsid w:val="6EB968C8"/>
    <w:rsid w:val="6F5F0599"/>
    <w:rsid w:val="6F601137"/>
    <w:rsid w:val="6F7E6554"/>
    <w:rsid w:val="6F9117CD"/>
    <w:rsid w:val="6F9D0A75"/>
    <w:rsid w:val="6FE90965"/>
    <w:rsid w:val="700F79D5"/>
    <w:rsid w:val="70B60CB2"/>
    <w:rsid w:val="71436346"/>
    <w:rsid w:val="71490852"/>
    <w:rsid w:val="71D56BD0"/>
    <w:rsid w:val="71E07AB4"/>
    <w:rsid w:val="721E4A97"/>
    <w:rsid w:val="72395053"/>
    <w:rsid w:val="72452668"/>
    <w:rsid w:val="726B5B54"/>
    <w:rsid w:val="7305535E"/>
    <w:rsid w:val="730862A0"/>
    <w:rsid w:val="731107FB"/>
    <w:rsid w:val="73316377"/>
    <w:rsid w:val="735132C1"/>
    <w:rsid w:val="73593BFF"/>
    <w:rsid w:val="73AB0A9F"/>
    <w:rsid w:val="74021DFF"/>
    <w:rsid w:val="740B53A5"/>
    <w:rsid w:val="741E120C"/>
    <w:rsid w:val="747458D7"/>
    <w:rsid w:val="747A1CEA"/>
    <w:rsid w:val="74A120DE"/>
    <w:rsid w:val="74AF2F5D"/>
    <w:rsid w:val="74B135C7"/>
    <w:rsid w:val="74D81899"/>
    <w:rsid w:val="75360521"/>
    <w:rsid w:val="75697554"/>
    <w:rsid w:val="759172D9"/>
    <w:rsid w:val="75F97E8B"/>
    <w:rsid w:val="76016CFA"/>
    <w:rsid w:val="765A667E"/>
    <w:rsid w:val="765B2D19"/>
    <w:rsid w:val="76F45FBE"/>
    <w:rsid w:val="76F77834"/>
    <w:rsid w:val="775C0B69"/>
    <w:rsid w:val="786C6182"/>
    <w:rsid w:val="786E3E8C"/>
    <w:rsid w:val="7894368C"/>
    <w:rsid w:val="789A1CB7"/>
    <w:rsid w:val="789C44F8"/>
    <w:rsid w:val="78F30652"/>
    <w:rsid w:val="792C6F50"/>
    <w:rsid w:val="79861A7E"/>
    <w:rsid w:val="799D05BD"/>
    <w:rsid w:val="79BF0534"/>
    <w:rsid w:val="79E507F1"/>
    <w:rsid w:val="79F4601C"/>
    <w:rsid w:val="79FA5822"/>
    <w:rsid w:val="79FA5CDF"/>
    <w:rsid w:val="7A0922E4"/>
    <w:rsid w:val="7A31700D"/>
    <w:rsid w:val="7A590988"/>
    <w:rsid w:val="7A95503E"/>
    <w:rsid w:val="7AB6477F"/>
    <w:rsid w:val="7AB67B89"/>
    <w:rsid w:val="7AC51B7A"/>
    <w:rsid w:val="7B03571E"/>
    <w:rsid w:val="7B166879"/>
    <w:rsid w:val="7B211412"/>
    <w:rsid w:val="7B352E44"/>
    <w:rsid w:val="7B7850B5"/>
    <w:rsid w:val="7BC657CB"/>
    <w:rsid w:val="7C3A6597"/>
    <w:rsid w:val="7C5337BC"/>
    <w:rsid w:val="7C773348"/>
    <w:rsid w:val="7CB41EA6"/>
    <w:rsid w:val="7CBC5715"/>
    <w:rsid w:val="7D222FEF"/>
    <w:rsid w:val="7D2304AB"/>
    <w:rsid w:val="7D287FEE"/>
    <w:rsid w:val="7D7653AD"/>
    <w:rsid w:val="7E8B642C"/>
    <w:rsid w:val="7EA57F21"/>
    <w:rsid w:val="7EB268B9"/>
    <w:rsid w:val="7ECC5996"/>
    <w:rsid w:val="7F0974E4"/>
    <w:rsid w:val="7F6D5063"/>
    <w:rsid w:val="7F9E21F8"/>
    <w:rsid w:val="7FA44126"/>
    <w:rsid w:val="7FAA5067"/>
    <w:rsid w:val="7FB040E1"/>
    <w:rsid w:val="7FCE14D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6"/>
    <w:qFormat/>
    <w:uiPriority w:val="0"/>
    <w:pPr>
      <w:keepNext/>
      <w:keepLines/>
      <w:spacing w:line="360" w:lineRule="auto"/>
      <w:outlineLvl w:val="2"/>
    </w:pPr>
    <w:rPr>
      <w:b/>
      <w:bCs/>
      <w:sz w:val="24"/>
      <w:szCs w:val="32"/>
    </w:rPr>
  </w:style>
  <w:style w:type="paragraph" w:styleId="5">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9"/>
    <w:qFormat/>
    <w:uiPriority w:val="0"/>
    <w:pPr>
      <w:keepNext/>
      <w:keepLines/>
      <w:spacing w:before="280" w:after="290" w:line="372" w:lineRule="auto"/>
      <w:outlineLvl w:val="4"/>
    </w:pPr>
    <w:rPr>
      <w:b/>
      <w:sz w:val="28"/>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1260"/>
      <w:jc w:val="left"/>
    </w:pPr>
    <w:rPr>
      <w:sz w:val="18"/>
      <w:szCs w:val="18"/>
    </w:rPr>
  </w:style>
  <w:style w:type="paragraph" w:styleId="8">
    <w:name w:val="Normal Indent"/>
    <w:basedOn w:val="1"/>
    <w:qFormat/>
    <w:uiPriority w:val="0"/>
    <w:pPr>
      <w:adjustRightInd w:val="0"/>
      <w:spacing w:line="360" w:lineRule="atLeast"/>
      <w:ind w:firstLine="420"/>
      <w:textAlignment w:val="baseline"/>
    </w:pPr>
    <w:rPr>
      <w:szCs w:val="20"/>
    </w:rPr>
  </w:style>
  <w:style w:type="paragraph" w:styleId="9">
    <w:name w:val="Document Map"/>
    <w:basedOn w:val="1"/>
    <w:link w:val="87"/>
    <w:qFormat/>
    <w:uiPriority w:val="0"/>
    <w:pPr>
      <w:shd w:val="clear" w:color="auto" w:fill="000080"/>
    </w:pPr>
  </w:style>
  <w:style w:type="paragraph" w:styleId="10">
    <w:name w:val="toa heading"/>
    <w:basedOn w:val="1"/>
    <w:next w:val="1"/>
    <w:qFormat/>
    <w:uiPriority w:val="0"/>
    <w:pPr>
      <w:spacing w:before="120"/>
    </w:pPr>
    <w:rPr>
      <w:rFonts w:ascii="Arial" w:hAnsi="Arial"/>
      <w:sz w:val="24"/>
      <w:szCs w:val="20"/>
    </w:rPr>
  </w:style>
  <w:style w:type="paragraph" w:styleId="11">
    <w:name w:val="annotation text"/>
    <w:basedOn w:val="1"/>
    <w:link w:val="65"/>
    <w:qFormat/>
    <w:uiPriority w:val="0"/>
    <w:pPr>
      <w:jc w:val="left"/>
    </w:pPr>
    <w:rPr>
      <w:rFonts w:asciiTheme="minorHAnsi" w:hAnsiTheme="minorHAnsi" w:cstheme="minorBidi"/>
    </w:rPr>
  </w:style>
  <w:style w:type="paragraph" w:styleId="12">
    <w:name w:val="Body Text 3"/>
    <w:basedOn w:val="1"/>
    <w:link w:val="67"/>
    <w:qFormat/>
    <w:uiPriority w:val="0"/>
    <w:pPr>
      <w:spacing w:after="120"/>
    </w:pPr>
    <w:rPr>
      <w:rFonts w:asciiTheme="minorHAnsi" w:hAnsiTheme="minorHAnsi" w:cstheme="minorBidi"/>
      <w:sz w:val="16"/>
      <w:szCs w:val="22"/>
    </w:rPr>
  </w:style>
  <w:style w:type="paragraph" w:styleId="13">
    <w:name w:val="Closing"/>
    <w:basedOn w:val="1"/>
    <w:link w:val="63"/>
    <w:qFormat/>
    <w:uiPriority w:val="0"/>
    <w:pPr>
      <w:ind w:left="100" w:leftChars="2100"/>
    </w:pPr>
    <w:rPr>
      <w:rFonts w:asciiTheme="minorHAnsi" w:hAnsiTheme="minorHAnsi" w:eastAsiaTheme="minorEastAsia" w:cstheme="minorBidi"/>
      <w:sz w:val="28"/>
      <w:szCs w:val="28"/>
    </w:rPr>
  </w:style>
  <w:style w:type="paragraph" w:styleId="14">
    <w:name w:val="Body Text"/>
    <w:basedOn w:val="1"/>
    <w:link w:val="61"/>
    <w:qFormat/>
    <w:uiPriority w:val="0"/>
    <w:rPr>
      <w:rFonts w:ascii="宋体" w:hAnsiTheme="minorHAnsi" w:cstheme="minorBidi"/>
      <w:sz w:val="32"/>
      <w:szCs w:val="22"/>
    </w:rPr>
  </w:style>
  <w:style w:type="paragraph" w:styleId="15">
    <w:name w:val="Body Text Indent"/>
    <w:basedOn w:val="1"/>
    <w:link w:val="68"/>
    <w:qFormat/>
    <w:uiPriority w:val="0"/>
    <w:pPr>
      <w:spacing w:after="120"/>
      <w:ind w:left="420" w:leftChars="200"/>
    </w:pPr>
    <w:rPr>
      <w:rFonts w:asciiTheme="minorHAnsi" w:hAnsiTheme="minorHAnsi" w:cstheme="minorBidi"/>
      <w:szCs w:val="22"/>
    </w:rPr>
  </w:style>
  <w:style w:type="paragraph" w:styleId="16">
    <w:name w:val="toc 5"/>
    <w:basedOn w:val="1"/>
    <w:next w:val="1"/>
    <w:semiHidden/>
    <w:qFormat/>
    <w:uiPriority w:val="0"/>
    <w:pPr>
      <w:ind w:left="840"/>
      <w:jc w:val="left"/>
    </w:pPr>
    <w:rPr>
      <w:sz w:val="18"/>
      <w:szCs w:val="18"/>
    </w:rPr>
  </w:style>
  <w:style w:type="paragraph" w:styleId="17">
    <w:name w:val="toc 3"/>
    <w:basedOn w:val="1"/>
    <w:next w:val="1"/>
    <w:semiHidden/>
    <w:qFormat/>
    <w:uiPriority w:val="0"/>
    <w:pPr>
      <w:ind w:left="420"/>
      <w:jc w:val="left"/>
    </w:pPr>
    <w:rPr>
      <w:i/>
      <w:iCs/>
      <w:sz w:val="20"/>
      <w:szCs w:val="20"/>
    </w:rPr>
  </w:style>
  <w:style w:type="paragraph" w:styleId="18">
    <w:name w:val="Plain Text"/>
    <w:basedOn w:val="1"/>
    <w:link w:val="64"/>
    <w:qFormat/>
    <w:uiPriority w:val="0"/>
    <w:pPr>
      <w:adjustRightInd w:val="0"/>
      <w:jc w:val="left"/>
      <w:textAlignment w:val="baseline"/>
    </w:pPr>
    <w:rPr>
      <w:rFonts w:ascii="宋体" w:hAnsi="Courier New" w:cstheme="minorBidi"/>
      <w:sz w:val="24"/>
      <w:szCs w:val="22"/>
    </w:rPr>
  </w:style>
  <w:style w:type="paragraph" w:styleId="19">
    <w:name w:val="toc 8"/>
    <w:basedOn w:val="1"/>
    <w:next w:val="1"/>
    <w:semiHidden/>
    <w:qFormat/>
    <w:uiPriority w:val="0"/>
    <w:pPr>
      <w:ind w:left="1470"/>
      <w:jc w:val="left"/>
    </w:pPr>
    <w:rPr>
      <w:sz w:val="18"/>
      <w:szCs w:val="18"/>
    </w:rPr>
  </w:style>
  <w:style w:type="paragraph" w:styleId="20">
    <w:name w:val="Date"/>
    <w:basedOn w:val="1"/>
    <w:next w:val="1"/>
    <w:link w:val="66"/>
    <w:qFormat/>
    <w:uiPriority w:val="0"/>
    <w:rPr>
      <w:rFonts w:asciiTheme="minorHAnsi" w:hAnsiTheme="minorHAnsi" w:cstheme="minorBidi"/>
      <w:szCs w:val="22"/>
    </w:rPr>
  </w:style>
  <w:style w:type="paragraph" w:styleId="21">
    <w:name w:val="Body Text Indent 2"/>
    <w:basedOn w:val="1"/>
    <w:next w:val="22"/>
    <w:link w:val="74"/>
    <w:qFormat/>
    <w:uiPriority w:val="0"/>
    <w:pPr>
      <w:ind w:left="-178" w:leftChars="-85" w:firstLine="739" w:firstLineChars="264"/>
      <w:jc w:val="left"/>
    </w:pPr>
    <w:rPr>
      <w:rFonts w:ascii="宋体"/>
      <w:sz w:val="28"/>
    </w:rPr>
  </w:style>
  <w:style w:type="paragraph" w:customStyle="1" w:styleId="22">
    <w:name w:val="reader-word-layer reader-word-s46-2"/>
    <w:basedOn w:val="1"/>
    <w:next w:val="23"/>
    <w:qFormat/>
    <w:uiPriority w:val="0"/>
    <w:pPr>
      <w:widowControl/>
      <w:spacing w:before="280" w:after="280"/>
      <w:jc w:val="both"/>
    </w:pPr>
    <w:rPr>
      <w:rFonts w:ascii="宋体"/>
      <w:sz w:val="24"/>
    </w:rPr>
  </w:style>
  <w:style w:type="paragraph" w:customStyle="1" w:styleId="23">
    <w:name w:val="xl35"/>
    <w:basedOn w:val="1"/>
    <w:next w:val="1"/>
    <w:qFormat/>
    <w:uiPriority w:val="0"/>
    <w:pPr>
      <w:widowControl/>
      <w:spacing w:before="100" w:beforeAutospacing="1" w:after="100" w:afterAutospacing="1"/>
      <w:jc w:val="center"/>
    </w:pPr>
    <w:rPr>
      <w:rFonts w:ascii="宋体" w:hAnsi="宋体" w:cs="宋体"/>
      <w:sz w:val="20"/>
      <w:szCs w:val="20"/>
    </w:rPr>
  </w:style>
  <w:style w:type="paragraph" w:styleId="24">
    <w:name w:val="Balloon Text"/>
    <w:basedOn w:val="1"/>
    <w:link w:val="70"/>
    <w:qFormat/>
    <w:uiPriority w:val="0"/>
    <w:rPr>
      <w:rFonts w:asciiTheme="minorHAnsi" w:hAnsiTheme="minorHAnsi" w:cstheme="minorBidi"/>
      <w:sz w:val="18"/>
      <w:szCs w:val="18"/>
    </w:rPr>
  </w:style>
  <w:style w:type="paragraph" w:styleId="25">
    <w:name w:val="footer"/>
    <w:basedOn w:val="1"/>
    <w:link w:val="62"/>
    <w:qFormat/>
    <w:uiPriority w:val="99"/>
    <w:pPr>
      <w:tabs>
        <w:tab w:val="center" w:pos="4153"/>
        <w:tab w:val="right" w:pos="8306"/>
      </w:tabs>
      <w:snapToGrid w:val="0"/>
      <w:jc w:val="left"/>
    </w:pPr>
    <w:rPr>
      <w:rFonts w:asciiTheme="minorHAnsi" w:hAnsiTheme="minorHAnsi" w:cstheme="minorBidi"/>
      <w:sz w:val="18"/>
      <w:szCs w:val="18"/>
    </w:rPr>
  </w:style>
  <w:style w:type="paragraph" w:styleId="26">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0"/>
    <w:next w:val="1"/>
    <w:qFormat/>
    <w:uiPriority w:val="0"/>
    <w:pPr>
      <w:spacing w:after="120"/>
      <w:jc w:val="left"/>
    </w:pPr>
    <w:rPr>
      <w:rFonts w:ascii="Times New Roman" w:hAnsi="Times New Roman"/>
      <w:b/>
      <w:bCs/>
      <w:caps/>
      <w:sz w:val="20"/>
    </w:rPr>
  </w:style>
  <w:style w:type="paragraph" w:styleId="28">
    <w:name w:val="toc 4"/>
    <w:basedOn w:val="1"/>
    <w:next w:val="1"/>
    <w:semiHidden/>
    <w:qFormat/>
    <w:uiPriority w:val="0"/>
    <w:pPr>
      <w:ind w:left="630"/>
      <w:jc w:val="left"/>
    </w:pPr>
    <w:rPr>
      <w:sz w:val="18"/>
      <w:szCs w:val="18"/>
    </w:rPr>
  </w:style>
  <w:style w:type="paragraph" w:styleId="29">
    <w:name w:val="List"/>
    <w:basedOn w:val="1"/>
    <w:qFormat/>
    <w:uiPriority w:val="0"/>
    <w:pPr>
      <w:ind w:left="420" w:hanging="420"/>
    </w:pPr>
    <w:rPr>
      <w:szCs w:val="20"/>
      <w:lang w:bidi="he-IL"/>
    </w:rPr>
  </w:style>
  <w:style w:type="paragraph" w:styleId="30">
    <w:name w:val="toc 6"/>
    <w:basedOn w:val="1"/>
    <w:next w:val="1"/>
    <w:qFormat/>
    <w:uiPriority w:val="39"/>
    <w:pPr>
      <w:ind w:left="1050"/>
      <w:jc w:val="left"/>
    </w:pPr>
    <w:rPr>
      <w:sz w:val="18"/>
      <w:szCs w:val="18"/>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semiHidden/>
    <w:qFormat/>
    <w:uiPriority w:val="0"/>
    <w:pPr>
      <w:ind w:left="1680"/>
      <w:jc w:val="left"/>
    </w:pPr>
    <w:rPr>
      <w:sz w:val="18"/>
      <w:szCs w:val="18"/>
    </w:rPr>
  </w:style>
  <w:style w:type="paragraph" w:styleId="33">
    <w:name w:val="Body Text 2"/>
    <w:basedOn w:val="1"/>
    <w:next w:val="1"/>
    <w:link w:val="103"/>
    <w:qFormat/>
    <w:uiPriority w:val="0"/>
    <w:rPr>
      <w:rFonts w:ascii="宋体" w:hAnsi="宋体"/>
      <w:b/>
      <w:bCs/>
      <w:sz w:val="24"/>
    </w:rPr>
  </w:style>
  <w:style w:type="paragraph" w:styleId="34">
    <w:name w:val="Message Header"/>
    <w:basedOn w:val="1"/>
    <w:next w:val="1"/>
    <w:link w:val="104"/>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5">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6">
    <w:name w:val="Normal (Web)"/>
    <w:basedOn w:val="1"/>
    <w:unhideWhenUsed/>
    <w:qFormat/>
    <w:uiPriority w:val="0"/>
    <w:rPr>
      <w:sz w:val="24"/>
    </w:rPr>
  </w:style>
  <w:style w:type="paragraph" w:styleId="37">
    <w:name w:val="annotation subject"/>
    <w:basedOn w:val="11"/>
    <w:next w:val="11"/>
    <w:link w:val="69"/>
    <w:qFormat/>
    <w:uiPriority w:val="0"/>
    <w:rPr>
      <w:rFonts w:ascii="Times New Roman" w:hAnsi="Times New Roman" w:cs="Times New Roman"/>
      <w:b/>
      <w:bCs/>
    </w:rPr>
  </w:style>
  <w:style w:type="paragraph" w:styleId="38">
    <w:name w:val="Body Text First Indent"/>
    <w:basedOn w:val="14"/>
    <w:next w:val="30"/>
    <w:link w:val="118"/>
    <w:unhideWhenUsed/>
    <w:qFormat/>
    <w:uiPriority w:val="0"/>
    <w:pPr>
      <w:spacing w:after="120" w:line="312" w:lineRule="auto"/>
      <w:ind w:firstLine="420"/>
    </w:pPr>
    <w:rPr>
      <w:rFonts w:ascii="Calibri"/>
      <w:kern w:val="0"/>
      <w:sz w:val="20"/>
      <w:szCs w:val="24"/>
    </w:rPr>
  </w:style>
  <w:style w:type="table" w:styleId="40">
    <w:name w:val="Table Grid"/>
    <w:basedOn w:val="3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page number"/>
    <w:basedOn w:val="41"/>
    <w:qFormat/>
    <w:uiPriority w:val="0"/>
    <w:rPr>
      <w:szCs w:val="21"/>
    </w:rPr>
  </w:style>
  <w:style w:type="character" w:styleId="44">
    <w:name w:val="FollowedHyperlink"/>
    <w:basedOn w:val="41"/>
    <w:qFormat/>
    <w:uiPriority w:val="0"/>
    <w:rPr>
      <w:rFonts w:hint="default" w:ascii="Times New Roman" w:hAnsi="Times New Roman" w:cs="Times New Roman"/>
      <w:color w:val="000000"/>
      <w:u w:val="none"/>
    </w:rPr>
  </w:style>
  <w:style w:type="character" w:styleId="45">
    <w:name w:val="Emphasis"/>
    <w:basedOn w:val="41"/>
    <w:qFormat/>
    <w:uiPriority w:val="0"/>
    <w:rPr>
      <w:i/>
      <w:iCs/>
      <w:szCs w:val="21"/>
    </w:rPr>
  </w:style>
  <w:style w:type="character" w:styleId="46">
    <w:name w:val="HTML Definition"/>
    <w:basedOn w:val="41"/>
    <w:qFormat/>
    <w:uiPriority w:val="0"/>
  </w:style>
  <w:style w:type="character" w:styleId="47">
    <w:name w:val="HTML Variable"/>
    <w:basedOn w:val="41"/>
    <w:qFormat/>
    <w:uiPriority w:val="0"/>
  </w:style>
  <w:style w:type="character" w:styleId="48">
    <w:name w:val="Hyperlink"/>
    <w:basedOn w:val="41"/>
    <w:qFormat/>
    <w:uiPriority w:val="0"/>
    <w:rPr>
      <w:color w:val="0000FF"/>
      <w:szCs w:val="21"/>
      <w:u w:val="single"/>
    </w:rPr>
  </w:style>
  <w:style w:type="character" w:styleId="49">
    <w:name w:val="HTML Code"/>
    <w:basedOn w:val="41"/>
    <w:qFormat/>
    <w:uiPriority w:val="0"/>
    <w:rPr>
      <w:rFonts w:ascii="Consolas" w:hAnsi="Consolas" w:eastAsia="Consolas" w:cs="Consolas"/>
      <w:color w:val="C7254E"/>
      <w:sz w:val="21"/>
      <w:szCs w:val="21"/>
      <w:shd w:val="clear" w:color="auto" w:fill="F9F2F4"/>
    </w:rPr>
  </w:style>
  <w:style w:type="character" w:styleId="50">
    <w:name w:val="annotation reference"/>
    <w:basedOn w:val="41"/>
    <w:qFormat/>
    <w:uiPriority w:val="0"/>
    <w:rPr>
      <w:sz w:val="21"/>
      <w:szCs w:val="21"/>
    </w:rPr>
  </w:style>
  <w:style w:type="character" w:styleId="51">
    <w:name w:val="HTML Cite"/>
    <w:basedOn w:val="41"/>
    <w:qFormat/>
    <w:uiPriority w:val="0"/>
  </w:style>
  <w:style w:type="character" w:styleId="52">
    <w:name w:val="HTML Keyboard"/>
    <w:basedOn w:val="41"/>
    <w:qFormat/>
    <w:uiPriority w:val="0"/>
    <w:rPr>
      <w:rFonts w:hint="default" w:ascii="Consolas" w:hAnsi="Consolas" w:eastAsia="Consolas" w:cs="Consolas"/>
      <w:color w:val="FFFFFF"/>
      <w:sz w:val="21"/>
      <w:szCs w:val="21"/>
      <w:shd w:val="clear" w:color="auto" w:fill="333333"/>
    </w:rPr>
  </w:style>
  <w:style w:type="character" w:styleId="53">
    <w:name w:val="HTML Sample"/>
    <w:basedOn w:val="41"/>
    <w:qFormat/>
    <w:uiPriority w:val="0"/>
    <w:rPr>
      <w:rFonts w:hint="default" w:ascii="Consolas" w:hAnsi="Consolas" w:eastAsia="Consolas" w:cs="Consolas"/>
      <w:sz w:val="21"/>
      <w:szCs w:val="21"/>
    </w:rPr>
  </w:style>
  <w:style w:type="paragraph" w:customStyle="1" w:styleId="54">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55">
    <w:name w:val="标题 2 字符1"/>
    <w:basedOn w:val="41"/>
    <w:link w:val="3"/>
    <w:qFormat/>
    <w:uiPriority w:val="0"/>
    <w:rPr>
      <w:rFonts w:ascii="Arial" w:hAnsi="Arial" w:eastAsia="黑体" w:cs="Times New Roman"/>
      <w:b/>
      <w:bCs/>
      <w:sz w:val="32"/>
      <w:szCs w:val="32"/>
    </w:rPr>
  </w:style>
  <w:style w:type="character" w:customStyle="1" w:styleId="56">
    <w:name w:val="标题 3 字符"/>
    <w:basedOn w:val="41"/>
    <w:link w:val="4"/>
    <w:qFormat/>
    <w:uiPriority w:val="0"/>
    <w:rPr>
      <w:rFonts w:ascii="Times New Roman" w:hAnsi="Times New Roman" w:eastAsia="宋体" w:cs="Times New Roman"/>
      <w:b/>
      <w:bCs/>
      <w:sz w:val="24"/>
      <w:szCs w:val="32"/>
    </w:rPr>
  </w:style>
  <w:style w:type="character" w:customStyle="1" w:styleId="57">
    <w:name w:val="标题 1 字符"/>
    <w:basedOn w:val="41"/>
    <w:link w:val="2"/>
    <w:qFormat/>
    <w:uiPriority w:val="0"/>
    <w:rPr>
      <w:rFonts w:ascii="Times New Roman" w:hAnsi="Times New Roman" w:eastAsia="宋体" w:cs="Times New Roman"/>
      <w:b/>
      <w:bCs/>
      <w:kern w:val="44"/>
      <w:sz w:val="44"/>
      <w:szCs w:val="44"/>
    </w:rPr>
  </w:style>
  <w:style w:type="character" w:customStyle="1" w:styleId="58">
    <w:name w:val="标题 4 字符"/>
    <w:basedOn w:val="41"/>
    <w:link w:val="5"/>
    <w:qFormat/>
    <w:uiPriority w:val="0"/>
    <w:rPr>
      <w:rFonts w:ascii="Arial" w:hAnsi="Arial" w:eastAsia="黑体" w:cs="Times New Roman"/>
      <w:b/>
      <w:bCs/>
      <w:sz w:val="28"/>
      <w:szCs w:val="28"/>
    </w:rPr>
  </w:style>
  <w:style w:type="character" w:customStyle="1" w:styleId="59">
    <w:name w:val="标题 5 字符"/>
    <w:basedOn w:val="41"/>
    <w:link w:val="6"/>
    <w:qFormat/>
    <w:uiPriority w:val="0"/>
    <w:rPr>
      <w:rFonts w:ascii="Times New Roman" w:hAnsi="Times New Roman" w:eastAsia="宋体" w:cs="Times New Roman"/>
      <w:b/>
      <w:sz w:val="28"/>
      <w:szCs w:val="20"/>
    </w:rPr>
  </w:style>
  <w:style w:type="character" w:customStyle="1" w:styleId="60">
    <w:name w:val="HTML 预设格式 字符"/>
    <w:link w:val="35"/>
    <w:qFormat/>
    <w:uiPriority w:val="0"/>
    <w:rPr>
      <w:rFonts w:ascii="宋体" w:hAnsi="宋体" w:eastAsia="宋体"/>
      <w:sz w:val="24"/>
    </w:rPr>
  </w:style>
  <w:style w:type="character" w:customStyle="1" w:styleId="61">
    <w:name w:val="正文文本 字符"/>
    <w:link w:val="14"/>
    <w:qFormat/>
    <w:uiPriority w:val="0"/>
    <w:rPr>
      <w:rFonts w:ascii="宋体" w:eastAsia="宋体"/>
      <w:sz w:val="32"/>
    </w:rPr>
  </w:style>
  <w:style w:type="character" w:customStyle="1" w:styleId="62">
    <w:name w:val="页脚 字符"/>
    <w:link w:val="25"/>
    <w:qFormat/>
    <w:uiPriority w:val="99"/>
    <w:rPr>
      <w:rFonts w:eastAsia="宋体"/>
      <w:sz w:val="18"/>
      <w:szCs w:val="18"/>
    </w:rPr>
  </w:style>
  <w:style w:type="character" w:customStyle="1" w:styleId="63">
    <w:name w:val="结束语 字符"/>
    <w:link w:val="13"/>
    <w:qFormat/>
    <w:uiPriority w:val="0"/>
    <w:rPr>
      <w:sz w:val="28"/>
      <w:szCs w:val="28"/>
    </w:rPr>
  </w:style>
  <w:style w:type="character" w:customStyle="1" w:styleId="64">
    <w:name w:val="纯文本 字符"/>
    <w:link w:val="18"/>
    <w:qFormat/>
    <w:uiPriority w:val="0"/>
    <w:rPr>
      <w:rFonts w:ascii="宋体" w:hAnsi="Courier New" w:eastAsia="宋体"/>
      <w:sz w:val="24"/>
    </w:rPr>
  </w:style>
  <w:style w:type="character" w:customStyle="1" w:styleId="65">
    <w:name w:val="批注文字 字符1"/>
    <w:link w:val="11"/>
    <w:qFormat/>
    <w:uiPriority w:val="0"/>
    <w:rPr>
      <w:rFonts w:eastAsia="宋体"/>
      <w:szCs w:val="24"/>
    </w:rPr>
  </w:style>
  <w:style w:type="character" w:customStyle="1" w:styleId="66">
    <w:name w:val="日期 字符"/>
    <w:link w:val="20"/>
    <w:qFormat/>
    <w:uiPriority w:val="0"/>
    <w:rPr>
      <w:rFonts w:eastAsia="宋体"/>
    </w:rPr>
  </w:style>
  <w:style w:type="character" w:customStyle="1" w:styleId="67">
    <w:name w:val="正文文本 3 字符"/>
    <w:link w:val="12"/>
    <w:qFormat/>
    <w:uiPriority w:val="0"/>
    <w:rPr>
      <w:rFonts w:eastAsia="宋体"/>
      <w:sz w:val="16"/>
    </w:rPr>
  </w:style>
  <w:style w:type="character" w:customStyle="1" w:styleId="68">
    <w:name w:val="正文文本缩进 字符"/>
    <w:link w:val="15"/>
    <w:qFormat/>
    <w:uiPriority w:val="0"/>
    <w:rPr>
      <w:rFonts w:eastAsia="宋体"/>
    </w:rPr>
  </w:style>
  <w:style w:type="character" w:customStyle="1" w:styleId="69">
    <w:name w:val="批注主题 字符"/>
    <w:link w:val="37"/>
    <w:qFormat/>
    <w:uiPriority w:val="0"/>
    <w:rPr>
      <w:rFonts w:ascii="Times New Roman" w:hAnsi="Times New Roman" w:eastAsia="宋体" w:cs="Times New Roman"/>
      <w:b/>
      <w:bCs/>
      <w:szCs w:val="24"/>
    </w:rPr>
  </w:style>
  <w:style w:type="character" w:customStyle="1" w:styleId="70">
    <w:name w:val="批注框文本 字符"/>
    <w:link w:val="24"/>
    <w:qFormat/>
    <w:uiPriority w:val="0"/>
    <w:rPr>
      <w:rFonts w:eastAsia="宋体"/>
      <w:sz w:val="18"/>
      <w:szCs w:val="18"/>
    </w:rPr>
  </w:style>
  <w:style w:type="character" w:customStyle="1" w:styleId="71">
    <w:name w:val="批注文字 Char2"/>
    <w:basedOn w:val="41"/>
    <w:qFormat/>
    <w:uiPriority w:val="99"/>
    <w:rPr>
      <w:rFonts w:ascii="Times New Roman" w:hAnsi="Times New Roman" w:eastAsia="宋体" w:cs="Times New Roman"/>
      <w:szCs w:val="24"/>
    </w:rPr>
  </w:style>
  <w:style w:type="character" w:customStyle="1" w:styleId="72">
    <w:name w:val="批注主题 Char1"/>
    <w:basedOn w:val="71"/>
    <w:semiHidden/>
    <w:qFormat/>
    <w:uiPriority w:val="99"/>
    <w:rPr>
      <w:rFonts w:ascii="Times New Roman" w:hAnsi="Times New Roman" w:eastAsia="宋体" w:cs="Times New Roman"/>
      <w:b/>
      <w:bCs/>
      <w:szCs w:val="24"/>
    </w:rPr>
  </w:style>
  <w:style w:type="character" w:customStyle="1" w:styleId="73">
    <w:name w:val="批注框文本 Char1"/>
    <w:basedOn w:val="41"/>
    <w:semiHidden/>
    <w:qFormat/>
    <w:uiPriority w:val="99"/>
    <w:rPr>
      <w:rFonts w:ascii="Times New Roman" w:hAnsi="Times New Roman" w:eastAsia="宋体" w:cs="Times New Roman"/>
      <w:sz w:val="18"/>
      <w:szCs w:val="18"/>
    </w:rPr>
  </w:style>
  <w:style w:type="character" w:customStyle="1" w:styleId="74">
    <w:name w:val="正文文本缩进 2 字符"/>
    <w:basedOn w:val="41"/>
    <w:link w:val="21"/>
    <w:qFormat/>
    <w:uiPriority w:val="0"/>
    <w:rPr>
      <w:rFonts w:ascii="宋体" w:hAnsi="Times New Roman" w:eastAsia="宋体" w:cs="Times New Roman"/>
      <w:sz w:val="28"/>
      <w:szCs w:val="24"/>
    </w:rPr>
  </w:style>
  <w:style w:type="character" w:customStyle="1" w:styleId="75">
    <w:name w:val="纯文本 Char2"/>
    <w:basedOn w:val="41"/>
    <w:semiHidden/>
    <w:qFormat/>
    <w:uiPriority w:val="99"/>
    <w:rPr>
      <w:rFonts w:ascii="宋体" w:hAnsi="Courier New" w:eastAsia="宋体" w:cs="Courier New"/>
      <w:szCs w:val="21"/>
    </w:rPr>
  </w:style>
  <w:style w:type="character" w:customStyle="1" w:styleId="76">
    <w:name w:val="正文文本 Char1"/>
    <w:basedOn w:val="41"/>
    <w:semiHidden/>
    <w:qFormat/>
    <w:uiPriority w:val="99"/>
    <w:rPr>
      <w:rFonts w:ascii="Times New Roman" w:hAnsi="Times New Roman" w:eastAsia="宋体" w:cs="Times New Roman"/>
      <w:szCs w:val="24"/>
    </w:rPr>
  </w:style>
  <w:style w:type="character" w:customStyle="1" w:styleId="77">
    <w:name w:val="正文文本缩进 Char1"/>
    <w:basedOn w:val="41"/>
    <w:semiHidden/>
    <w:qFormat/>
    <w:uiPriority w:val="99"/>
    <w:rPr>
      <w:rFonts w:ascii="Times New Roman" w:hAnsi="Times New Roman" w:eastAsia="宋体" w:cs="Times New Roman"/>
      <w:szCs w:val="24"/>
    </w:rPr>
  </w:style>
  <w:style w:type="character" w:customStyle="1" w:styleId="78">
    <w:name w:val="正文文本 3 Char1"/>
    <w:basedOn w:val="41"/>
    <w:semiHidden/>
    <w:qFormat/>
    <w:uiPriority w:val="99"/>
    <w:rPr>
      <w:rFonts w:ascii="Times New Roman" w:hAnsi="Times New Roman" w:eastAsia="宋体" w:cs="Times New Roman"/>
      <w:sz w:val="16"/>
      <w:szCs w:val="16"/>
    </w:rPr>
  </w:style>
  <w:style w:type="character" w:customStyle="1" w:styleId="79">
    <w:name w:val="日期 Char1"/>
    <w:basedOn w:val="41"/>
    <w:semiHidden/>
    <w:qFormat/>
    <w:uiPriority w:val="99"/>
    <w:rPr>
      <w:rFonts w:ascii="Times New Roman" w:hAnsi="Times New Roman" w:eastAsia="宋体" w:cs="Times New Roman"/>
      <w:szCs w:val="24"/>
    </w:rPr>
  </w:style>
  <w:style w:type="character" w:customStyle="1" w:styleId="80">
    <w:name w:val="结束语 Char1"/>
    <w:basedOn w:val="41"/>
    <w:semiHidden/>
    <w:qFormat/>
    <w:uiPriority w:val="99"/>
    <w:rPr>
      <w:rFonts w:ascii="Times New Roman" w:hAnsi="Times New Roman" w:eastAsia="宋体" w:cs="Times New Roman"/>
      <w:szCs w:val="24"/>
    </w:rPr>
  </w:style>
  <w:style w:type="character" w:customStyle="1" w:styleId="81">
    <w:name w:val="HTML 预设格式 Char1"/>
    <w:basedOn w:val="41"/>
    <w:semiHidden/>
    <w:qFormat/>
    <w:uiPriority w:val="99"/>
    <w:rPr>
      <w:rFonts w:ascii="Courier New" w:hAnsi="Courier New" w:eastAsia="宋体" w:cs="Courier New"/>
      <w:sz w:val="20"/>
      <w:szCs w:val="20"/>
    </w:rPr>
  </w:style>
  <w:style w:type="character" w:customStyle="1" w:styleId="82">
    <w:name w:val="页眉 字符"/>
    <w:basedOn w:val="41"/>
    <w:link w:val="26"/>
    <w:qFormat/>
    <w:uiPriority w:val="0"/>
    <w:rPr>
      <w:rFonts w:ascii="Times New Roman" w:hAnsi="Times New Roman" w:eastAsia="宋体" w:cs="Times New Roman"/>
      <w:sz w:val="18"/>
      <w:szCs w:val="18"/>
    </w:rPr>
  </w:style>
  <w:style w:type="character" w:customStyle="1" w:styleId="83">
    <w:name w:val="页脚 Char1"/>
    <w:basedOn w:val="41"/>
    <w:semiHidden/>
    <w:qFormat/>
    <w:uiPriority w:val="99"/>
    <w:rPr>
      <w:rFonts w:ascii="Times New Roman" w:hAnsi="Times New Roman" w:eastAsia="宋体" w:cs="Times New Roman"/>
      <w:sz w:val="18"/>
      <w:szCs w:val="18"/>
    </w:rPr>
  </w:style>
  <w:style w:type="paragraph" w:customStyle="1" w:styleId="84">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5">
    <w:name w:val="Char Char Char Char"/>
    <w:basedOn w:val="1"/>
    <w:qFormat/>
    <w:uiPriority w:val="0"/>
    <w:rPr>
      <w:kern w:val="0"/>
      <w:sz w:val="24"/>
      <w:szCs w:val="20"/>
    </w:rPr>
  </w:style>
  <w:style w:type="paragraph" w:customStyle="1" w:styleId="86">
    <w:name w:val="p0"/>
    <w:basedOn w:val="1"/>
    <w:qFormat/>
    <w:uiPriority w:val="0"/>
    <w:pPr>
      <w:widowControl/>
    </w:pPr>
    <w:rPr>
      <w:kern w:val="0"/>
      <w:szCs w:val="21"/>
    </w:rPr>
  </w:style>
  <w:style w:type="character" w:customStyle="1" w:styleId="87">
    <w:name w:val="文档结构图 字符"/>
    <w:basedOn w:val="41"/>
    <w:link w:val="9"/>
    <w:qFormat/>
    <w:uiPriority w:val="0"/>
    <w:rPr>
      <w:rFonts w:ascii="Times New Roman" w:hAnsi="Times New Roman" w:eastAsia="宋体" w:cs="Times New Roman"/>
      <w:szCs w:val="24"/>
      <w:shd w:val="clear" w:color="auto" w:fill="000080"/>
    </w:rPr>
  </w:style>
  <w:style w:type="paragraph" w:styleId="88">
    <w:name w:val="List Paragraph"/>
    <w:basedOn w:val="1"/>
    <w:qFormat/>
    <w:uiPriority w:val="99"/>
    <w:pPr>
      <w:ind w:firstLine="420" w:firstLineChars="200"/>
    </w:pPr>
  </w:style>
  <w:style w:type="character" w:customStyle="1" w:styleId="89">
    <w:name w:val="批注文字 Char1"/>
    <w:basedOn w:val="41"/>
    <w:semiHidden/>
    <w:qFormat/>
    <w:uiPriority w:val="0"/>
    <w:rPr>
      <w:rFonts w:ascii="Times New Roman" w:hAnsi="Times New Roman" w:eastAsia="宋体" w:cs="Times New Roman"/>
      <w:szCs w:val="20"/>
    </w:rPr>
  </w:style>
  <w:style w:type="character" w:customStyle="1" w:styleId="90">
    <w:name w:val="文档结构图 Char1"/>
    <w:basedOn w:val="41"/>
    <w:semiHidden/>
    <w:qFormat/>
    <w:uiPriority w:val="99"/>
    <w:rPr>
      <w:rFonts w:ascii="宋体"/>
      <w:kern w:val="2"/>
      <w:sz w:val="18"/>
      <w:szCs w:val="18"/>
    </w:rPr>
  </w:style>
  <w:style w:type="character" w:customStyle="1" w:styleId="91">
    <w:name w:val="标题 2 Char1"/>
    <w:basedOn w:val="41"/>
    <w:qFormat/>
    <w:uiPriority w:val="0"/>
    <w:rPr>
      <w:rFonts w:ascii="Arial" w:hAnsi="Arial" w:eastAsia="黑体"/>
      <w:b/>
      <w:bCs/>
      <w:kern w:val="2"/>
      <w:sz w:val="32"/>
      <w:szCs w:val="32"/>
      <w:lang w:val="en-US" w:eastAsia="zh-CN" w:bidi="ar-SA"/>
    </w:rPr>
  </w:style>
  <w:style w:type="character" w:customStyle="1" w:styleId="92">
    <w:name w:val="font11"/>
    <w:basedOn w:val="41"/>
    <w:qFormat/>
    <w:uiPriority w:val="0"/>
    <w:rPr>
      <w:rFonts w:hint="eastAsia" w:ascii="宋体" w:hAnsi="宋体" w:eastAsia="宋体" w:cs="宋体"/>
      <w:color w:val="FF0000"/>
      <w:sz w:val="24"/>
      <w:szCs w:val="24"/>
      <w:u w:val="none"/>
    </w:rPr>
  </w:style>
  <w:style w:type="character" w:customStyle="1" w:styleId="93">
    <w:name w:val="Char Char1"/>
    <w:basedOn w:val="41"/>
    <w:qFormat/>
    <w:uiPriority w:val="0"/>
    <w:rPr>
      <w:rFonts w:eastAsia="宋体"/>
      <w:b/>
      <w:bCs/>
      <w:kern w:val="44"/>
      <w:sz w:val="44"/>
      <w:szCs w:val="44"/>
      <w:lang w:val="en-US" w:eastAsia="zh-CN" w:bidi="ar-SA"/>
    </w:rPr>
  </w:style>
  <w:style w:type="character" w:customStyle="1" w:styleId="94">
    <w:name w:val="disabled6"/>
    <w:basedOn w:val="41"/>
    <w:qFormat/>
    <w:uiPriority w:val="0"/>
    <w:rPr>
      <w:color w:val="929292"/>
      <w:szCs w:val="21"/>
      <w:bdr w:val="single" w:color="929292" w:sz="6" w:space="0"/>
    </w:rPr>
  </w:style>
  <w:style w:type="character" w:customStyle="1" w:styleId="95">
    <w:name w:val="正文1"/>
    <w:qFormat/>
    <w:uiPriority w:val="0"/>
    <w:rPr>
      <w:rFonts w:hint="eastAsia" w:ascii="宋体" w:hAnsi="宋体" w:eastAsia="宋体"/>
      <w:color w:val="000000"/>
    </w:rPr>
  </w:style>
  <w:style w:type="character" w:customStyle="1" w:styleId="96">
    <w:name w:val="标题 2 Char2"/>
    <w:basedOn w:val="41"/>
    <w:qFormat/>
    <w:uiPriority w:val="0"/>
    <w:rPr>
      <w:rFonts w:ascii="Arial" w:hAnsi="Arial" w:eastAsia="黑体" w:cs="Times New Roman"/>
      <w:b/>
      <w:bCs/>
      <w:sz w:val="32"/>
      <w:szCs w:val="32"/>
    </w:rPr>
  </w:style>
  <w:style w:type="character" w:customStyle="1" w:styleId="97">
    <w:name w:val="Char Char Char"/>
    <w:basedOn w:val="41"/>
    <w:qFormat/>
    <w:uiPriority w:val="0"/>
    <w:rPr>
      <w:rFonts w:ascii="Arial" w:hAnsi="Arial" w:eastAsia="黑体"/>
      <w:b/>
      <w:bCs/>
      <w:kern w:val="2"/>
      <w:sz w:val="32"/>
      <w:szCs w:val="32"/>
      <w:lang w:val="en-US" w:eastAsia="zh-CN" w:bidi="ar-SA"/>
    </w:rPr>
  </w:style>
  <w:style w:type="character" w:customStyle="1" w:styleId="98">
    <w:name w:val="font21"/>
    <w:basedOn w:val="41"/>
    <w:qFormat/>
    <w:uiPriority w:val="0"/>
    <w:rPr>
      <w:rFonts w:hint="default" w:ascii="Times New Roman" w:hAnsi="Times New Roman" w:cs="Times New Roman"/>
      <w:color w:val="000000"/>
      <w:sz w:val="24"/>
      <w:szCs w:val="24"/>
      <w:u w:val="none"/>
    </w:rPr>
  </w:style>
  <w:style w:type="character" w:customStyle="1" w:styleId="99">
    <w:name w:val="font31"/>
    <w:basedOn w:val="41"/>
    <w:qFormat/>
    <w:uiPriority w:val="0"/>
    <w:rPr>
      <w:rFonts w:hint="eastAsia" w:ascii="宋体" w:hAnsi="宋体" w:eastAsia="宋体" w:cs="宋体"/>
      <w:color w:val="000000"/>
      <w:sz w:val="24"/>
      <w:szCs w:val="24"/>
      <w:u w:val="none"/>
    </w:rPr>
  </w:style>
  <w:style w:type="character" w:customStyle="1" w:styleId="100">
    <w:name w:val="纯文本 Char1"/>
    <w:qFormat/>
    <w:uiPriority w:val="0"/>
    <w:rPr>
      <w:rFonts w:ascii="宋体" w:hAnsi="Courier New" w:eastAsia="宋体"/>
      <w:sz w:val="24"/>
    </w:rPr>
  </w:style>
  <w:style w:type="character" w:customStyle="1" w:styleId="101">
    <w:name w:val="文档结构图 Char2"/>
    <w:basedOn w:val="41"/>
    <w:semiHidden/>
    <w:qFormat/>
    <w:uiPriority w:val="99"/>
    <w:rPr>
      <w:rFonts w:ascii="宋体" w:hAnsi="Times New Roman" w:eastAsia="宋体" w:cs="Times New Roman"/>
      <w:sz w:val="18"/>
      <w:szCs w:val="18"/>
    </w:rPr>
  </w:style>
  <w:style w:type="character" w:customStyle="1" w:styleId="102">
    <w:name w:val="页眉 Char1"/>
    <w:basedOn w:val="41"/>
    <w:semiHidden/>
    <w:qFormat/>
    <w:uiPriority w:val="99"/>
    <w:rPr>
      <w:rFonts w:ascii="Times New Roman" w:hAnsi="Times New Roman" w:eastAsia="宋体" w:cs="Times New Roman"/>
      <w:sz w:val="18"/>
      <w:szCs w:val="18"/>
    </w:rPr>
  </w:style>
  <w:style w:type="character" w:customStyle="1" w:styleId="103">
    <w:name w:val="正文文本 2 字符"/>
    <w:basedOn w:val="41"/>
    <w:link w:val="33"/>
    <w:qFormat/>
    <w:uiPriority w:val="0"/>
    <w:rPr>
      <w:rFonts w:ascii="宋体" w:hAnsi="宋体" w:eastAsia="宋体" w:cs="Times New Roman"/>
      <w:b/>
      <w:bCs/>
      <w:sz w:val="24"/>
      <w:szCs w:val="24"/>
    </w:rPr>
  </w:style>
  <w:style w:type="character" w:customStyle="1" w:styleId="104">
    <w:name w:val="信息标题 字符"/>
    <w:basedOn w:val="41"/>
    <w:link w:val="34"/>
    <w:qFormat/>
    <w:uiPriority w:val="0"/>
    <w:rPr>
      <w:rFonts w:ascii="Arial" w:hAnsi="Arial" w:eastAsia="宋体" w:cs="Times New Roman"/>
      <w:sz w:val="24"/>
      <w:szCs w:val="24"/>
    </w:rPr>
  </w:style>
  <w:style w:type="character" w:customStyle="1" w:styleId="105">
    <w:name w:val="正文文本缩进 2 Char1"/>
    <w:basedOn w:val="41"/>
    <w:semiHidden/>
    <w:qFormat/>
    <w:uiPriority w:val="99"/>
    <w:rPr>
      <w:rFonts w:ascii="Times New Roman" w:hAnsi="Times New Roman" w:eastAsia="宋体" w:cs="Times New Roman"/>
      <w:szCs w:val="24"/>
    </w:rPr>
  </w:style>
  <w:style w:type="paragraph" w:customStyle="1" w:styleId="106">
    <w:name w:val="Char2"/>
    <w:basedOn w:val="1"/>
    <w:qFormat/>
    <w:uiPriority w:val="0"/>
    <w:pPr>
      <w:widowControl/>
      <w:spacing w:after="160" w:line="240" w:lineRule="exact"/>
      <w:jc w:val="left"/>
    </w:pPr>
  </w:style>
  <w:style w:type="paragraph" w:customStyle="1" w:styleId="107">
    <w:name w:val="样式 标题 3 + (中文) 黑体 小四 非加粗 段前: 7.8 磅 段后: 0 磅 行距: 固定值 20 磅"/>
    <w:basedOn w:val="4"/>
    <w:qFormat/>
    <w:uiPriority w:val="0"/>
    <w:pPr>
      <w:spacing w:line="400" w:lineRule="exact"/>
    </w:pPr>
    <w:rPr>
      <w:rFonts w:eastAsia="黑体" w:cs="宋体"/>
      <w:b w:val="0"/>
      <w:bCs w:val="0"/>
      <w:szCs w:val="20"/>
    </w:rPr>
  </w:style>
  <w:style w:type="paragraph" w:customStyle="1" w:styleId="108">
    <w:name w:val="Char"/>
    <w:basedOn w:val="1"/>
    <w:qFormat/>
    <w:uiPriority w:val="0"/>
  </w:style>
  <w:style w:type="paragraph" w:customStyle="1" w:styleId="109">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10">
    <w:name w:val="Char Char Char Char1"/>
    <w:basedOn w:val="1"/>
    <w:qFormat/>
    <w:uiPriority w:val="0"/>
    <w:rPr>
      <w:kern w:val="0"/>
      <w:sz w:val="24"/>
      <w:szCs w:val="20"/>
    </w:rPr>
  </w:style>
  <w:style w:type="paragraph" w:customStyle="1" w:styleId="111">
    <w:name w:val="列出段落1"/>
    <w:basedOn w:val="1"/>
    <w:qFormat/>
    <w:uiPriority w:val="34"/>
    <w:pPr>
      <w:ind w:firstLine="420" w:firstLineChars="200"/>
    </w:pPr>
  </w:style>
  <w:style w:type="paragraph" w:customStyle="1" w:styleId="112">
    <w:name w:val="样式 标题 2 + Times New Roman 四号 非加粗 段前: 5 磅 段后: 0 磅 行距: 固定值 20..."/>
    <w:basedOn w:val="3"/>
    <w:qFormat/>
    <w:uiPriority w:val="0"/>
    <w:pPr>
      <w:spacing w:before="100" w:after="0" w:line="400" w:lineRule="exact"/>
    </w:pPr>
    <w:rPr>
      <w:rFonts w:ascii="Times New Roman" w:hAnsi="Times New Roman"/>
      <w:bCs w:val="0"/>
      <w:sz w:val="28"/>
      <w:szCs w:val="20"/>
    </w:rPr>
  </w:style>
  <w:style w:type="paragraph" w:customStyle="1" w:styleId="113">
    <w:name w:val="Char1"/>
    <w:basedOn w:val="1"/>
    <w:qFormat/>
    <w:uiPriority w:val="0"/>
  </w:style>
  <w:style w:type="paragraph" w:customStyle="1" w:styleId="114">
    <w:name w:val="Char Char11"/>
    <w:basedOn w:val="1"/>
    <w:qFormat/>
    <w:uiPriority w:val="0"/>
    <w:rPr>
      <w:szCs w:val="21"/>
    </w:rPr>
  </w:style>
  <w:style w:type="paragraph" w:customStyle="1" w:styleId="115">
    <w:name w:val="Char Char7"/>
    <w:basedOn w:val="1"/>
    <w:qFormat/>
    <w:uiPriority w:val="0"/>
    <w:rPr>
      <w:szCs w:val="21"/>
    </w:rPr>
  </w:style>
  <w:style w:type="paragraph" w:customStyle="1" w:styleId="116">
    <w:name w:val="Char Char 字元 字元 字元 Char Char Char Char"/>
    <w:basedOn w:val="1"/>
    <w:qFormat/>
    <w:uiPriority w:val="0"/>
    <w:pPr>
      <w:adjustRightInd w:val="0"/>
      <w:spacing w:line="360" w:lineRule="auto"/>
    </w:pPr>
    <w:rPr>
      <w:kern w:val="0"/>
      <w:sz w:val="24"/>
      <w:szCs w:val="20"/>
    </w:rPr>
  </w:style>
  <w:style w:type="paragraph" w:customStyle="1" w:styleId="1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8">
    <w:name w:val="正文文本首行缩进 字符"/>
    <w:basedOn w:val="61"/>
    <w:link w:val="38"/>
    <w:qFormat/>
    <w:uiPriority w:val="0"/>
    <w:rPr>
      <w:rFonts w:ascii="Calibri" w:eastAsia="宋体"/>
      <w:kern w:val="0"/>
      <w:sz w:val="20"/>
      <w:szCs w:val="24"/>
    </w:rPr>
  </w:style>
  <w:style w:type="character" w:customStyle="1" w:styleId="119">
    <w:name w:val="current1"/>
    <w:basedOn w:val="41"/>
    <w:qFormat/>
    <w:uiPriority w:val="0"/>
    <w:rPr>
      <w:b/>
      <w:color w:val="FFFFFF"/>
      <w:shd w:val="clear" w:color="auto" w:fill="000000"/>
    </w:rPr>
  </w:style>
  <w:style w:type="character" w:customStyle="1" w:styleId="120">
    <w:name w:val="disabled9"/>
    <w:basedOn w:val="41"/>
    <w:qFormat/>
    <w:uiPriority w:val="0"/>
    <w:rPr>
      <w:color w:val="DDDDDD"/>
      <w:bdr w:val="single" w:color="EEEEEE" w:sz="6" w:space="0"/>
    </w:rPr>
  </w:style>
  <w:style w:type="character" w:customStyle="1" w:styleId="121">
    <w:name w:val="grp"/>
    <w:basedOn w:val="41"/>
    <w:qFormat/>
    <w:uiPriority w:val="0"/>
    <w:rPr>
      <w:b/>
    </w:rPr>
  </w:style>
  <w:style w:type="character" w:customStyle="1" w:styleId="122">
    <w:name w:val="current7"/>
    <w:basedOn w:val="41"/>
    <w:qFormat/>
    <w:uiPriority w:val="0"/>
    <w:rPr>
      <w:b/>
      <w:color w:val="FF0084"/>
    </w:rPr>
  </w:style>
  <w:style w:type="character" w:customStyle="1" w:styleId="123">
    <w:name w:val="current20"/>
    <w:basedOn w:val="41"/>
    <w:qFormat/>
    <w:uiPriority w:val="0"/>
    <w:rPr>
      <w:b/>
      <w:color w:val="FFFFFF"/>
      <w:bdr w:val="single" w:color="FF5A00" w:sz="12" w:space="0"/>
      <w:shd w:val="clear" w:color="auto" w:fill="FF6C16"/>
    </w:rPr>
  </w:style>
  <w:style w:type="character" w:customStyle="1" w:styleId="124">
    <w:name w:val="disabled2"/>
    <w:basedOn w:val="41"/>
    <w:qFormat/>
    <w:uiPriority w:val="0"/>
    <w:rPr>
      <w:vanish/>
    </w:rPr>
  </w:style>
  <w:style w:type="character" w:customStyle="1" w:styleId="125">
    <w:name w:val="current22"/>
    <w:basedOn w:val="41"/>
    <w:qFormat/>
    <w:uiPriority w:val="0"/>
    <w:rPr>
      <w:b/>
      <w:color w:val="000000"/>
      <w:bdr w:val="single" w:color="E89954" w:sz="6" w:space="0"/>
      <w:shd w:val="clear" w:color="auto" w:fill="FFCA7D"/>
    </w:rPr>
  </w:style>
  <w:style w:type="character" w:customStyle="1" w:styleId="126">
    <w:name w:val="current14"/>
    <w:basedOn w:val="41"/>
    <w:qFormat/>
    <w:uiPriority w:val="0"/>
    <w:rPr>
      <w:b/>
      <w:color w:val="FFFFFF"/>
      <w:shd w:val="clear" w:color="auto" w:fill="313131"/>
    </w:rPr>
  </w:style>
  <w:style w:type="character" w:customStyle="1" w:styleId="127">
    <w:name w:val="disabled10"/>
    <w:basedOn w:val="41"/>
    <w:qFormat/>
    <w:uiPriority w:val="0"/>
    <w:rPr>
      <w:color w:val="808080"/>
      <w:bdr w:val="single" w:color="606060" w:sz="6" w:space="0"/>
    </w:rPr>
  </w:style>
  <w:style w:type="paragraph" w:customStyle="1" w:styleId="128">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9">
    <w:name w:val="current5"/>
    <w:basedOn w:val="41"/>
    <w:qFormat/>
    <w:uiPriority w:val="0"/>
    <w:rPr>
      <w:b/>
      <w:color w:val="FFFFFF"/>
      <w:bdr w:val="single" w:color="000080" w:sz="6" w:space="0"/>
      <w:shd w:val="clear" w:color="auto" w:fill="2E6AB1"/>
    </w:rPr>
  </w:style>
  <w:style w:type="character" w:customStyle="1" w:styleId="130">
    <w:name w:val="disabled21"/>
    <w:basedOn w:val="41"/>
    <w:qFormat/>
    <w:uiPriority w:val="0"/>
    <w:rPr>
      <w:vanish/>
    </w:rPr>
  </w:style>
  <w:style w:type="character" w:customStyle="1" w:styleId="131">
    <w:name w:val="current6"/>
    <w:basedOn w:val="41"/>
    <w:qFormat/>
    <w:uiPriority w:val="0"/>
    <w:rPr>
      <w:b/>
      <w:color w:val="000000"/>
    </w:rPr>
  </w:style>
  <w:style w:type="character" w:customStyle="1" w:styleId="132">
    <w:name w:val="标题 2 字符"/>
    <w:basedOn w:val="41"/>
    <w:qFormat/>
    <w:uiPriority w:val="0"/>
    <w:rPr>
      <w:rFonts w:hint="default" w:ascii="Arial" w:hAnsi="Arial" w:eastAsia="黑体" w:cs="Arial"/>
      <w:b/>
      <w:sz w:val="32"/>
      <w:szCs w:val="32"/>
    </w:rPr>
  </w:style>
  <w:style w:type="character" w:customStyle="1" w:styleId="133">
    <w:name w:val="bid"/>
    <w:basedOn w:val="41"/>
    <w:qFormat/>
    <w:uiPriority w:val="0"/>
    <w:rPr>
      <w:b/>
      <w:sz w:val="18"/>
      <w:szCs w:val="18"/>
      <w:bdr w:val="single" w:color="FF9900" w:sz="6" w:space="0"/>
      <w:shd w:val="clear" w:color="auto" w:fill="FFE7C1"/>
    </w:rPr>
  </w:style>
  <w:style w:type="character" w:customStyle="1" w:styleId="134">
    <w:name w:val="disabled4"/>
    <w:basedOn w:val="41"/>
    <w:qFormat/>
    <w:uiPriority w:val="0"/>
    <w:rPr>
      <w:color w:val="DDDDDD"/>
      <w:bdr w:val="single" w:color="EEEEEE" w:sz="6" w:space="0"/>
    </w:rPr>
  </w:style>
  <w:style w:type="character" w:customStyle="1" w:styleId="135">
    <w:name w:val="current4"/>
    <w:basedOn w:val="41"/>
    <w:qFormat/>
    <w:uiPriority w:val="0"/>
    <w:rPr>
      <w:b/>
      <w:color w:val="000000"/>
      <w:bdr w:val="single" w:color="FFFFFF" w:sz="12" w:space="0"/>
    </w:rPr>
  </w:style>
  <w:style w:type="character" w:customStyle="1" w:styleId="136">
    <w:name w:val="current"/>
    <w:basedOn w:val="41"/>
    <w:qFormat/>
    <w:uiPriority w:val="0"/>
    <w:rPr>
      <w:b/>
      <w:color w:val="AAAAAA"/>
      <w:bdr w:val="single" w:color="E0E0E0" w:sz="6" w:space="0"/>
      <w:shd w:val="clear" w:color="auto" w:fill="F0F0F0"/>
    </w:rPr>
  </w:style>
  <w:style w:type="character" w:customStyle="1" w:styleId="137">
    <w:name w:val="current13"/>
    <w:basedOn w:val="41"/>
    <w:qFormat/>
    <w:uiPriority w:val="0"/>
    <w:rPr>
      <w:b/>
      <w:color w:val="FFFFFF"/>
      <w:bdr w:val="single" w:color="000000" w:sz="6" w:space="0"/>
      <w:shd w:val="clear" w:color="auto" w:fill="000000"/>
    </w:rPr>
  </w:style>
  <w:style w:type="character" w:customStyle="1" w:styleId="138">
    <w:name w:val="current16"/>
    <w:basedOn w:val="41"/>
    <w:qFormat/>
    <w:uiPriority w:val="0"/>
    <w:rPr>
      <w:b/>
      <w:color w:val="FFFFFF"/>
      <w:bdr w:val="single" w:color="D9D300" w:sz="6" w:space="0"/>
      <w:shd w:val="clear" w:color="auto" w:fill="D9D300"/>
    </w:rPr>
  </w:style>
  <w:style w:type="character" w:customStyle="1" w:styleId="139">
    <w:name w:val="disabled7"/>
    <w:basedOn w:val="41"/>
    <w:qFormat/>
    <w:uiPriority w:val="0"/>
    <w:rPr>
      <w:vanish/>
    </w:rPr>
  </w:style>
  <w:style w:type="character" w:customStyle="1" w:styleId="140">
    <w:name w:val="disabled"/>
    <w:basedOn w:val="41"/>
    <w:qFormat/>
    <w:uiPriority w:val="0"/>
    <w:rPr>
      <w:color w:val="CCCCCC"/>
      <w:bdr w:val="single" w:color="F3F3F3" w:sz="6" w:space="0"/>
    </w:rPr>
  </w:style>
  <w:style w:type="character" w:customStyle="1" w:styleId="141">
    <w:name w:val="页脚 字符1"/>
    <w:basedOn w:val="41"/>
    <w:qFormat/>
    <w:uiPriority w:val="0"/>
    <w:rPr>
      <w:kern w:val="2"/>
      <w:sz w:val="18"/>
      <w:szCs w:val="18"/>
    </w:rPr>
  </w:style>
  <w:style w:type="character" w:customStyle="1" w:styleId="142">
    <w:name w:val="disabled5"/>
    <w:basedOn w:val="41"/>
    <w:qFormat/>
    <w:uiPriority w:val="0"/>
    <w:rPr>
      <w:vanish/>
    </w:rPr>
  </w:style>
  <w:style w:type="character" w:customStyle="1" w:styleId="143">
    <w:name w:val="current8"/>
    <w:basedOn w:val="41"/>
    <w:qFormat/>
    <w:uiPriority w:val="0"/>
    <w:rPr>
      <w:b/>
      <w:color w:val="000000"/>
      <w:bdr w:val="single" w:color="FFFFFF" w:sz="6" w:space="0"/>
      <w:shd w:val="clear" w:color="auto" w:fill="FFFFFF"/>
    </w:rPr>
  </w:style>
  <w:style w:type="character" w:customStyle="1" w:styleId="144">
    <w:name w:val="current21"/>
    <w:basedOn w:val="41"/>
    <w:qFormat/>
    <w:uiPriority w:val="0"/>
    <w:rPr>
      <w:b/>
      <w:color w:val="FFFFFF"/>
      <w:bdr w:val="single" w:color="AAD83E" w:sz="6" w:space="0"/>
      <w:shd w:val="clear" w:color="auto" w:fill="AAD83E"/>
    </w:rPr>
  </w:style>
  <w:style w:type="character" w:customStyle="1" w:styleId="145">
    <w:name w:val="current19"/>
    <w:basedOn w:val="41"/>
    <w:qFormat/>
    <w:uiPriority w:val="0"/>
    <w:rPr>
      <w:b/>
      <w:color w:val="444444"/>
      <w:bdr w:val="single" w:color="B7D8EE" w:sz="6" w:space="0"/>
      <w:shd w:val="clear" w:color="auto" w:fill="D2EAF6"/>
    </w:rPr>
  </w:style>
  <w:style w:type="character" w:customStyle="1" w:styleId="146">
    <w:name w:val="current12"/>
    <w:basedOn w:val="41"/>
    <w:qFormat/>
    <w:uiPriority w:val="0"/>
    <w:rPr>
      <w:b/>
      <w:color w:val="FFFFFF"/>
      <w:bdr w:val="single" w:color="B2E05D" w:sz="6" w:space="0"/>
      <w:shd w:val="clear" w:color="auto" w:fill="B2E05D"/>
    </w:rPr>
  </w:style>
  <w:style w:type="character" w:customStyle="1" w:styleId="147">
    <w:name w:val="disabled23"/>
    <w:basedOn w:val="41"/>
    <w:qFormat/>
    <w:uiPriority w:val="0"/>
    <w:rPr>
      <w:color w:val="CCCCCC"/>
      <w:bdr w:val="single" w:color="CCCCCC" w:sz="6" w:space="0"/>
    </w:rPr>
  </w:style>
  <w:style w:type="character" w:customStyle="1" w:styleId="148">
    <w:name w:val="cremain"/>
    <w:basedOn w:val="41"/>
    <w:qFormat/>
    <w:uiPriority w:val="0"/>
    <w:rPr>
      <w:color w:val="FF0000"/>
    </w:rPr>
  </w:style>
  <w:style w:type="character" w:customStyle="1" w:styleId="149">
    <w:name w:val="disabled8"/>
    <w:basedOn w:val="41"/>
    <w:qFormat/>
    <w:uiPriority w:val="0"/>
    <w:rPr>
      <w:color w:val="ADAAAD"/>
    </w:rPr>
  </w:style>
  <w:style w:type="character" w:customStyle="1" w:styleId="150">
    <w:name w:val="bidbd"/>
    <w:basedOn w:val="41"/>
    <w:qFormat/>
    <w:uiPriority w:val="0"/>
    <w:rPr>
      <w:b/>
      <w:sz w:val="18"/>
      <w:szCs w:val="18"/>
      <w:bdr w:val="single" w:color="009933" w:sz="6" w:space="0"/>
      <w:shd w:val="clear" w:color="auto" w:fill="DDFFE8"/>
    </w:rPr>
  </w:style>
  <w:style w:type="character" w:customStyle="1" w:styleId="151">
    <w:name w:val="current9"/>
    <w:basedOn w:val="41"/>
    <w:qFormat/>
    <w:uiPriority w:val="0"/>
    <w:rPr>
      <w:b/>
      <w:color w:val="FFFFFF"/>
      <w:bdr w:val="single" w:color="FFFFFF" w:sz="6" w:space="0"/>
      <w:shd w:val="clear" w:color="auto" w:fill="606060"/>
    </w:rPr>
  </w:style>
  <w:style w:type="character" w:customStyle="1" w:styleId="152">
    <w:name w:val="file"/>
    <w:basedOn w:val="41"/>
    <w:qFormat/>
    <w:uiPriority w:val="0"/>
  </w:style>
  <w:style w:type="character" w:customStyle="1" w:styleId="153">
    <w:name w:val="disabled14"/>
    <w:basedOn w:val="41"/>
    <w:qFormat/>
    <w:uiPriority w:val="0"/>
    <w:rPr>
      <w:color w:val="DDDDDD"/>
      <w:bdr w:val="single" w:color="EEEEEE" w:sz="6" w:space="0"/>
    </w:rPr>
  </w:style>
  <w:style w:type="character" w:customStyle="1" w:styleId="154">
    <w:name w:val="disabled19"/>
    <w:basedOn w:val="41"/>
    <w:qFormat/>
    <w:uiPriority w:val="0"/>
    <w:rPr>
      <w:vanish/>
    </w:rPr>
  </w:style>
  <w:style w:type="character" w:customStyle="1" w:styleId="155">
    <w:name w:val="disabled16"/>
    <w:basedOn w:val="41"/>
    <w:qFormat/>
    <w:uiPriority w:val="0"/>
    <w:rPr>
      <w:color w:val="797979"/>
      <w:shd w:val="clear" w:color="auto" w:fill="C1C1C1"/>
    </w:rPr>
  </w:style>
  <w:style w:type="character" w:customStyle="1" w:styleId="156">
    <w:name w:val="current15"/>
    <w:basedOn w:val="41"/>
    <w:qFormat/>
    <w:uiPriority w:val="0"/>
    <w:rPr>
      <w:b/>
      <w:color w:val="303030"/>
      <w:shd w:val="clear" w:color="auto" w:fill="FFFFFF"/>
    </w:rPr>
  </w:style>
  <w:style w:type="character" w:customStyle="1" w:styleId="157">
    <w:name w:val="current11"/>
    <w:basedOn w:val="41"/>
    <w:qFormat/>
    <w:uiPriority w:val="0"/>
    <w:rPr>
      <w:b/>
      <w:color w:val="FF6500"/>
      <w:bdr w:val="single" w:color="FF6500" w:sz="6" w:space="0"/>
      <w:shd w:val="clear" w:color="auto" w:fill="FFBE94"/>
    </w:rPr>
  </w:style>
  <w:style w:type="character" w:customStyle="1" w:styleId="158">
    <w:name w:val="folder"/>
    <w:basedOn w:val="41"/>
    <w:qFormat/>
    <w:uiPriority w:val="0"/>
  </w:style>
  <w:style w:type="character" w:customStyle="1" w:styleId="159">
    <w:name w:val="Char Char Char1"/>
    <w:basedOn w:val="41"/>
    <w:qFormat/>
    <w:uiPriority w:val="0"/>
    <w:rPr>
      <w:rFonts w:hint="default" w:ascii="Arial" w:hAnsi="Arial" w:eastAsia="黑体" w:cs="Arial"/>
      <w:b/>
      <w:kern w:val="2"/>
      <w:sz w:val="32"/>
      <w:szCs w:val="32"/>
      <w:lang w:val="en-US" w:eastAsia="zh-CN"/>
    </w:rPr>
  </w:style>
  <w:style w:type="character" w:customStyle="1" w:styleId="160">
    <w:name w:val="disabled22"/>
    <w:basedOn w:val="41"/>
    <w:qFormat/>
    <w:uiPriority w:val="0"/>
    <w:rPr>
      <w:color w:val="CCCCCC"/>
      <w:bdr w:val="single" w:color="F3F3F3" w:sz="6" w:space="0"/>
    </w:rPr>
  </w:style>
  <w:style w:type="character" w:customStyle="1" w:styleId="161">
    <w:name w:val="z-窗体底端 字符"/>
    <w:basedOn w:val="41"/>
    <w:qFormat/>
    <w:uiPriority w:val="0"/>
    <w:rPr>
      <w:rFonts w:hint="default" w:ascii="Arial" w:hAnsi="Arial" w:cs="Arial"/>
      <w:vanish/>
      <w:sz w:val="16"/>
      <w:szCs w:val="16"/>
    </w:rPr>
  </w:style>
  <w:style w:type="character" w:customStyle="1" w:styleId="162">
    <w:name w:val="current3"/>
    <w:basedOn w:val="41"/>
    <w:qFormat/>
    <w:uiPriority w:val="0"/>
    <w:rPr>
      <w:b/>
      <w:color w:val="FFFFFF"/>
      <w:bdr w:val="single" w:color="000099" w:sz="6" w:space="0"/>
      <w:shd w:val="clear" w:color="auto" w:fill="000099"/>
    </w:rPr>
  </w:style>
  <w:style w:type="character" w:customStyle="1" w:styleId="163">
    <w:name w:val="disabled13"/>
    <w:basedOn w:val="41"/>
    <w:qFormat/>
    <w:uiPriority w:val="0"/>
    <w:rPr>
      <w:color w:val="CCCCCC"/>
      <w:bdr w:val="single" w:color="F3F3F3" w:sz="6" w:space="0"/>
    </w:rPr>
  </w:style>
  <w:style w:type="character" w:customStyle="1" w:styleId="164">
    <w:name w:val="sp12"/>
    <w:basedOn w:val="41"/>
    <w:qFormat/>
    <w:uiPriority w:val="0"/>
    <w:rPr>
      <w:u w:val="single"/>
    </w:rPr>
  </w:style>
  <w:style w:type="character" w:customStyle="1" w:styleId="165">
    <w:name w:val="disabled18"/>
    <w:basedOn w:val="41"/>
    <w:qFormat/>
    <w:uiPriority w:val="0"/>
    <w:rPr>
      <w:vanish/>
    </w:rPr>
  </w:style>
  <w:style w:type="character" w:customStyle="1" w:styleId="166">
    <w:name w:val="current17"/>
    <w:basedOn w:val="41"/>
    <w:qFormat/>
    <w:uiPriority w:val="0"/>
    <w:rPr>
      <w:color w:val="6D643C"/>
      <w:shd w:val="clear" w:color="auto" w:fill="F6EFCC"/>
    </w:rPr>
  </w:style>
  <w:style w:type="character" w:customStyle="1" w:styleId="167">
    <w:name w:val="disabled20"/>
    <w:basedOn w:val="41"/>
    <w:qFormat/>
    <w:uiPriority w:val="0"/>
    <w:rPr>
      <w:vanish/>
    </w:rPr>
  </w:style>
  <w:style w:type="character" w:customStyle="1" w:styleId="168">
    <w:name w:val="current10"/>
    <w:basedOn w:val="41"/>
    <w:qFormat/>
    <w:uiPriority w:val="0"/>
    <w:rPr>
      <w:b/>
      <w:color w:val="99210B"/>
    </w:rPr>
  </w:style>
  <w:style w:type="character" w:customStyle="1" w:styleId="169">
    <w:name w:val="current18"/>
    <w:basedOn w:val="41"/>
    <w:qFormat/>
    <w:uiPriority w:val="0"/>
    <w:rPr>
      <w:b/>
      <w:color w:val="000000"/>
    </w:rPr>
  </w:style>
  <w:style w:type="character" w:customStyle="1" w:styleId="170">
    <w:name w:val="z-窗体顶端 字符"/>
    <w:basedOn w:val="41"/>
    <w:qFormat/>
    <w:uiPriority w:val="0"/>
    <w:rPr>
      <w:rFonts w:hint="default" w:ascii="Arial" w:hAnsi="Arial" w:cs="Arial"/>
      <w:vanish/>
      <w:sz w:val="16"/>
      <w:szCs w:val="16"/>
    </w:rPr>
  </w:style>
  <w:style w:type="character" w:customStyle="1" w:styleId="171">
    <w:name w:val="disabled1"/>
    <w:basedOn w:val="41"/>
    <w:qFormat/>
    <w:uiPriority w:val="0"/>
    <w:rPr>
      <w:color w:val="444444"/>
      <w:shd w:val="clear" w:color="auto" w:fill="000000"/>
    </w:rPr>
  </w:style>
  <w:style w:type="character" w:customStyle="1" w:styleId="172">
    <w:name w:val="disabled3"/>
    <w:basedOn w:val="41"/>
    <w:qFormat/>
    <w:uiPriority w:val="0"/>
    <w:rPr>
      <w:vanish/>
    </w:rPr>
  </w:style>
  <w:style w:type="character" w:customStyle="1" w:styleId="173">
    <w:name w:val="批注文字 字符"/>
    <w:basedOn w:val="41"/>
    <w:qFormat/>
    <w:uiPriority w:val="0"/>
    <w:rPr>
      <w:kern w:val="2"/>
      <w:sz w:val="21"/>
      <w:szCs w:val="21"/>
    </w:rPr>
  </w:style>
  <w:style w:type="character" w:customStyle="1" w:styleId="174">
    <w:name w:val="disabled12"/>
    <w:basedOn w:val="41"/>
    <w:qFormat/>
    <w:uiPriority w:val="0"/>
    <w:rPr>
      <w:color w:val="FFE3C6"/>
      <w:bdr w:val="single" w:color="FFE3C6" w:sz="6" w:space="0"/>
    </w:rPr>
  </w:style>
  <w:style w:type="character" w:customStyle="1" w:styleId="175">
    <w:name w:val="disabled11"/>
    <w:basedOn w:val="41"/>
    <w:qFormat/>
    <w:uiPriority w:val="0"/>
    <w:rPr>
      <w:color w:val="ADAAAD"/>
    </w:rPr>
  </w:style>
  <w:style w:type="character" w:customStyle="1" w:styleId="176">
    <w:name w:val="font01"/>
    <w:basedOn w:val="41"/>
    <w:qFormat/>
    <w:uiPriority w:val="0"/>
    <w:rPr>
      <w:rFonts w:hint="eastAsia" w:ascii="宋体" w:hAnsi="宋体" w:eastAsia="宋体" w:cs="宋体"/>
      <w:color w:val="000000"/>
      <w:sz w:val="22"/>
      <w:szCs w:val="22"/>
      <w:u w:val="none"/>
    </w:rPr>
  </w:style>
  <w:style w:type="character" w:customStyle="1" w:styleId="177">
    <w:name w:val="disabled17"/>
    <w:basedOn w:val="41"/>
    <w:qFormat/>
    <w:uiPriority w:val="0"/>
    <w:rPr>
      <w:color w:val="DDDDDD"/>
      <w:bdr w:val="single" w:color="EEEEEE" w:sz="6" w:space="0"/>
    </w:rPr>
  </w:style>
  <w:style w:type="character" w:customStyle="1" w:styleId="178">
    <w:name w:val="disabled15"/>
    <w:basedOn w:val="41"/>
    <w:qFormat/>
    <w:uiPriority w:val="0"/>
    <w:rPr>
      <w:color w:val="868686"/>
      <w:shd w:val="clear" w:color="auto" w:fill="3E3E3E"/>
    </w:rPr>
  </w:style>
  <w:style w:type="character" w:customStyle="1" w:styleId="179">
    <w:name w:val="current2"/>
    <w:basedOn w:val="41"/>
    <w:qFormat/>
    <w:uiPriority w:val="0"/>
    <w:rPr>
      <w:color w:val="000000"/>
      <w:shd w:val="clear" w:color="auto" w:fill="FFFFFF"/>
    </w:rPr>
  </w:style>
  <w:style w:type="character" w:customStyle="1" w:styleId="180">
    <w:name w:val="正文文本缩进 字符1"/>
    <w:basedOn w:val="41"/>
    <w:qFormat/>
    <w:uiPriority w:val="0"/>
    <w:rPr>
      <w:kern w:val="2"/>
      <w:sz w:val="21"/>
      <w:szCs w:val="21"/>
    </w:rPr>
  </w:style>
  <w:style w:type="character" w:customStyle="1" w:styleId="181">
    <w:name w:val="批注主题 字符1"/>
    <w:basedOn w:val="65"/>
    <w:qFormat/>
    <w:uiPriority w:val="0"/>
    <w:rPr>
      <w:rFonts w:eastAsia="宋体"/>
      <w:b/>
      <w:kern w:val="2"/>
      <w:sz w:val="21"/>
      <w:szCs w:val="21"/>
    </w:rPr>
  </w:style>
  <w:style w:type="character" w:customStyle="1" w:styleId="182">
    <w:name w:val="文档结构图 字符1"/>
    <w:basedOn w:val="41"/>
    <w:qFormat/>
    <w:uiPriority w:val="0"/>
    <w:rPr>
      <w:rFonts w:hint="eastAsia" w:ascii="Microsoft YaHei UI" w:hAnsi="Microsoft YaHei UI" w:eastAsia="Microsoft YaHei UI" w:cs="Microsoft YaHei UI"/>
      <w:kern w:val="2"/>
      <w:sz w:val="18"/>
      <w:szCs w:val="18"/>
    </w:rPr>
  </w:style>
  <w:style w:type="character" w:customStyle="1" w:styleId="183">
    <w:name w:val="日期 字符1"/>
    <w:basedOn w:val="41"/>
    <w:qFormat/>
    <w:uiPriority w:val="0"/>
    <w:rPr>
      <w:kern w:val="2"/>
      <w:sz w:val="21"/>
      <w:szCs w:val="21"/>
    </w:rPr>
  </w:style>
  <w:style w:type="character" w:customStyle="1" w:styleId="184">
    <w:name w:val="正文文本缩进 2 字符1"/>
    <w:basedOn w:val="41"/>
    <w:qFormat/>
    <w:uiPriority w:val="0"/>
    <w:rPr>
      <w:kern w:val="2"/>
      <w:sz w:val="21"/>
      <w:szCs w:val="21"/>
    </w:rPr>
  </w:style>
  <w:style w:type="character" w:customStyle="1" w:styleId="185">
    <w:name w:val="批注框文本 字符1"/>
    <w:basedOn w:val="41"/>
    <w:qFormat/>
    <w:uiPriority w:val="0"/>
    <w:rPr>
      <w:kern w:val="2"/>
      <w:sz w:val="18"/>
      <w:szCs w:val="18"/>
    </w:rPr>
  </w:style>
  <w:style w:type="character" w:customStyle="1" w:styleId="186">
    <w:name w:val="页眉 字符1"/>
    <w:basedOn w:val="41"/>
    <w:qFormat/>
    <w:uiPriority w:val="0"/>
    <w:rPr>
      <w:kern w:val="2"/>
      <w:sz w:val="18"/>
      <w:szCs w:val="18"/>
    </w:rPr>
  </w:style>
  <w:style w:type="character" w:customStyle="1" w:styleId="187">
    <w:name w:val="z-窗体顶端 字符1"/>
    <w:basedOn w:val="41"/>
    <w:qFormat/>
    <w:uiPriority w:val="0"/>
    <w:rPr>
      <w:rFonts w:hint="default" w:ascii="Arial" w:hAnsi="Arial" w:cs="Arial"/>
      <w:vanish/>
      <w:kern w:val="2"/>
      <w:sz w:val="16"/>
      <w:szCs w:val="16"/>
    </w:rPr>
  </w:style>
  <w:style w:type="character" w:customStyle="1" w:styleId="188">
    <w:name w:val="z-窗体底端 字符1"/>
    <w:basedOn w:val="41"/>
    <w:qFormat/>
    <w:uiPriority w:val="0"/>
    <w:rPr>
      <w:rFonts w:hint="default" w:ascii="Arial" w:hAnsi="Arial" w:cs="Arial"/>
      <w:vanish/>
      <w:kern w:val="2"/>
      <w:sz w:val="16"/>
      <w:szCs w:val="16"/>
    </w:rPr>
  </w:style>
  <w:style w:type="paragraph" w:customStyle="1" w:styleId="189">
    <w:name w:val="Table Paragraph"/>
    <w:basedOn w:val="1"/>
    <w:qFormat/>
    <w:uiPriority w:val="99"/>
    <w:rPr>
      <w:rFonts w:ascii="宋体" w:hAnsi="宋体" w:cs="宋体"/>
      <w:lang w:val="zh-CN"/>
    </w:rPr>
  </w:style>
  <w:style w:type="paragraph" w:customStyle="1" w:styleId="19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1">
    <w:name w:val="WPSOffice手动目录 1"/>
    <w:qFormat/>
    <w:uiPriority w:val="0"/>
    <w:pPr>
      <w:ind w:leftChars="0"/>
    </w:pPr>
    <w:rPr>
      <w:rFonts w:ascii="Times New Roman" w:hAnsi="Times New Roman" w:eastAsia="宋体" w:cs="Times New Roman"/>
      <w:sz w:val="20"/>
      <w:szCs w:val="20"/>
    </w:rPr>
  </w:style>
  <w:style w:type="paragraph" w:customStyle="1" w:styleId="192">
    <w:name w:val=" Char Char Char Char"/>
    <w:basedOn w:val="9"/>
    <w:qFormat/>
    <w:uiPriority w:val="0"/>
    <w:pPr>
      <w:shd w:val="clear" w:color="auto" w:fill="00008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125</Pages>
  <Words>21117</Words>
  <Characters>22346</Characters>
  <Lines>235</Lines>
  <Paragraphs>66</Paragraphs>
  <TotalTime>21</TotalTime>
  <ScaleCrop>false</ScaleCrop>
  <LinksUpToDate>false</LinksUpToDate>
  <CharactersWithSpaces>23430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夏天</cp:lastModifiedBy>
  <cp:lastPrinted>2024-09-29T00:53:00Z</cp:lastPrinted>
  <dcterms:modified xsi:type="dcterms:W3CDTF">2024-12-03T06:59:41Z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AD1648F0CBD24630BBD3D76023BAECC2_13</vt:lpwstr>
  </property>
</Properties>
</file>