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cs="宋体"/>
          <w:b/>
          <w:bCs w:val="0"/>
          <w:color w:val="auto"/>
          <w:sz w:val="56"/>
          <w:szCs w:val="56"/>
          <w:highlight w:val="none"/>
          <w:lang w:eastAsia="zh-CN"/>
        </w:rPr>
      </w:pPr>
      <w:bookmarkStart w:id="0" w:name="_Toc381880843"/>
      <w:r>
        <w:rPr>
          <w:rFonts w:hint="eastAsia" w:ascii="宋体" w:hAnsi="宋体" w:cs="宋体"/>
          <w:b/>
          <w:bCs w:val="0"/>
          <w:color w:val="auto"/>
          <w:sz w:val="56"/>
          <w:szCs w:val="56"/>
          <w:highlight w:val="none"/>
          <w:lang w:eastAsia="zh-CN"/>
        </w:rPr>
        <w:t>邹城市石墙镇大石一村市级和美乡村</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r>
        <w:rPr>
          <w:rFonts w:hint="eastAsia" w:ascii="宋体" w:hAnsi="宋体" w:cs="宋体"/>
          <w:b/>
          <w:bCs w:val="0"/>
          <w:color w:val="auto"/>
          <w:sz w:val="56"/>
          <w:szCs w:val="56"/>
          <w:highlight w:val="none"/>
          <w:lang w:eastAsia="zh-CN"/>
        </w:rPr>
        <w:t>建设工程</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ZCTW-2024-019</w:t>
      </w:r>
    </w:p>
    <w:p>
      <w:pPr>
        <w:pStyle w:val="6"/>
        <w:jc w:val="center"/>
        <w:rPr>
          <w:rFonts w:hint="eastAsia" w:ascii="宋体" w:hAnsi="宋体" w:eastAsia="宋体" w:cs="宋体"/>
          <w:b/>
          <w:color w:val="auto"/>
          <w:sz w:val="28"/>
          <w:szCs w:val="21"/>
          <w:highlight w:val="none"/>
          <w:lang w:val="en-US" w:eastAsia="zh-CN"/>
        </w:rPr>
      </w:pPr>
    </w:p>
    <w:p>
      <w:pPr>
        <w:pStyle w:val="6"/>
        <w:jc w:val="center"/>
        <w:rPr>
          <w:rFonts w:hint="eastAsia" w:ascii="宋体"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期：二○二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4"/>
      <w:bookmarkStart w:id="4" w:name="_Hlt496185565"/>
      <w:bookmarkStart w:id="5" w:name="_Hlt496175997"/>
      <w:bookmarkStart w:id="6" w:name="_Hlt496175998"/>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邹城市石墙镇大石一村市级和美乡村建设工程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ZCTW-2024-019</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邹城市石墙镇大石一村市级和美乡村建设工程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主要包括：新建排水沟、街道墙面抹灰、路床整形、清表、6cm/8cm厚C30砼路面浇筑、20*10*5cm透水砖铺设、砼排水管铺设等工程</w:t>
      </w:r>
      <w:r>
        <w:rPr>
          <w:rFonts w:hint="eastAsia" w:ascii="宋体" w:hAnsi="宋体" w:cs="宋体"/>
          <w:b w:val="0"/>
          <w:bCs w:val="0"/>
          <w:color w:val="auto"/>
          <w:sz w:val="24"/>
          <w:szCs w:val="24"/>
          <w:highlight w:val="none"/>
          <w:u w:val="none"/>
          <w:lang w:val="en-US" w:eastAsia="zh-CN"/>
        </w:rPr>
        <w:t>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504821.20</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lang w:eastAsia="zh-CN"/>
        </w:rPr>
        <w:t>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lang w:eastAsia="zh-CN"/>
        </w:rPr>
        <w:t>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val="0"/>
          <w:bCs w:val="0"/>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val="0"/>
          <w:bCs w:val="0"/>
          <w:color w:val="auto"/>
          <w:kern w:val="0"/>
          <w:sz w:val="24"/>
          <w:szCs w:val="24"/>
          <w:highlight w:val="none"/>
          <w:u w:val="single"/>
          <w:lang w:val="en-US" w:eastAsia="zh-CN"/>
        </w:rPr>
        <w:t>以及评审办法中需要提供的验证资料</w:t>
      </w: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u w:val="single"/>
          <w:lang w:val="en-US" w:eastAsia="zh-CN"/>
        </w:rPr>
        <w:t>涉及评审办法的，将不予计分</w:t>
      </w:r>
      <w:r>
        <w:rPr>
          <w:rFonts w:hint="eastAsia" w:ascii="宋体" w:hAnsi="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以上证件中如果具有电子证书</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05</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lang w:val="en-US" w:eastAsia="zh-CN"/>
        </w:rPr>
        <w:t xml:space="preserve"> 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lang w:val="en-US" w:eastAsia="zh-CN"/>
        </w:rPr>
        <w:t>年0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lang w:eastAsia="zh-CN"/>
        </w:rPr>
        <w:t>郑主任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13792391130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bookmarkStart w:id="89" w:name="_GoBack"/>
      <w:bookmarkEnd w:id="89"/>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eastAsia="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建筑工程</w:t>
      </w:r>
      <w:r>
        <w:rPr>
          <w:rFonts w:hint="eastAsia" w:ascii="宋体" w:hAnsi="宋体" w:eastAsia="宋体" w:cs="宋体"/>
          <w:b/>
          <w:bCs/>
          <w:color w:val="auto"/>
          <w:kern w:val="0"/>
          <w:sz w:val="21"/>
          <w:szCs w:val="21"/>
          <w:highlight w:val="none"/>
          <w:u w:val="single"/>
          <w:lang w:eastAsia="zh-CN"/>
        </w:rPr>
        <w:t>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建筑工程</w:t>
      </w:r>
      <w:r>
        <w:rPr>
          <w:rFonts w:hint="eastAsia" w:ascii="宋体" w:hAnsi="宋体" w:eastAsia="宋体" w:cs="宋体"/>
          <w:b/>
          <w:bCs/>
          <w:color w:val="auto"/>
          <w:kern w:val="0"/>
          <w:sz w:val="21"/>
          <w:szCs w:val="21"/>
          <w:highlight w:val="none"/>
          <w:u w:val="single"/>
          <w:lang w:eastAsia="zh-CN"/>
        </w:rPr>
        <w:t>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w:t>
      </w:r>
      <w:r>
        <w:rPr>
          <w:rFonts w:hint="eastAsia" w:ascii="宋体" w:hAnsi="宋体" w:eastAsia="宋体" w:cs="宋体"/>
          <w:b w:val="0"/>
          <w:bCs/>
          <w:color w:val="auto"/>
          <w:szCs w:val="21"/>
          <w:highlight w:val="none"/>
          <w:lang w:eastAsia="zh-CN"/>
        </w:rPr>
        <w:t>年</w:t>
      </w:r>
      <w:r>
        <w:rPr>
          <w:rFonts w:hint="eastAsia" w:ascii="宋体" w:hAnsi="宋体" w:eastAsia="宋体" w:cs="宋体"/>
          <w:b w:val="0"/>
          <w:bCs/>
          <w:color w:val="auto"/>
          <w:szCs w:val="21"/>
          <w:highlight w:val="none"/>
          <w:lang w:val="en-US" w:eastAsia="zh-CN"/>
        </w:rPr>
        <w:t>0</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28</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15</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分前递交至邹城市石墙镇公共资源交易中心开标室。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504821.20</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44</w:t>
      </w:r>
      <w:r>
        <w:rPr>
          <w:rFonts w:hint="eastAsia" w:ascii="宋体" w:hAnsi="宋体" w:eastAsia="宋体" w:cs="宋体"/>
          <w:b/>
          <w:bCs/>
          <w:color w:val="auto"/>
          <w:szCs w:val="21"/>
          <w:highlight w:val="none"/>
          <w:u w:val="single"/>
          <w:lang w:val="en-US" w:eastAsia="zh-CN"/>
        </w:rPr>
        <w:t xml:space="preserve">00.00元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肆仟肆佰元整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评审费：</w:t>
      </w:r>
      <w:r>
        <w:rPr>
          <w:rFonts w:hint="eastAsia" w:ascii="宋体" w:hAnsi="宋体" w:cs="宋体"/>
          <w:b/>
          <w:bCs/>
          <w:color w:val="auto"/>
          <w:szCs w:val="21"/>
          <w:highlight w:val="none"/>
          <w:u w:val="single"/>
          <w:lang w:val="en-US" w:eastAsia="zh-CN"/>
        </w:rPr>
        <w:t>1067.00元</w:t>
      </w:r>
      <w:r>
        <w:rPr>
          <w:rFonts w:hint="eastAsia" w:ascii="宋体" w:hAnsi="宋体" w:cs="宋体"/>
          <w:b/>
          <w:bCs/>
          <w:color w:val="auto"/>
          <w:szCs w:val="21"/>
          <w:highlight w:val="none"/>
          <w:u w:val="none"/>
          <w:lang w:val="en-US" w:eastAsia="zh-CN"/>
        </w:rPr>
        <w:t>（</w:t>
      </w:r>
      <w:r>
        <w:rPr>
          <w:rFonts w:hint="eastAsia" w:ascii="宋体" w:hAnsi="宋体" w:cs="宋体"/>
          <w:b/>
          <w:bCs/>
          <w:color w:val="auto"/>
          <w:szCs w:val="21"/>
          <w:highlight w:val="none"/>
          <w:u w:val="single"/>
          <w:lang w:val="en-US" w:eastAsia="zh-CN"/>
        </w:rPr>
        <w:t>壹仟零陆拾柒元整</w:t>
      </w:r>
      <w:r>
        <w:rPr>
          <w:rFonts w:hint="eastAsia" w:ascii="宋体" w:hAnsi="宋体" w:cs="宋体"/>
          <w:b/>
          <w:bCs/>
          <w:color w:val="auto"/>
          <w:szCs w:val="21"/>
          <w:highlight w:val="none"/>
          <w:u w:val="none"/>
          <w:lang w:val="en-US" w:eastAsia="zh-CN"/>
        </w:rPr>
        <w:t>）（代收）。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并经相关部门验收合格后，按上级资金到位情况付至合同价30%，经审计部门审计完成后第二年付至审定价款的40%，第三年无息付剩余工程款30%。工程最终结算造价以审计部门审定结果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1211"/>
      <w:bookmarkStart w:id="12" w:name="_Toc31011"/>
      <w:bookmarkStart w:id="13" w:name="_Toc11977"/>
      <w:bookmarkStart w:id="14" w:name="_Toc30291"/>
      <w:bookmarkStart w:id="15" w:name="_Toc22085"/>
      <w:bookmarkStart w:id="16" w:name="_Toc494210626"/>
      <w:bookmarkStart w:id="17" w:name="_Toc31174"/>
      <w:bookmarkStart w:id="18" w:name="_Toc22960"/>
      <w:bookmarkStart w:id="19" w:name="_Toc4171"/>
      <w:bookmarkStart w:id="20" w:name="_Toc23800"/>
      <w:bookmarkStart w:id="21" w:name="_Toc1466"/>
      <w:bookmarkStart w:id="22" w:name="_Toc130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cs="宋体"/>
                <w:b/>
                <w:color w:val="auto"/>
                <w:szCs w:val="21"/>
                <w:lang w:val="en-US" w:eastAsia="zh-CN"/>
              </w:rPr>
              <w:t>60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1</w:t>
            </w:r>
            <w:r>
              <w:rPr>
                <w:rFonts w:hint="eastAsia" w:ascii="宋体" w:hAnsi="宋体" w:cs="宋体"/>
                <w:b/>
                <w:bCs/>
                <w:color w:val="auto"/>
                <w:szCs w:val="21"/>
                <w:lang w:val="en-US" w:eastAsia="zh-CN"/>
              </w:rPr>
              <w:t>0</w:t>
            </w:r>
            <w:r>
              <w:rPr>
                <w:rFonts w:hint="eastAsia" w:ascii="宋体" w:hAnsi="宋体" w:eastAsia="宋体" w:cs="宋体"/>
                <w:b/>
                <w:bCs/>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1</w:t>
            </w:r>
            <w:r>
              <w:rPr>
                <w:rFonts w:hint="eastAsia" w:ascii="宋体" w:hAnsi="宋体" w:eastAsia="宋体" w:cs="宋体"/>
                <w:color w:val="auto"/>
                <w:szCs w:val="21"/>
              </w:rPr>
              <w:t>年1 月1 日以来承担的类似工程业绩每项得</w:t>
            </w:r>
            <w:r>
              <w:rPr>
                <w:rFonts w:hint="eastAsia" w:ascii="宋体" w:hAnsi="宋体" w:cs="宋体"/>
                <w:color w:val="auto"/>
                <w:szCs w:val="21"/>
                <w:lang w:val="en-US" w:eastAsia="zh-CN"/>
              </w:rPr>
              <w:t>2.5</w:t>
            </w:r>
            <w:r>
              <w:rPr>
                <w:rFonts w:hint="eastAsia" w:ascii="宋体" w:hAnsi="宋体" w:eastAsia="宋体" w:cs="宋体"/>
                <w:color w:val="auto"/>
                <w:szCs w:val="21"/>
              </w:rPr>
              <w:t>分，满分</w:t>
            </w:r>
            <w:r>
              <w:rPr>
                <w:rFonts w:hint="eastAsia" w:ascii="宋体" w:hAnsi="宋体" w:cs="宋体"/>
                <w:color w:val="auto"/>
                <w:szCs w:val="21"/>
                <w:lang w:val="en-US" w:eastAsia="zh-CN"/>
              </w:rPr>
              <w:t>10</w:t>
            </w:r>
            <w:r>
              <w:rPr>
                <w:rFonts w:hint="eastAsia" w:ascii="宋体" w:hAnsi="宋体" w:eastAsia="宋体" w:cs="宋体"/>
                <w:color w:val="auto"/>
                <w:szCs w:val="21"/>
              </w:rPr>
              <w:t>分。</w:t>
            </w:r>
          </w:p>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备注：①类似项目工程以施工合同原件和</w:t>
            </w:r>
            <w:r>
              <w:rPr>
                <w:rFonts w:hint="eastAsia" w:ascii="宋体" w:hAnsi="宋体" w:cs="宋体"/>
                <w:color w:val="auto"/>
                <w:szCs w:val="21"/>
                <w:lang w:val="en-US" w:eastAsia="zh-CN"/>
              </w:rPr>
              <w:t>成交（中标）通知书</w:t>
            </w:r>
            <w:r>
              <w:rPr>
                <w:rFonts w:hint="eastAsia" w:ascii="宋体" w:hAnsi="宋体" w:eastAsia="宋体" w:cs="宋体"/>
                <w:color w:val="auto"/>
                <w:szCs w:val="21"/>
              </w:rPr>
              <w:t>为准，二者缺一不可；时间以</w:t>
            </w:r>
            <w:r>
              <w:rPr>
                <w:rFonts w:hint="eastAsia" w:ascii="宋体" w:hAnsi="宋体" w:cs="宋体"/>
                <w:color w:val="auto"/>
                <w:szCs w:val="21"/>
                <w:lang w:val="en-US" w:eastAsia="zh-CN"/>
              </w:rPr>
              <w:t>合同</w:t>
            </w:r>
            <w:r>
              <w:rPr>
                <w:rFonts w:hint="eastAsia" w:ascii="宋体" w:hAnsi="宋体" w:eastAsia="宋体" w:cs="宋体"/>
                <w:color w:val="auto"/>
                <w:szCs w:val="21"/>
              </w:rPr>
              <w:t>签订的时间为准；类似工程业绩</w:t>
            </w:r>
            <w:r>
              <w:rPr>
                <w:rFonts w:hint="eastAsia" w:ascii="宋体" w:hAnsi="宋体" w:eastAsia="宋体" w:cs="宋体"/>
                <w:color w:val="auto"/>
                <w:szCs w:val="21"/>
                <w:lang w:eastAsia="zh-CN"/>
              </w:rPr>
              <w:t>指</w:t>
            </w:r>
            <w:r>
              <w:rPr>
                <w:rFonts w:hint="eastAsia" w:ascii="宋体" w:hAnsi="宋体" w:eastAsia="宋体" w:cs="宋体"/>
                <w:color w:val="auto"/>
                <w:szCs w:val="21"/>
              </w:rPr>
              <w:t>：</w:t>
            </w:r>
            <w:r>
              <w:rPr>
                <w:rFonts w:hint="eastAsia" w:ascii="宋体" w:hAnsi="宋体" w:cs="宋体"/>
                <w:color w:val="auto"/>
                <w:szCs w:val="21"/>
                <w:lang w:eastAsia="zh-CN"/>
              </w:rPr>
              <w:t>建筑工程</w:t>
            </w:r>
            <w:r>
              <w:rPr>
                <w:rFonts w:hint="eastAsia" w:ascii="宋体" w:hAnsi="宋体" w:eastAsia="宋体" w:cs="宋体"/>
                <w:color w:val="auto"/>
                <w:szCs w:val="21"/>
              </w:rPr>
              <w:t>；②磋商响应文件中须附该打分项涉及的施工合同和</w:t>
            </w:r>
            <w:r>
              <w:rPr>
                <w:rFonts w:hint="eastAsia" w:ascii="宋体" w:hAnsi="宋体" w:cs="宋体"/>
                <w:color w:val="auto"/>
                <w:szCs w:val="21"/>
                <w:lang w:val="en-US" w:eastAsia="zh-CN"/>
              </w:rPr>
              <w:t>成交（中标）通知书</w:t>
            </w:r>
            <w:r>
              <w:rPr>
                <w:rFonts w:hint="eastAsia" w:ascii="宋体" w:hAnsi="宋体" w:eastAsia="宋体" w:cs="宋体"/>
                <w:color w:val="auto"/>
                <w:szCs w:val="21"/>
              </w:rPr>
              <w:t>等复印件，否则不予认可。</w:t>
            </w:r>
          </w:p>
        </w:tc>
      </w:tr>
    </w:tbl>
    <w:p>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邹城市石墙镇大石一村市级和美乡村建设工程</w:t>
      </w:r>
      <w:r>
        <w:rPr>
          <w:rFonts w:hint="eastAsia" w:ascii="宋体" w:hAnsi="宋体" w:eastAsia="宋体" w:cs="宋体"/>
          <w:b w:val="0"/>
          <w:bCs/>
          <w:color w:val="auto"/>
          <w:sz w:val="24"/>
          <w:szCs w:val="24"/>
          <w:highlight w:val="none"/>
          <w:lang w:eastAsia="zh-CN"/>
        </w:rPr>
        <w:t>，主要包括</w:t>
      </w:r>
      <w:r>
        <w:rPr>
          <w:rFonts w:hint="eastAsia" w:ascii="宋体" w:hAnsi="宋体" w:eastAsia="宋体" w:cs="宋体"/>
          <w:b w:val="0"/>
          <w:bCs/>
          <w:color w:val="auto"/>
          <w:sz w:val="24"/>
          <w:szCs w:val="24"/>
          <w:highlight w:val="none"/>
          <w:lang w:val="en-US" w:eastAsia="zh-CN"/>
        </w:rPr>
        <w:t>：新建排水沟、街道墙面抹灰、路床整形、清表、6cm/8cm厚C30砼路面浇筑、20*10*5cm透水砖铺设、砼排水管铺设等工程</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16480"/>
      <w:bookmarkStart w:id="24" w:name="_Toc24173"/>
      <w:bookmarkStart w:id="25" w:name="_Toc30448"/>
      <w:bookmarkStart w:id="26" w:name="_Toc1352"/>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504821.20</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45</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7606"/>
      <w:bookmarkStart w:id="30" w:name="_Toc424914274"/>
      <w:bookmarkStart w:id="31" w:name="_Toc15147"/>
      <w:bookmarkStart w:id="32" w:name="_Toc196637413"/>
      <w:bookmarkStart w:id="33" w:name="_Toc196637767"/>
      <w:bookmarkStart w:id="34" w:name="_Toc196637649"/>
      <w:bookmarkStart w:id="35" w:name="_Toc224699375"/>
      <w:bookmarkStart w:id="36" w:name="_Toc184635098"/>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本工程无预付款，全部工程竣工并经相关部门验收合格后，按上级资金到位情况付至合同价30 %，经审计部门审计完成后第二年付至审定价款的 40%，第三年无息付剩余工程款30%。工程最终结算造价以审计部门审定结果为准。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66591273"/>
      <w:bookmarkStart w:id="39" w:name="_Toc30090117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本工程无预付款，全部工程竣工并经相关部门验收合格后，按上级资金到位情况付至合同价30 %，经审计部门审计完成后第二年付至审定价款的 40%，第三年无息付剩余工程款30%。工程最终结算造价以审计部门审定结果为准。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694"/>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邹城市石墙镇大石一村市级和美乡村建设工程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7904"/>
      <w:bookmarkStart w:id="46" w:name="_Toc26783"/>
      <w:bookmarkStart w:id="47" w:name="_Toc1716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ZCTW-2024-019</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19904"/>
      <w:bookmarkStart w:id="49" w:name="_Toc26481"/>
      <w:bookmarkStart w:id="50" w:name="_Toc29657"/>
      <w:bookmarkStart w:id="51"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8435"/>
      <w:bookmarkStart w:id="53" w:name="_Toc12737"/>
      <w:bookmarkStart w:id="54" w:name="_Toc32061"/>
      <w:bookmarkStart w:id="55"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15367"/>
      <w:bookmarkStart w:id="57" w:name="_Toc7829"/>
      <w:bookmarkStart w:id="58" w:name="_Toc6839"/>
      <w:bookmarkStart w:id="59" w:name="_Toc5121"/>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3064"/>
      <w:bookmarkStart w:id="61" w:name="_Toc8709"/>
      <w:bookmarkStart w:id="62" w:name="_Toc6905"/>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23642004"/>
      <w:bookmarkStart w:id="64" w:name="_Toc374107073"/>
      <w:bookmarkStart w:id="65" w:name="_Toc1413"/>
      <w:bookmarkStart w:id="66" w:name="_Toc300901199"/>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74107067"/>
      <w:bookmarkStart w:id="68" w:name="_Toc300901193"/>
      <w:bookmarkStart w:id="69" w:name="_Toc4405"/>
      <w:bookmarkStart w:id="70" w:name="_Toc323641999"/>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74107072"/>
      <w:bookmarkStart w:id="77" w:name="_Toc323642003"/>
      <w:bookmarkStart w:id="78" w:name="_Toc300901198"/>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29043"/>
      <w:bookmarkStart w:id="80" w:name="_Toc374107074"/>
      <w:bookmarkStart w:id="81" w:name="_Toc323642005"/>
      <w:bookmarkStart w:id="82" w:name="_Toc300901200"/>
    </w:p>
    <w:p>
      <w:pPr>
        <w:pStyle w:val="4"/>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建筑工程</w:t>
      </w:r>
      <w:r>
        <w:rPr>
          <w:rFonts w:hint="eastAsia" w:ascii="宋体" w:hAnsi="宋体" w:eastAsia="宋体" w:cs="宋体"/>
          <w:color w:val="auto"/>
          <w:sz w:val="21"/>
          <w:szCs w:val="21"/>
          <w:highlight w:val="none"/>
          <w:lang w:bidi="ar"/>
        </w:rPr>
        <w:t>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0369"/>
      <w:bookmarkStart w:id="85" w:name="_Toc12296"/>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4BA9161A"/>
    <w:rsid w:val="07C20BD9"/>
    <w:rsid w:val="0AD60628"/>
    <w:rsid w:val="0F0B4840"/>
    <w:rsid w:val="19A93388"/>
    <w:rsid w:val="32E90EBD"/>
    <w:rsid w:val="40AF7E49"/>
    <w:rsid w:val="4BA9161A"/>
    <w:rsid w:val="5BC72157"/>
    <w:rsid w:val="71520BC7"/>
    <w:rsid w:val="760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2024-05-13T01:44:00Z</dcterms:created>
  <dc:creator>崔联梅(天伟工程审计公司)</dc:creator>
  <cp:lastModifiedBy>崔联梅(天伟工程审计公司)</cp:lastModifiedBy>
  <dcterms:modified xsi:type="dcterms:W3CDTF">2024-05-17T00:23:43Z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41668BFBDB5C4391891F0A7A849DA174_11</vt:lpwstr>
  </property>
</Properties>
</file>