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djustRightInd w:val="0"/>
        <w:snapToGrid w:val="0"/>
        <w:spacing w:line="360" w:lineRule="auto"/>
        <w:rPr>
          <w:rFonts w:ascii="宋体" w:hAnsi="宋体" w:cs="宋体"/>
          <w:b/>
          <w:bCs/>
          <w:w w:val="90"/>
          <w:kern w:val="16"/>
          <w:sz w:val="24"/>
        </w:rPr>
      </w:pPr>
      <w:r>
        <w:rPr>
          <w:rFonts w:hint="eastAsia" w:ascii="宋体" w:hAnsi="宋体" w:cs="宋体"/>
          <w:b/>
          <w:bCs/>
          <w:w w:val="90"/>
          <w:kern w:val="16"/>
          <w:sz w:val="24"/>
        </w:rPr>
        <w:t xml:space="preserve">   </w:t>
      </w:r>
    </w:p>
    <w:p>
      <w:pPr>
        <w:pStyle w:val="26"/>
        <w:wordWrap w:val="0"/>
        <w:topLinePunct/>
        <w:rPr>
          <w:rFonts w:ascii="宋体" w:hAnsi="宋体" w:cs="宋体"/>
          <w:sz w:val="36"/>
          <w:szCs w:val="36"/>
        </w:rPr>
      </w:pPr>
    </w:p>
    <w:p>
      <w:pPr>
        <w:pStyle w:val="14"/>
        <w:wordWrap w:val="0"/>
        <w:topLinePunct/>
        <w:snapToGrid w:val="0"/>
        <w:spacing w:line="360" w:lineRule="auto"/>
        <w:jc w:val="center"/>
        <w:rPr>
          <w:rFonts w:hint="eastAsia" w:hAnsi="宋体" w:eastAsia="宋体" w:cs="宋体"/>
          <w:b/>
          <w:bCs/>
          <w:kern w:val="16"/>
          <w:sz w:val="44"/>
          <w:szCs w:val="44"/>
          <w:lang w:eastAsia="zh-CN"/>
        </w:rPr>
      </w:pPr>
      <w:bookmarkStart w:id="0" w:name="_Toc381880843"/>
      <w:r>
        <w:rPr>
          <w:rFonts w:hint="eastAsia" w:hAnsi="宋体" w:cs="宋体"/>
          <w:b/>
          <w:bCs/>
          <w:kern w:val="16"/>
          <w:sz w:val="44"/>
          <w:szCs w:val="44"/>
          <w:lang w:eastAsia="zh-CN"/>
        </w:rPr>
        <w:t>邹城市千泉街道郭庄社区线路改造工程</w:t>
      </w:r>
    </w:p>
    <w:p>
      <w:pPr>
        <w:pStyle w:val="14"/>
        <w:wordWrap w:val="0"/>
        <w:topLinePunct/>
        <w:snapToGrid w:val="0"/>
        <w:spacing w:line="360" w:lineRule="auto"/>
        <w:jc w:val="center"/>
        <w:rPr>
          <w:rFonts w:hint="eastAsia" w:hAnsi="宋体" w:cs="宋体"/>
          <w:b/>
          <w:sz w:val="72"/>
          <w:szCs w:val="72"/>
        </w:rPr>
      </w:pPr>
    </w:p>
    <w:p>
      <w:pPr>
        <w:pStyle w:val="14"/>
        <w:wordWrap w:val="0"/>
        <w:topLinePunct/>
        <w:snapToGrid w:val="0"/>
        <w:spacing w:line="360" w:lineRule="auto"/>
        <w:jc w:val="center"/>
        <w:rPr>
          <w:rFonts w:hAnsi="宋体" w:cs="宋体"/>
          <w:b/>
          <w:kern w:val="0"/>
          <w:sz w:val="96"/>
          <w:szCs w:val="96"/>
        </w:rPr>
      </w:pPr>
      <w:r>
        <w:rPr>
          <w:rFonts w:hint="eastAsia" w:hAnsi="宋体" w:cs="宋体"/>
          <w:b/>
          <w:sz w:val="72"/>
          <w:szCs w:val="72"/>
        </w:rPr>
        <w:t>竞争性磋商文件</w:t>
      </w:r>
      <w:bookmarkEnd w:id="0"/>
    </w:p>
    <w:p>
      <w:pPr>
        <w:pStyle w:val="14"/>
        <w:wordWrap w:val="0"/>
        <w:topLinePunct/>
        <w:snapToGrid w:val="0"/>
        <w:spacing w:line="360" w:lineRule="auto"/>
        <w:jc w:val="center"/>
        <w:rPr>
          <w:rFonts w:hint="eastAsia" w:hAnsi="宋体" w:cs="宋体"/>
          <w:b/>
          <w:kern w:val="0"/>
          <w:sz w:val="28"/>
          <w:szCs w:val="28"/>
          <w:lang w:eastAsia="zh-CN"/>
        </w:rPr>
      </w:pPr>
      <w:r>
        <w:rPr>
          <w:rFonts w:hint="eastAsia" w:hAnsi="宋体" w:cs="宋体"/>
          <w:b/>
          <w:kern w:val="0"/>
          <w:sz w:val="28"/>
          <w:szCs w:val="28"/>
        </w:rPr>
        <w:t>项目编号：</w:t>
      </w:r>
      <w:r>
        <w:rPr>
          <w:rFonts w:hint="eastAsia" w:hAnsi="宋体" w:cs="宋体"/>
          <w:b/>
          <w:kern w:val="0"/>
          <w:sz w:val="28"/>
          <w:szCs w:val="28"/>
          <w:lang w:eastAsia="zh-CN"/>
        </w:rPr>
        <w:t>LZZX-2024-1119</w:t>
      </w:r>
    </w:p>
    <w:p>
      <w:pPr>
        <w:pStyle w:val="14"/>
        <w:wordWrap w:val="0"/>
        <w:topLinePunct/>
        <w:snapToGrid w:val="0"/>
        <w:spacing w:line="360" w:lineRule="auto"/>
        <w:jc w:val="center"/>
        <w:rPr>
          <w:rFonts w:hint="eastAsia" w:hAnsi="宋体" w:cs="宋体"/>
          <w:b/>
          <w:kern w:val="0"/>
          <w:sz w:val="36"/>
          <w:szCs w:val="36"/>
          <w:lang w:eastAsia="zh-CN"/>
        </w:rPr>
      </w:pPr>
      <w:r>
        <w:drawing>
          <wp:inline distT="0" distB="0" distL="0" distR="0">
            <wp:extent cx="3786505" cy="3445510"/>
            <wp:effectExtent l="0" t="0" r="4445" b="2540"/>
            <wp:docPr id="1026" name="图片 1" descr="488d134b1eba262f56a16db6eaea6a38"/>
            <wp:cNvGraphicFramePr/>
            <a:graphic xmlns:a="http://schemas.openxmlformats.org/drawingml/2006/main">
              <a:graphicData uri="http://schemas.openxmlformats.org/drawingml/2006/picture">
                <pic:pic xmlns:pic="http://schemas.openxmlformats.org/drawingml/2006/picture">
                  <pic:nvPicPr>
                    <pic:cNvPr id="1026" name="图片 1" descr="488d134b1eba262f56a16db6eaea6a38"/>
                    <pic:cNvPicPr/>
                  </pic:nvPicPr>
                  <pic:blipFill>
                    <a:blip r:embed="rId17" cstate="print"/>
                    <a:srcRect/>
                    <a:stretch>
                      <a:fillRect/>
                    </a:stretch>
                  </pic:blipFill>
                  <pic:spPr>
                    <a:xfrm>
                      <a:off x="0" y="0"/>
                      <a:ext cx="3786505" cy="3445510"/>
                    </a:xfrm>
                    <a:prstGeom prst="rect">
                      <a:avLst/>
                    </a:prstGeom>
                  </pic:spPr>
                </pic:pic>
              </a:graphicData>
            </a:graphic>
          </wp:inline>
        </w:drawing>
      </w:r>
    </w:p>
    <w:p>
      <w:pPr>
        <w:pStyle w:val="14"/>
        <w:wordWrap w:val="0"/>
        <w:topLinePunct/>
        <w:snapToGrid w:val="0"/>
        <w:spacing w:line="360" w:lineRule="auto"/>
        <w:jc w:val="center"/>
        <w:rPr>
          <w:rFonts w:hAnsi="宋体" w:cs="宋体"/>
          <w:b/>
          <w:sz w:val="36"/>
          <w:szCs w:val="36"/>
        </w:rPr>
      </w:pPr>
    </w:p>
    <w:p>
      <w:pPr>
        <w:pStyle w:val="27"/>
        <w:wordWrap w:val="0"/>
        <w:topLinePunct/>
        <w:adjustRightInd w:val="0"/>
        <w:snapToGrid w:val="0"/>
        <w:spacing w:line="360" w:lineRule="auto"/>
        <w:rPr>
          <w:rFonts w:ascii="宋体" w:hAnsi="宋体" w:cs="宋体"/>
          <w:b/>
          <w:sz w:val="36"/>
          <w:szCs w:val="36"/>
        </w:rPr>
      </w:pPr>
    </w:p>
    <w:p>
      <w:pPr>
        <w:pStyle w:val="27"/>
        <w:wordWrap w:val="0"/>
        <w:topLinePunct/>
        <w:adjustRightInd w:val="0"/>
        <w:snapToGrid w:val="0"/>
        <w:spacing w:line="360" w:lineRule="auto"/>
        <w:ind w:firstLine="1600" w:firstLineChars="500"/>
        <w:rPr>
          <w:rFonts w:hint="eastAsia" w:ascii="宋体" w:hAnsi="宋体" w:eastAsia="宋体" w:cs="宋体"/>
          <w:b/>
          <w:sz w:val="32"/>
          <w:szCs w:val="32"/>
          <w:lang w:eastAsia="zh-CN"/>
        </w:rPr>
      </w:pPr>
      <w:r>
        <w:rPr>
          <w:rFonts w:hint="eastAsia" w:ascii="宋体" w:hAnsi="宋体" w:cs="宋体"/>
          <w:b/>
          <w:sz w:val="32"/>
          <w:szCs w:val="32"/>
        </w:rPr>
        <w:t>采 购 人：</w:t>
      </w:r>
      <w:r>
        <w:rPr>
          <w:rFonts w:hint="eastAsia" w:ascii="宋体" w:hAnsi="宋体" w:cs="宋体"/>
          <w:b/>
          <w:sz w:val="32"/>
          <w:szCs w:val="32"/>
          <w:u w:val="single"/>
          <w:lang w:eastAsia="zh-CN"/>
        </w:rPr>
        <w:t>邹城市千泉街道郭庄社区居民委员会</w:t>
      </w:r>
    </w:p>
    <w:p>
      <w:pPr>
        <w:tabs>
          <w:tab w:val="left" w:pos="1080"/>
        </w:tabs>
        <w:wordWrap w:val="0"/>
        <w:topLinePunct/>
        <w:adjustRightInd w:val="0"/>
        <w:snapToGrid w:val="0"/>
        <w:spacing w:line="360" w:lineRule="auto"/>
        <w:ind w:firstLine="1600" w:firstLineChars="500"/>
        <w:rPr>
          <w:rFonts w:hint="eastAsia" w:ascii="宋体" w:hAnsi="宋体" w:eastAsia="宋体" w:cs="宋体"/>
          <w:b/>
          <w:sz w:val="32"/>
          <w:szCs w:val="32"/>
          <w:u w:val="single"/>
          <w:lang w:eastAsia="zh-CN"/>
        </w:rPr>
      </w:pPr>
      <w:r>
        <w:rPr>
          <w:rFonts w:hint="eastAsia" w:ascii="宋体" w:hAnsi="宋体" w:cs="宋体"/>
          <w:b/>
          <w:sz w:val="32"/>
          <w:szCs w:val="32"/>
        </w:rPr>
        <w:t>代理机构：</w:t>
      </w:r>
      <w:r>
        <w:rPr>
          <w:rFonts w:hint="eastAsia" w:ascii="宋体" w:hAnsi="宋体" w:cs="宋体"/>
          <w:b/>
          <w:sz w:val="32"/>
          <w:szCs w:val="32"/>
          <w:u w:val="single"/>
          <w:lang w:eastAsia="zh-CN"/>
        </w:rPr>
        <w:t>山东鲁州建设项目管理咨询有限公司</w:t>
      </w:r>
    </w:p>
    <w:p>
      <w:pPr>
        <w:tabs>
          <w:tab w:val="left" w:pos="1080"/>
        </w:tabs>
        <w:wordWrap w:val="0"/>
        <w:topLinePunct/>
        <w:adjustRightInd w:val="0"/>
        <w:snapToGrid w:val="0"/>
        <w:spacing w:line="360" w:lineRule="auto"/>
        <w:ind w:firstLine="1600" w:firstLineChars="500"/>
        <w:rPr>
          <w:rFonts w:ascii="宋体" w:hAnsi="宋体" w:cs="宋体"/>
          <w:b/>
          <w:sz w:val="32"/>
          <w:szCs w:val="32"/>
        </w:rPr>
      </w:pPr>
      <w:r>
        <w:rPr>
          <w:rFonts w:hint="eastAsia" w:ascii="宋体" w:hAnsi="宋体" w:cs="宋体"/>
          <w:b/>
          <w:sz w:val="32"/>
          <w:szCs w:val="32"/>
        </w:rPr>
        <w:t>日    期：二○二</w:t>
      </w:r>
      <w:r>
        <w:rPr>
          <w:rFonts w:hint="eastAsia" w:ascii="宋体" w:hAnsi="宋体" w:cs="宋体"/>
          <w:b/>
          <w:sz w:val="32"/>
          <w:szCs w:val="32"/>
          <w:lang w:val="en-US" w:eastAsia="zh-CN"/>
        </w:rPr>
        <w:t>四</w:t>
      </w:r>
      <w:r>
        <w:rPr>
          <w:rFonts w:hint="eastAsia" w:ascii="宋体" w:hAnsi="宋体" w:cs="宋体"/>
          <w:b/>
          <w:sz w:val="32"/>
          <w:szCs w:val="32"/>
        </w:rPr>
        <w:t>年</w:t>
      </w:r>
      <w:r>
        <w:rPr>
          <w:rFonts w:hint="eastAsia" w:ascii="宋体" w:hAnsi="宋体" w:cs="宋体"/>
          <w:b/>
          <w:sz w:val="32"/>
          <w:szCs w:val="32"/>
          <w:lang w:val="en-US" w:eastAsia="zh-CN"/>
        </w:rPr>
        <w:t>三</w:t>
      </w:r>
      <w:r>
        <w:rPr>
          <w:rFonts w:hint="eastAsia" w:ascii="宋体" w:hAnsi="宋体" w:cs="宋体"/>
          <w:b/>
          <w:sz w:val="32"/>
          <w:szCs w:val="32"/>
        </w:rPr>
        <w:t>月</w:t>
      </w:r>
    </w:p>
    <w:p>
      <w:pPr>
        <w:tabs>
          <w:tab w:val="left" w:pos="1080"/>
        </w:tabs>
        <w:wordWrap w:val="0"/>
        <w:topLinePunct/>
        <w:adjustRightInd w:val="0"/>
        <w:snapToGrid w:val="0"/>
        <w:spacing w:line="360" w:lineRule="auto"/>
        <w:jc w:val="center"/>
        <w:rPr>
          <w:rFonts w:ascii="宋体" w:hAnsi="宋体" w:cs="宋体"/>
          <w:b/>
          <w:bCs/>
          <w:sz w:val="32"/>
          <w:szCs w:val="32"/>
        </w:rPr>
        <w:sectPr>
          <w:headerReference r:id="rId3" w:type="default"/>
          <w:footerReference r:id="rId5" w:type="default"/>
          <w:headerReference r:id="rId4" w:type="even"/>
          <w:footerReference r:id="rId6" w:type="even"/>
          <w:pgSz w:w="11906" w:h="16838"/>
          <w:pgMar w:top="1134" w:right="1134" w:bottom="1134" w:left="1134" w:header="851" w:footer="992" w:gutter="0"/>
          <w:cols w:space="720" w:num="1"/>
          <w:docGrid w:type="linesAndChars" w:linePitch="312" w:charSpace="0"/>
        </w:sectPr>
      </w:pPr>
    </w:p>
    <w:p>
      <w:pPr>
        <w:tabs>
          <w:tab w:val="left" w:pos="1080"/>
        </w:tabs>
        <w:wordWrap w:val="0"/>
        <w:topLinePunct/>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目   录</w:t>
      </w:r>
    </w:p>
    <w:p>
      <w:pPr>
        <w:pStyle w:val="18"/>
        <w:tabs>
          <w:tab w:val="right" w:leader="dot" w:pos="9638"/>
        </w:tabs>
        <w:wordWrap w:val="0"/>
        <w:topLinePunct/>
        <w:adjustRightInd w:val="0"/>
        <w:snapToGrid w:val="0"/>
        <w:spacing w:after="0" w:line="360" w:lineRule="auto"/>
        <w:rPr>
          <w:rFonts w:ascii="宋体" w:hAnsi="宋体" w:cs="宋体"/>
          <w:b w:val="0"/>
          <w:sz w:val="24"/>
          <w:szCs w:val="24"/>
        </w:rPr>
      </w:pPr>
      <w:bookmarkStart w:id="1" w:name="_Toc10775"/>
      <w:bookmarkStart w:id="2" w:name="_Toc15040"/>
    </w:p>
    <w:p>
      <w:pPr>
        <w:pStyle w:val="18"/>
        <w:tabs>
          <w:tab w:val="right" w:leader="dot" w:pos="9638"/>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"_Toc19138" </w:instrText>
      </w:r>
      <w:r>
        <w:fldChar w:fldCharType="separate"/>
      </w:r>
      <w:r>
        <w:rPr>
          <w:rFonts w:hint="eastAsia" w:ascii="宋体" w:hAnsi="宋体" w:cs="宋体"/>
          <w:sz w:val="24"/>
          <w:szCs w:val="24"/>
        </w:rPr>
        <w:t>第一部分  竞争性磋商公告</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18"/>
        <w:tabs>
          <w:tab w:val="right" w:leader="dot" w:pos="9638"/>
        </w:tabs>
        <w:spacing w:line="360" w:lineRule="auto"/>
        <w:rPr>
          <w:rFonts w:ascii="宋体" w:hAnsi="宋体" w:cs="宋体"/>
          <w:sz w:val="24"/>
          <w:szCs w:val="24"/>
        </w:rPr>
      </w:pPr>
      <w:r>
        <w:fldChar w:fldCharType="begin"/>
      </w:r>
      <w:r>
        <w:instrText xml:space="preserve"> HYPERLINK \l "_Toc18613" </w:instrText>
      </w:r>
      <w:r>
        <w:fldChar w:fldCharType="separate"/>
      </w:r>
      <w:r>
        <w:rPr>
          <w:rFonts w:hint="eastAsia" w:ascii="宋体" w:hAnsi="宋体" w:cs="宋体"/>
          <w:sz w:val="24"/>
          <w:szCs w:val="24"/>
        </w:rPr>
        <w:t>第二部分  磋商响应方须知</w:t>
      </w:r>
      <w:r>
        <w:rPr>
          <w:rFonts w:hint="eastAsia"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18"/>
        <w:tabs>
          <w:tab w:val="right" w:leader="dot" w:pos="9638"/>
        </w:tabs>
        <w:spacing w:line="360" w:lineRule="auto"/>
        <w:rPr>
          <w:rFonts w:hint="eastAsia" w:ascii="宋体" w:hAnsi="宋体" w:eastAsia="宋体" w:cs="宋体"/>
          <w:sz w:val="24"/>
          <w:szCs w:val="24"/>
          <w:lang w:val="en-US" w:eastAsia="zh-CN"/>
        </w:rPr>
      </w:pPr>
      <w:r>
        <w:fldChar w:fldCharType="begin"/>
      </w:r>
      <w:r>
        <w:instrText xml:space="preserve"> HYPERLINK \l "_Toc22085" </w:instrText>
      </w:r>
      <w:r>
        <w:fldChar w:fldCharType="separate"/>
      </w:r>
      <w:r>
        <w:rPr>
          <w:rFonts w:hint="eastAsia" w:ascii="宋体" w:hAnsi="宋体" w:cs="宋体"/>
          <w:sz w:val="24"/>
          <w:szCs w:val="24"/>
        </w:rPr>
        <w:t>第三部分  磋商组织、步骤与评审方法</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18"/>
        <w:tabs>
          <w:tab w:val="right" w:leader="dot" w:pos="9638"/>
        </w:tabs>
        <w:spacing w:line="360" w:lineRule="auto"/>
        <w:rPr>
          <w:rFonts w:hint="eastAsia" w:ascii="宋体" w:hAnsi="宋体" w:eastAsia="宋体" w:cs="宋体"/>
          <w:sz w:val="24"/>
          <w:szCs w:val="24"/>
          <w:lang w:eastAsia="zh-CN"/>
        </w:rPr>
      </w:pPr>
      <w:r>
        <w:fldChar w:fldCharType="begin"/>
      </w:r>
      <w:r>
        <w:instrText xml:space="preserve"> HYPERLINK \l "_Toc4171" </w:instrText>
      </w:r>
      <w:r>
        <w:fldChar w:fldCharType="separate"/>
      </w:r>
      <w:r>
        <w:rPr>
          <w:rFonts w:hint="eastAsia" w:ascii="宋体" w:hAnsi="宋体" w:cs="宋体"/>
          <w:sz w:val="24"/>
          <w:szCs w:val="24"/>
        </w:rPr>
        <w:t>第四部分  采购内容</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lang w:val="en-US" w:eastAsia="zh-CN"/>
        </w:rPr>
        <w:t>3</w:t>
      </w:r>
    </w:p>
    <w:p>
      <w:pPr>
        <w:pStyle w:val="18"/>
        <w:tabs>
          <w:tab w:val="right" w:leader="dot" w:pos="9638"/>
        </w:tabs>
        <w:spacing w:line="360" w:lineRule="auto"/>
        <w:rPr>
          <w:rFonts w:hint="eastAsia" w:ascii="宋体" w:hAnsi="宋体" w:eastAsia="宋体" w:cs="宋体"/>
          <w:sz w:val="24"/>
          <w:szCs w:val="24"/>
          <w:lang w:val="en-US" w:eastAsia="zh-CN"/>
        </w:rPr>
      </w:pPr>
      <w:r>
        <w:fldChar w:fldCharType="begin"/>
      </w:r>
      <w:r>
        <w:instrText xml:space="preserve"> HYPERLINK \l "_Toc3918" </w:instrText>
      </w:r>
      <w:r>
        <w:fldChar w:fldCharType="separate"/>
      </w:r>
      <w:r>
        <w:rPr>
          <w:rFonts w:hint="eastAsia" w:ascii="宋体" w:hAnsi="宋体" w:cs="宋体"/>
          <w:sz w:val="24"/>
          <w:szCs w:val="24"/>
        </w:rPr>
        <w:t>第五部分  合同授予</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2</w:t>
      </w:r>
    </w:p>
    <w:p>
      <w:pPr>
        <w:pStyle w:val="18"/>
        <w:tabs>
          <w:tab w:val="right" w:leader="dot" w:pos="9638"/>
        </w:tabs>
        <w:spacing w:line="360" w:lineRule="auto"/>
        <w:rPr>
          <w:rFonts w:hint="eastAsia" w:ascii="宋体" w:hAnsi="宋体" w:eastAsia="宋体" w:cs="宋体"/>
          <w:sz w:val="24"/>
          <w:szCs w:val="24"/>
          <w:lang w:val="en-US" w:eastAsia="zh-CN"/>
        </w:rPr>
      </w:pPr>
      <w:r>
        <w:fldChar w:fldCharType="begin"/>
      </w:r>
      <w:r>
        <w:instrText xml:space="preserve"> HYPERLINK \l "_Toc27167" </w:instrText>
      </w:r>
      <w:r>
        <w:fldChar w:fldCharType="separate"/>
      </w:r>
      <w:r>
        <w:rPr>
          <w:rFonts w:hint="eastAsia" w:ascii="宋体" w:hAnsi="宋体" w:cs="宋体"/>
          <w:sz w:val="24"/>
          <w:szCs w:val="24"/>
        </w:rPr>
        <w:t>第</w:t>
      </w:r>
      <w:r>
        <w:rPr>
          <w:rFonts w:hint="eastAsia" w:ascii="宋体" w:hAnsi="宋体" w:cs="宋体"/>
          <w:sz w:val="24"/>
          <w:szCs w:val="24"/>
          <w:lang w:val="en-US" w:eastAsia="zh-CN"/>
        </w:rPr>
        <w:t>六</w:t>
      </w:r>
      <w:r>
        <w:rPr>
          <w:rFonts w:hint="eastAsia" w:ascii="宋体" w:hAnsi="宋体" w:cs="宋体"/>
          <w:sz w:val="24"/>
          <w:szCs w:val="24"/>
        </w:rPr>
        <w:t>部分  响应文件格式</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3</w:t>
      </w:r>
    </w:p>
    <w:p>
      <w:pPr>
        <w:wordWrap w:val="0"/>
        <w:topLinePunct/>
        <w:adjustRightInd w:val="0"/>
        <w:snapToGrid w:val="0"/>
        <w:spacing w:line="360" w:lineRule="auto"/>
        <w:rPr>
          <w:rFonts w:ascii="宋体" w:hAnsi="宋体" w:cs="宋体"/>
          <w:sz w:val="24"/>
        </w:rPr>
        <w:sectPr>
          <w:footerReference r:id="rId7" w:type="default"/>
          <w:pgSz w:w="11906" w:h="16838"/>
          <w:pgMar w:top="1134" w:right="1134" w:bottom="1134" w:left="1134" w:header="851" w:footer="992" w:gutter="0"/>
          <w:pgNumType w:start="1"/>
          <w:cols w:space="720" w:num="1"/>
          <w:docGrid w:type="linesAndChars" w:linePitch="312" w:charSpace="0"/>
        </w:sectPr>
      </w:pPr>
      <w:r>
        <w:rPr>
          <w:rFonts w:hint="eastAsia" w:ascii="宋体" w:hAnsi="宋体" w:cs="宋体"/>
          <w:sz w:val="24"/>
        </w:rPr>
        <w:fldChar w:fldCharType="end"/>
      </w:r>
      <w:bookmarkEnd w:id="1"/>
      <w:bookmarkEnd w:id="2"/>
      <w:bookmarkStart w:id="3" w:name="_Toc16430"/>
      <w:bookmarkStart w:id="4" w:name="_Toc19138"/>
      <w:bookmarkStart w:id="5" w:name="_Toc10175"/>
      <w:bookmarkStart w:id="6" w:name="_Toc7799"/>
      <w:bookmarkStart w:id="7" w:name="_Toc474"/>
      <w:bookmarkStart w:id="8" w:name="_Toc17844"/>
    </w:p>
    <w:p>
      <w:pPr>
        <w:wordWrap w:val="0"/>
        <w:topLinePunct/>
        <w:adjustRightInd w:val="0"/>
        <w:snapToGrid w:val="0"/>
        <w:spacing w:line="360" w:lineRule="auto"/>
        <w:jc w:val="center"/>
        <w:rPr>
          <w:rFonts w:ascii="宋体" w:hAnsi="宋体" w:cs="宋体"/>
          <w:b/>
          <w:sz w:val="32"/>
          <w:szCs w:val="32"/>
        </w:rPr>
      </w:pPr>
      <w:r>
        <w:rPr>
          <w:rFonts w:hint="eastAsia" w:ascii="宋体" w:hAnsi="宋体" w:cs="宋体"/>
          <w:b/>
          <w:sz w:val="32"/>
          <w:szCs w:val="32"/>
        </w:rPr>
        <w:t>第一部分  竞争性磋商公告</w:t>
      </w:r>
      <w:bookmarkEnd w:id="3"/>
      <w:bookmarkEnd w:id="4"/>
    </w:p>
    <w:p>
      <w:pPr>
        <w:pStyle w:val="26"/>
        <w:wordWrap w:val="0"/>
        <w:topLinePunct/>
        <w:adjustRightInd w:val="0"/>
        <w:snapToGrid w:val="0"/>
        <w:spacing w:before="0" w:line="360" w:lineRule="auto"/>
        <w:jc w:val="center"/>
        <w:rPr>
          <w:rFonts w:ascii="宋体" w:hAnsi="宋体" w:cs="宋体"/>
          <w:b/>
          <w:szCs w:val="24"/>
        </w:rPr>
      </w:pPr>
      <w:r>
        <w:rPr>
          <w:rFonts w:hint="eastAsia" w:ascii="宋体" w:hAnsi="宋体" w:cs="宋体"/>
          <w:b/>
          <w:bCs/>
          <w:szCs w:val="24"/>
          <w:lang w:eastAsia="zh-CN"/>
        </w:rPr>
        <w:t>邹城市千泉街道郭庄社区线路改造工程</w:t>
      </w:r>
      <w:r>
        <w:rPr>
          <w:rFonts w:hint="eastAsia" w:ascii="宋体" w:hAnsi="宋体" w:cs="宋体"/>
          <w:b/>
          <w:bCs/>
          <w:szCs w:val="24"/>
        </w:rPr>
        <w:t>竞争性磋商公告</w:t>
      </w:r>
    </w:p>
    <w:p>
      <w:pPr>
        <w:numPr>
          <w:ilvl w:val="0"/>
          <w:numId w:val="1"/>
        </w:numPr>
        <w:shd w:val="clear" w:color="auto" w:fill="FFFFFF"/>
        <w:tabs>
          <w:tab w:val="left" w:pos="840"/>
        </w:tabs>
        <w:wordWrap w:val="0"/>
        <w:topLinePunct/>
        <w:adjustRightInd w:val="0"/>
        <w:snapToGrid w:val="0"/>
        <w:spacing w:line="360" w:lineRule="auto"/>
        <w:jc w:val="left"/>
        <w:rPr>
          <w:rFonts w:ascii="宋体" w:hAnsi="宋体" w:cs="宋体"/>
          <w:b/>
          <w:kern w:val="0"/>
          <w:sz w:val="24"/>
        </w:rPr>
      </w:pPr>
      <w:r>
        <w:rPr>
          <w:rFonts w:hint="eastAsia" w:ascii="宋体" w:hAnsi="宋体" w:cs="宋体"/>
          <w:b/>
          <w:kern w:val="0"/>
          <w:sz w:val="24"/>
        </w:rPr>
        <w:t>采 购 人：</w:t>
      </w:r>
      <w:r>
        <w:rPr>
          <w:rFonts w:hint="eastAsia" w:ascii="宋体" w:hAnsi="宋体" w:cs="宋体"/>
          <w:b/>
          <w:kern w:val="0"/>
          <w:sz w:val="24"/>
          <w:lang w:eastAsia="zh-CN"/>
        </w:rPr>
        <w:t>邹城市千泉街道郭庄社区居民委员会</w:t>
      </w:r>
      <w:r>
        <w:rPr>
          <w:rFonts w:hint="eastAsia" w:ascii="宋体" w:hAnsi="宋体" w:cs="宋体"/>
          <w:b/>
          <w:kern w:val="0"/>
          <w:sz w:val="24"/>
        </w:rPr>
        <w:t xml:space="preserve"> </w:t>
      </w:r>
    </w:p>
    <w:p>
      <w:pPr>
        <w:shd w:val="clear" w:color="auto" w:fill="FFFFFF"/>
        <w:tabs>
          <w:tab w:val="left" w:pos="840"/>
        </w:tabs>
        <w:wordWrap w:val="0"/>
        <w:topLinePunct/>
        <w:adjustRightInd w:val="0"/>
        <w:snapToGrid w:val="0"/>
        <w:spacing w:line="360" w:lineRule="auto"/>
        <w:jc w:val="left"/>
        <w:rPr>
          <w:rFonts w:hint="eastAsia" w:ascii="宋体" w:hAnsi="宋体" w:eastAsia="宋体" w:cs="宋体"/>
          <w:b/>
          <w:kern w:val="0"/>
          <w:sz w:val="24"/>
          <w:lang w:eastAsia="zh-CN"/>
        </w:rPr>
      </w:pPr>
      <w:r>
        <w:rPr>
          <w:rFonts w:hint="eastAsia" w:ascii="宋体" w:hAnsi="宋体" w:cs="宋体"/>
          <w:b/>
          <w:kern w:val="0"/>
          <w:sz w:val="24"/>
        </w:rPr>
        <w:t>二、项目名称：</w:t>
      </w:r>
      <w:r>
        <w:rPr>
          <w:rFonts w:hint="eastAsia" w:ascii="宋体" w:hAnsi="宋体" w:cs="宋体"/>
          <w:b/>
          <w:kern w:val="0"/>
          <w:sz w:val="24"/>
          <w:lang w:eastAsia="zh-CN"/>
        </w:rPr>
        <w:t>邹城市千泉街道郭庄社区线路改造工程</w:t>
      </w:r>
    </w:p>
    <w:p>
      <w:pPr>
        <w:shd w:val="clear" w:color="auto" w:fill="FFFFFF"/>
        <w:tabs>
          <w:tab w:val="left" w:pos="840"/>
        </w:tabs>
        <w:wordWrap w:val="0"/>
        <w:topLinePunct/>
        <w:adjustRightInd w:val="0"/>
        <w:snapToGrid w:val="0"/>
        <w:spacing w:line="360" w:lineRule="auto"/>
        <w:jc w:val="left"/>
        <w:rPr>
          <w:rFonts w:hint="eastAsia" w:ascii="宋体" w:hAnsi="宋体" w:eastAsia="宋体" w:cs="宋体"/>
          <w:b/>
          <w:kern w:val="0"/>
          <w:sz w:val="24"/>
          <w:lang w:eastAsia="zh-CN"/>
        </w:rPr>
      </w:pPr>
      <w:r>
        <w:rPr>
          <w:rFonts w:hint="eastAsia" w:ascii="宋体" w:hAnsi="宋体" w:cs="宋体"/>
          <w:b/>
          <w:kern w:val="0"/>
          <w:sz w:val="24"/>
        </w:rPr>
        <w:t>三、项目编号：</w:t>
      </w:r>
      <w:r>
        <w:rPr>
          <w:rFonts w:hint="eastAsia" w:ascii="宋体" w:hAnsi="宋体" w:cs="宋体"/>
          <w:b/>
          <w:kern w:val="0"/>
          <w:sz w:val="24"/>
          <w:lang w:eastAsia="zh-CN"/>
        </w:rPr>
        <w:t>LZZX-2024-1119</w:t>
      </w:r>
    </w:p>
    <w:p>
      <w:pPr>
        <w:spacing w:beforeLines="0" w:afterLines="0" w:line="360" w:lineRule="auto"/>
        <w:ind w:left="5"/>
        <w:jc w:val="left"/>
        <w:rPr>
          <w:rFonts w:hint="eastAsia" w:ascii="宋体" w:hAnsi="宋体" w:cs="宋体"/>
          <w:b/>
          <w:bCs w:val="0"/>
          <w:kern w:val="0"/>
          <w:sz w:val="24"/>
          <w:highlight w:val="none"/>
          <w:lang w:eastAsia="zh-CN"/>
        </w:rPr>
      </w:pPr>
      <w:r>
        <w:rPr>
          <w:rFonts w:hint="eastAsia" w:ascii="宋体" w:hAnsi="宋体" w:cs="宋体"/>
          <w:b/>
          <w:kern w:val="0"/>
          <w:sz w:val="24"/>
        </w:rPr>
        <w:t>四、采</w:t>
      </w:r>
      <w:r>
        <w:rPr>
          <w:rFonts w:hint="eastAsia" w:ascii="宋体" w:hAnsi="宋体" w:cs="宋体"/>
          <w:b/>
          <w:kern w:val="0"/>
          <w:sz w:val="24"/>
          <w:lang w:eastAsia="zh-CN"/>
        </w:rPr>
        <w:t>购内容：</w:t>
      </w:r>
      <w:r>
        <w:rPr>
          <w:rFonts w:hint="eastAsia" w:ascii="宋体" w:hAnsi="宋体" w:cs="宋体"/>
          <w:b/>
          <w:bCs w:val="0"/>
          <w:kern w:val="0"/>
          <w:sz w:val="24"/>
          <w:lang w:eastAsia="zh-CN"/>
        </w:rPr>
        <w:t>邹城市千泉街道郭庄社区线路改造工程，</w:t>
      </w:r>
      <w:r>
        <w:rPr>
          <w:rFonts w:hint="eastAsia" w:ascii="宋体" w:hAnsi="宋体" w:cs="宋体"/>
          <w:b/>
          <w:bCs w:val="0"/>
          <w:kern w:val="0"/>
          <w:sz w:val="24"/>
          <w:highlight w:val="none"/>
          <w:lang w:eastAsia="zh-CN"/>
        </w:rPr>
        <w:t>主要包括新建电杆、架空绝缘线安装、低压电缆敷设、低压分支箱安装等</w:t>
      </w:r>
      <w:r>
        <w:rPr>
          <w:rFonts w:hint="eastAsia" w:ascii="宋体" w:hAnsi="宋体" w:cs="宋体"/>
          <w:b/>
          <w:bCs w:val="0"/>
          <w:kern w:val="0"/>
          <w:sz w:val="24"/>
          <w:highlight w:val="none"/>
          <w:lang w:val="en-US" w:eastAsia="zh-CN"/>
        </w:rPr>
        <w:t>相关</w:t>
      </w:r>
      <w:r>
        <w:rPr>
          <w:rFonts w:hint="eastAsia" w:ascii="宋体" w:hAnsi="宋体" w:cs="宋体"/>
          <w:b/>
          <w:bCs w:val="0"/>
          <w:kern w:val="0"/>
          <w:sz w:val="24"/>
          <w:highlight w:val="none"/>
          <w:lang w:eastAsia="zh-CN"/>
        </w:rPr>
        <w:t>工程内容；采购预算（控制价）为939717.78元，具体内容详见采购预算（控制价）。</w:t>
      </w:r>
    </w:p>
    <w:p>
      <w:pPr>
        <w:shd w:val="clear" w:color="auto" w:fill="FFFFFF"/>
        <w:tabs>
          <w:tab w:val="left" w:pos="840"/>
        </w:tabs>
        <w:wordWrap w:val="0"/>
        <w:topLinePunct/>
        <w:adjustRightInd w:val="0"/>
        <w:snapToGrid w:val="0"/>
        <w:spacing w:line="360" w:lineRule="auto"/>
        <w:jc w:val="left"/>
        <w:rPr>
          <w:rFonts w:ascii="宋体" w:hAnsi="宋体" w:cs="宋体"/>
          <w:b/>
          <w:kern w:val="0"/>
          <w:sz w:val="24"/>
        </w:rPr>
      </w:pPr>
      <w:r>
        <w:rPr>
          <w:rFonts w:hint="eastAsia" w:ascii="宋体" w:hAnsi="宋体" w:cs="宋体"/>
          <w:b/>
          <w:kern w:val="0"/>
          <w:sz w:val="24"/>
        </w:rPr>
        <w:t>五、供应商资格要求：</w:t>
      </w:r>
    </w:p>
    <w:p>
      <w:pPr>
        <w:pStyle w:val="6"/>
        <w:spacing w:line="446" w:lineRule="auto"/>
        <w:ind w:right="372" w:firstLine="480"/>
        <w:jc w:val="both"/>
        <w:rPr>
          <w:rFonts w:hint="eastAsia"/>
          <w:b w:val="0"/>
          <w:bCs w:val="0"/>
          <w:spacing w:val="-11"/>
        </w:rPr>
      </w:pPr>
      <w:r>
        <w:rPr>
          <w:rFonts w:hint="eastAsia"/>
          <w:b w:val="0"/>
          <w:bCs w:val="0"/>
          <w:spacing w:val="-11"/>
          <w:lang w:val="en-US" w:eastAsia="zh-CN"/>
        </w:rPr>
        <w:t>1.</w:t>
      </w:r>
      <w:r>
        <w:rPr>
          <w:rFonts w:hint="eastAsia"/>
          <w:b w:val="0"/>
          <w:bCs w:val="0"/>
          <w:spacing w:val="-11"/>
        </w:rPr>
        <w:t>具备《政府采购法》第二十二条规定的条件。</w:t>
      </w:r>
    </w:p>
    <w:p>
      <w:pPr>
        <w:pStyle w:val="6"/>
        <w:spacing w:line="446" w:lineRule="auto"/>
        <w:ind w:right="372" w:firstLine="480"/>
        <w:jc w:val="both"/>
        <w:rPr>
          <w:rFonts w:hint="eastAsia" w:eastAsia="宋体"/>
          <w:b w:val="0"/>
          <w:bCs w:val="0"/>
          <w:spacing w:val="-11"/>
          <w:lang w:eastAsia="zh-CN"/>
        </w:rPr>
      </w:pPr>
      <w:r>
        <w:rPr>
          <w:rFonts w:hint="eastAsia"/>
          <w:b w:val="0"/>
          <w:bCs w:val="0"/>
          <w:spacing w:val="-11"/>
          <w:lang w:val="en-US" w:eastAsia="zh-CN"/>
        </w:rPr>
        <w:t>2.</w:t>
      </w:r>
      <w:r>
        <w:rPr>
          <w:rFonts w:hint="eastAsia"/>
          <w:b w:val="0"/>
          <w:bCs w:val="0"/>
          <w:spacing w:val="-11"/>
          <w:lang w:eastAsia="zh-CN"/>
        </w:rPr>
        <w:t>本次采购要求：供应商须具备</w:t>
      </w:r>
      <w:r>
        <w:rPr>
          <w:rFonts w:hint="eastAsia"/>
          <w:b/>
          <w:bCs/>
          <w:spacing w:val="-11"/>
          <w:lang w:eastAsia="zh-CN"/>
        </w:rPr>
        <w:t>电力工程施工总承包叁级及以上资质或者输变电工程专业承包叁级及以上资质和承装（修、试）电力设施许可证（承装承修承试三类必须齐全）类</w:t>
      </w:r>
      <w:r>
        <w:rPr>
          <w:rFonts w:hint="eastAsia"/>
          <w:b/>
          <w:bCs/>
          <w:spacing w:val="-11"/>
          <w:lang w:val="en-US" w:eastAsia="zh-CN"/>
        </w:rPr>
        <w:t>四</w:t>
      </w:r>
      <w:r>
        <w:rPr>
          <w:rFonts w:hint="eastAsia"/>
          <w:b/>
          <w:bCs/>
          <w:spacing w:val="-11"/>
          <w:lang w:eastAsia="zh-CN"/>
        </w:rPr>
        <w:t>级及以上资质</w:t>
      </w:r>
      <w:r>
        <w:rPr>
          <w:rFonts w:hint="eastAsia"/>
          <w:b w:val="0"/>
          <w:bCs w:val="0"/>
          <w:spacing w:val="-11"/>
          <w:lang w:eastAsia="zh-CN"/>
        </w:rPr>
        <w:t>，并在人员、设备、资金等方面具有相应的施工能力，无拖欠农民工工资的不良行为。其中，供应商拟派</w:t>
      </w:r>
      <w:r>
        <w:rPr>
          <w:rFonts w:hint="eastAsia"/>
          <w:b/>
          <w:bCs/>
          <w:spacing w:val="-11"/>
          <w:lang w:eastAsia="zh-CN"/>
        </w:rPr>
        <w:t>项目经理须具备本单位注册的机电工程专业贰级及以上注册建造师执业资格</w:t>
      </w:r>
      <w:r>
        <w:rPr>
          <w:rFonts w:hint="eastAsia"/>
          <w:b/>
          <w:bCs/>
          <w:spacing w:val="-11"/>
          <w:lang w:val="en-US" w:eastAsia="zh-CN"/>
        </w:rPr>
        <w:t>并同时具备建造师安全生产考核合格证书（B证），</w:t>
      </w:r>
      <w:r>
        <w:rPr>
          <w:rFonts w:hint="eastAsia"/>
          <w:b w:val="0"/>
          <w:bCs w:val="0"/>
          <w:spacing w:val="-11"/>
          <w:lang w:eastAsia="zh-CN"/>
        </w:rPr>
        <w:t>且未担任其他在施建设工程项目的项目经理。</w:t>
      </w:r>
    </w:p>
    <w:p>
      <w:pPr>
        <w:pStyle w:val="6"/>
        <w:spacing w:line="446" w:lineRule="auto"/>
        <w:ind w:right="372" w:firstLine="480"/>
        <w:jc w:val="both"/>
        <w:rPr>
          <w:rFonts w:hint="eastAsia"/>
          <w:b w:val="0"/>
          <w:bCs w:val="0"/>
          <w:spacing w:val="-11"/>
        </w:rPr>
      </w:pPr>
      <w:r>
        <w:rPr>
          <w:rFonts w:hint="eastAsia"/>
          <w:b w:val="0"/>
          <w:bCs w:val="0"/>
          <w:spacing w:val="-11"/>
          <w:lang w:val="en-US" w:eastAsia="zh-CN"/>
        </w:rPr>
        <w:t>3.</w:t>
      </w:r>
      <w:r>
        <w:rPr>
          <w:rFonts w:hint="eastAsia"/>
          <w:b w:val="0"/>
          <w:bCs w:val="0"/>
          <w:spacing w:val="-11"/>
        </w:rPr>
        <w:t>因建设工地扬尘污染暂扣安全生产许可证的施工单位，不得参与本磋商项目的磋商；因拖欠农民工工资，计入山东省（省级）及济宁市诚信黑榜， 被限制济宁市内建设工程投标资格的施工单位，不得参与本项目的磋商。</w:t>
      </w:r>
    </w:p>
    <w:p>
      <w:pPr>
        <w:pStyle w:val="6"/>
        <w:spacing w:line="446" w:lineRule="auto"/>
        <w:ind w:right="372" w:firstLine="480"/>
        <w:jc w:val="both"/>
        <w:rPr>
          <w:rFonts w:hint="eastAsia" w:ascii="宋体" w:hAnsi="宋体" w:eastAsia="宋体" w:cs="宋体"/>
          <w:b w:val="0"/>
          <w:bCs w:val="0"/>
          <w:spacing w:val="-11"/>
        </w:rPr>
      </w:pPr>
      <w:r>
        <w:rPr>
          <w:rFonts w:hint="eastAsia"/>
          <w:b w:val="0"/>
          <w:bCs w:val="0"/>
          <w:spacing w:val="-11"/>
          <w:lang w:val="en-US" w:eastAsia="zh-CN"/>
        </w:rPr>
        <w:t>4.</w:t>
      </w:r>
      <w:r>
        <w:rPr>
          <w:rFonts w:hint="eastAsia" w:ascii="宋体" w:hAnsi="宋体" w:eastAsia="宋体" w:cs="宋体"/>
          <w:b/>
          <w:bCs/>
          <w:i w:val="0"/>
          <w:iCs w:val="0"/>
          <w:caps w:val="0"/>
          <w:color w:val="333333"/>
          <w:spacing w:val="0"/>
          <w:sz w:val="24"/>
          <w:szCs w:val="24"/>
          <w:shd w:val="clear" w:color="auto" w:fill="FFFFFF"/>
        </w:rPr>
        <w:t>供应商在递交响应文件时需同时提供</w:t>
      </w:r>
      <w:r>
        <w:rPr>
          <w:b w:val="0"/>
          <w:bCs w:val="0"/>
          <w:spacing w:val="-11"/>
        </w:rPr>
        <w:t>本单位营业执照、资质证书、安全生产许可证、项</w:t>
      </w:r>
      <w:r>
        <w:rPr>
          <w:rFonts w:hint="eastAsia" w:ascii="宋体" w:hAnsi="宋体" w:eastAsia="宋体" w:cs="宋体"/>
          <w:b w:val="0"/>
          <w:bCs w:val="0"/>
          <w:spacing w:val="-11"/>
        </w:rPr>
        <w:t>目经理建造师注册证及安全生产考核合格证、法定代表人有效身份证或委托代理人有效身份证和授权委托书及第三部分磋商组织、步骤与评审方法中要求的相关证件资料等。否则视为供应商资格证明文件不全，其响应文件按无效处理。</w:t>
      </w:r>
    </w:p>
    <w:p>
      <w:pPr>
        <w:pStyle w:val="6"/>
        <w:spacing w:line="446" w:lineRule="auto"/>
        <w:ind w:right="372" w:firstLine="436" w:firstLineChars="200"/>
        <w:jc w:val="left"/>
        <w:rPr>
          <w:rFonts w:hint="default" w:ascii="宋体" w:hAnsi="宋体" w:eastAsia="宋体" w:cs="宋体"/>
          <w:b w:val="0"/>
          <w:bCs w:val="0"/>
          <w:spacing w:val="-11"/>
          <w:lang w:val="en-US" w:eastAsia="zh-CN"/>
        </w:rPr>
      </w:pPr>
      <w:r>
        <w:rPr>
          <w:rFonts w:hint="eastAsia" w:ascii="宋体" w:hAnsi="宋体" w:eastAsia="宋体" w:cs="宋体"/>
          <w:b w:val="0"/>
          <w:bCs w:val="0"/>
          <w:spacing w:val="-11"/>
          <w:lang w:val="en-US" w:eastAsia="zh-CN"/>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pStyle w:val="6"/>
        <w:spacing w:line="446" w:lineRule="auto"/>
        <w:ind w:right="372" w:firstLine="480"/>
        <w:jc w:val="both"/>
        <w:rPr>
          <w:rFonts w:hint="eastAsia" w:ascii="宋体" w:hAnsi="宋体" w:eastAsia="宋体" w:cs="宋体"/>
          <w:b w:val="0"/>
          <w:bCs w:val="0"/>
          <w:spacing w:val="-11"/>
        </w:rPr>
      </w:pPr>
      <w:r>
        <w:rPr>
          <w:rFonts w:hint="eastAsia" w:ascii="宋体" w:hAnsi="宋体" w:eastAsia="宋体" w:cs="宋体"/>
          <w:b w:val="0"/>
          <w:bCs w:val="0"/>
          <w:spacing w:val="-11"/>
          <w:lang w:val="en-US" w:eastAsia="zh-CN"/>
        </w:rPr>
        <w:t>5.</w:t>
      </w:r>
      <w:r>
        <w:rPr>
          <w:rFonts w:hint="eastAsia" w:ascii="宋体" w:hAnsi="宋体" w:eastAsia="宋体" w:cs="宋体"/>
          <w:b w:val="0"/>
          <w:bCs w:val="0"/>
          <w:spacing w:val="-11"/>
        </w:rPr>
        <w:t>本次竞争性磋商不接受联合体。</w:t>
      </w:r>
    </w:p>
    <w:p>
      <w:pPr>
        <w:tabs>
          <w:tab w:val="left" w:pos="315"/>
        </w:tabs>
        <w:wordWrap w:val="0"/>
        <w:topLinePunct/>
        <w:adjustRightInd w:val="0"/>
        <w:snapToGrid w:val="0"/>
        <w:spacing w:line="360" w:lineRule="auto"/>
        <w:rPr>
          <w:rFonts w:ascii="宋体" w:hAnsi="宋体" w:cs="宋体"/>
          <w:kern w:val="0"/>
          <w:sz w:val="24"/>
        </w:rPr>
      </w:pPr>
      <w:r>
        <w:rPr>
          <w:rFonts w:hint="eastAsia" w:ascii="宋体" w:hAnsi="宋体" w:cs="宋体"/>
          <w:b/>
          <w:kern w:val="0"/>
          <w:sz w:val="24"/>
        </w:rPr>
        <w:t>六、磋商文件的获取：</w:t>
      </w:r>
    </w:p>
    <w:p>
      <w:pPr>
        <w:tabs>
          <w:tab w:val="left" w:pos="315"/>
        </w:tabs>
        <w:wordWrap w:val="0"/>
        <w:topLinePunct/>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1.磋商文件获取时间：</w:t>
      </w:r>
      <w:r>
        <w:rPr>
          <w:rFonts w:hint="eastAsia" w:ascii="宋体" w:hAnsi="宋体" w:cs="宋体"/>
          <w:bCs/>
          <w:kern w:val="0"/>
          <w:sz w:val="24"/>
          <w:highlight w:val="none"/>
          <w:lang w:eastAsia="zh-CN"/>
        </w:rPr>
        <w:t>2024</w:t>
      </w:r>
      <w:r>
        <w:rPr>
          <w:rFonts w:hint="eastAsia" w:ascii="宋体" w:hAnsi="宋体" w:cs="宋体"/>
          <w:bCs/>
          <w:kern w:val="0"/>
          <w:sz w:val="24"/>
          <w:highlight w:val="none"/>
        </w:rPr>
        <w:t>年</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 xml:space="preserve"> 26 </w:t>
      </w:r>
      <w:r>
        <w:rPr>
          <w:rFonts w:hint="eastAsia" w:ascii="宋体" w:hAnsi="宋体" w:cs="宋体"/>
          <w:bCs/>
          <w:kern w:val="0"/>
          <w:sz w:val="24"/>
          <w:highlight w:val="none"/>
        </w:rPr>
        <w:t>日至</w:t>
      </w:r>
      <w:r>
        <w:rPr>
          <w:rFonts w:hint="eastAsia" w:ascii="宋体" w:hAnsi="宋体" w:cs="宋体"/>
          <w:bCs/>
          <w:kern w:val="0"/>
          <w:sz w:val="24"/>
          <w:highlight w:val="none"/>
          <w:lang w:eastAsia="zh-CN"/>
        </w:rPr>
        <w:t>2024</w:t>
      </w:r>
      <w:r>
        <w:rPr>
          <w:rFonts w:hint="eastAsia" w:ascii="宋体" w:hAnsi="宋体" w:cs="宋体"/>
          <w:bCs/>
          <w:kern w:val="0"/>
          <w:sz w:val="24"/>
          <w:highlight w:val="none"/>
        </w:rPr>
        <w:t xml:space="preserve"> 年</w:t>
      </w:r>
      <w:r>
        <w:rPr>
          <w:rFonts w:hint="eastAsia" w:ascii="宋体" w:hAnsi="宋体" w:cs="宋体"/>
          <w:bCs/>
          <w:kern w:val="0"/>
          <w:sz w:val="24"/>
          <w:highlight w:val="none"/>
          <w:lang w:val="en-US" w:eastAsia="zh-CN"/>
        </w:rPr>
        <w:t xml:space="preserve">04 </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 xml:space="preserve"> 07 </w:t>
      </w:r>
      <w:r>
        <w:rPr>
          <w:rFonts w:hint="eastAsia" w:ascii="宋体" w:hAnsi="宋体" w:cs="宋体"/>
          <w:bCs/>
          <w:kern w:val="0"/>
          <w:sz w:val="24"/>
          <w:highlight w:val="none"/>
        </w:rPr>
        <w:t>日</w:t>
      </w:r>
      <w:r>
        <w:rPr>
          <w:rFonts w:hint="eastAsia" w:ascii="宋体" w:hAnsi="宋体" w:cs="宋体"/>
          <w:bCs/>
          <w:kern w:val="0"/>
          <w:sz w:val="24"/>
          <w:highlight w:val="none"/>
          <w:u w:val="none"/>
          <w:lang w:val="en-US" w:eastAsia="zh-CN"/>
        </w:rPr>
        <w:t xml:space="preserve"> 09 </w:t>
      </w:r>
      <w:r>
        <w:rPr>
          <w:rFonts w:hint="eastAsia" w:ascii="宋体" w:hAnsi="宋体" w:cs="宋体"/>
          <w:bCs/>
          <w:kern w:val="0"/>
          <w:sz w:val="24"/>
          <w:highlight w:val="none"/>
          <w:u w:val="none"/>
          <w:lang w:eastAsia="zh-CN"/>
        </w:rPr>
        <w:t>时</w:t>
      </w:r>
      <w:r>
        <w:rPr>
          <w:rFonts w:hint="eastAsia" w:ascii="宋体" w:hAnsi="宋体" w:cs="宋体"/>
          <w:bCs/>
          <w:kern w:val="0"/>
          <w:sz w:val="24"/>
          <w:highlight w:val="none"/>
          <w:u w:val="none"/>
          <w:lang w:val="en-US" w:eastAsia="zh-CN"/>
        </w:rPr>
        <w:t xml:space="preserve"> 30 </w:t>
      </w:r>
      <w:r>
        <w:rPr>
          <w:rFonts w:hint="eastAsia" w:ascii="宋体" w:hAnsi="宋体" w:cs="宋体"/>
          <w:bCs/>
          <w:kern w:val="0"/>
          <w:sz w:val="24"/>
          <w:highlight w:val="none"/>
          <w:u w:val="none"/>
          <w:lang w:eastAsia="zh-CN"/>
        </w:rPr>
        <w:t>分</w:t>
      </w:r>
      <w:r>
        <w:rPr>
          <w:rFonts w:hint="eastAsia" w:ascii="宋体" w:hAnsi="宋体" w:cs="宋体"/>
          <w:kern w:val="0"/>
          <w:sz w:val="24"/>
          <w:highlight w:val="none"/>
          <w:u w:val="none"/>
        </w:rPr>
        <w:t>。</w:t>
      </w:r>
      <w:r>
        <w:rPr>
          <w:rFonts w:hint="eastAsia" w:ascii="宋体" w:hAnsi="宋体" w:cs="宋体"/>
          <w:bCs/>
          <w:kern w:val="0"/>
          <w:sz w:val="24"/>
          <w:highlight w:val="none"/>
        </w:rPr>
        <w:t xml:space="preserve"> </w:t>
      </w:r>
    </w:p>
    <w:p>
      <w:pPr>
        <w:tabs>
          <w:tab w:val="left" w:pos="315"/>
        </w:tabs>
        <w:wordWrap w:val="0"/>
        <w:topLinePunct/>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2.磋商文件获取方式：磋商响应方不必办理报名手续，登录邹城市外宣网</w:t>
      </w:r>
      <w:r>
        <w:rPr>
          <w:rFonts w:hint="eastAsia" w:ascii="宋体" w:hAnsi="宋体" w:cs="宋体"/>
          <w:kern w:val="0"/>
          <w:sz w:val="24"/>
          <w:lang w:eastAsia="zh-CN"/>
        </w:rPr>
        <w:t>（</w:t>
      </w:r>
      <w:r>
        <w:rPr>
          <w:rFonts w:hint="eastAsia" w:ascii="宋体" w:hAnsi="宋体" w:cs="宋体"/>
          <w:kern w:val="0"/>
          <w:sz w:val="24"/>
        </w:rPr>
        <w:t>http://www.mencius.gov.cn/)-投资邹城-乡村零星采购直接点击公告下方附件下载竞争性磋商文件。</w:t>
      </w:r>
    </w:p>
    <w:p>
      <w:pPr>
        <w:tabs>
          <w:tab w:val="left" w:pos="315"/>
        </w:tabs>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七、磋商响应文件的递交：</w:t>
      </w:r>
    </w:p>
    <w:p>
      <w:pPr>
        <w:tabs>
          <w:tab w:val="left" w:pos="315"/>
        </w:tabs>
        <w:wordWrap w:val="0"/>
        <w:topLinePunct/>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sz w:val="24"/>
        </w:rPr>
        <w:t>、</w:t>
      </w:r>
      <w:r>
        <w:rPr>
          <w:rFonts w:hint="eastAsia" w:ascii="宋体" w:hAnsi="宋体" w:cs="宋体"/>
          <w:kern w:val="0"/>
          <w:sz w:val="24"/>
          <w:lang w:eastAsia="zh-CN"/>
        </w:rPr>
        <w:t>邹城市千泉街道郭庄社区居民委员会</w:t>
      </w:r>
      <w:r>
        <w:rPr>
          <w:rFonts w:hint="eastAsia" w:ascii="宋体" w:hAnsi="宋体" w:cs="宋体"/>
          <w:kern w:val="0"/>
          <w:sz w:val="24"/>
        </w:rPr>
        <w:t>于</w:t>
      </w:r>
      <w:r>
        <w:rPr>
          <w:rFonts w:hint="eastAsia" w:ascii="宋体" w:hAnsi="宋体" w:cs="宋体"/>
          <w:bCs/>
          <w:kern w:val="0"/>
          <w:sz w:val="24"/>
          <w:highlight w:val="none"/>
          <w:lang w:eastAsia="zh-CN"/>
        </w:rPr>
        <w:t>2024 年</w:t>
      </w:r>
      <w:r>
        <w:rPr>
          <w:rFonts w:hint="eastAsia" w:ascii="宋体" w:hAnsi="宋体" w:cs="宋体"/>
          <w:bCs/>
          <w:kern w:val="0"/>
          <w:sz w:val="24"/>
          <w:highlight w:val="none"/>
          <w:lang w:val="en-US" w:eastAsia="zh-CN"/>
        </w:rPr>
        <w:t>04</w:t>
      </w:r>
      <w:r>
        <w:rPr>
          <w:rFonts w:hint="eastAsia" w:ascii="宋体" w:hAnsi="宋体" w:cs="宋体"/>
          <w:bCs/>
          <w:kern w:val="0"/>
          <w:sz w:val="24"/>
          <w:highlight w:val="none"/>
          <w:lang w:eastAsia="zh-CN"/>
        </w:rPr>
        <w:t xml:space="preserve"> 月 0</w:t>
      </w:r>
      <w:r>
        <w:rPr>
          <w:rFonts w:hint="eastAsia" w:ascii="宋体" w:hAnsi="宋体" w:cs="宋体"/>
          <w:bCs/>
          <w:kern w:val="0"/>
          <w:sz w:val="24"/>
          <w:highlight w:val="none"/>
          <w:lang w:val="en-US" w:eastAsia="zh-CN"/>
        </w:rPr>
        <w:t>7</w:t>
      </w:r>
      <w:r>
        <w:rPr>
          <w:rFonts w:hint="eastAsia" w:ascii="宋体" w:hAnsi="宋体" w:cs="宋体"/>
          <w:bCs/>
          <w:kern w:val="0"/>
          <w:sz w:val="24"/>
          <w:highlight w:val="none"/>
          <w:lang w:eastAsia="zh-CN"/>
        </w:rPr>
        <w:t>日 09 时 30 分</w:t>
      </w:r>
      <w:r>
        <w:rPr>
          <w:rFonts w:hint="eastAsia" w:ascii="宋体" w:hAnsi="宋体" w:cs="宋体"/>
          <w:kern w:val="0"/>
          <w:sz w:val="24"/>
          <w:highlight w:val="none"/>
        </w:rPr>
        <w:t>（北京时间）</w:t>
      </w:r>
      <w:r>
        <w:rPr>
          <w:rFonts w:hint="eastAsia" w:ascii="宋体" w:hAnsi="宋体" w:cs="宋体"/>
          <w:kern w:val="0"/>
          <w:sz w:val="24"/>
        </w:rPr>
        <w:t>磋商开始前在</w:t>
      </w:r>
      <w:r>
        <w:rPr>
          <w:rFonts w:hint="eastAsia" w:ascii="宋体" w:hAnsi="宋体" w:cs="宋体"/>
          <w:sz w:val="24"/>
        </w:rPr>
        <w:t>邹城市</w:t>
      </w:r>
      <w:r>
        <w:rPr>
          <w:rFonts w:hint="eastAsia" w:ascii="宋体" w:hAnsi="宋体" w:cs="宋体"/>
          <w:sz w:val="24"/>
          <w:lang w:val="en-US" w:eastAsia="zh-CN"/>
        </w:rPr>
        <w:t>千泉街道</w:t>
      </w:r>
      <w:r>
        <w:rPr>
          <w:rFonts w:hint="eastAsia" w:ascii="宋体" w:hAnsi="宋体" w:cs="宋体"/>
          <w:sz w:val="24"/>
        </w:rPr>
        <w:t>公共资源交易中心开标室</w:t>
      </w:r>
      <w:r>
        <w:rPr>
          <w:rFonts w:hint="eastAsia" w:ascii="宋体" w:hAnsi="宋体" w:cs="宋体"/>
          <w:kern w:val="0"/>
          <w:sz w:val="24"/>
        </w:rPr>
        <w:t>受理供应商磋商响应文件的递交。</w:t>
      </w:r>
    </w:p>
    <w:p>
      <w:pPr>
        <w:shd w:val="clear" w:color="auto" w:fill="FFFFFF"/>
        <w:wordWrap w:val="0"/>
        <w:topLinePunct/>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2、逾期</w:t>
      </w:r>
      <w:r>
        <w:rPr>
          <w:rFonts w:hint="eastAsia" w:ascii="宋体" w:hAnsi="宋体" w:cs="宋体"/>
          <w:bCs/>
          <w:sz w:val="24"/>
        </w:rPr>
        <w:t>送达</w:t>
      </w:r>
      <w:r>
        <w:rPr>
          <w:rFonts w:hint="eastAsia" w:ascii="宋体" w:hAnsi="宋体" w:cs="宋体"/>
          <w:sz w:val="24"/>
        </w:rPr>
        <w:t>或未送达指定地点的磋商响应文件，采购人不予受理。</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八、磋商时间与地点：</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sz w:val="24"/>
        </w:rPr>
        <w:t>时间：</w:t>
      </w:r>
      <w:r>
        <w:rPr>
          <w:rFonts w:hint="eastAsia" w:ascii="宋体" w:hAnsi="宋体" w:cs="宋体"/>
          <w:bCs/>
          <w:kern w:val="0"/>
          <w:sz w:val="24"/>
          <w:highlight w:val="none"/>
          <w:lang w:eastAsia="zh-CN"/>
        </w:rPr>
        <w:t>2024 年</w:t>
      </w:r>
      <w:r>
        <w:rPr>
          <w:rFonts w:hint="eastAsia" w:ascii="宋体" w:hAnsi="宋体" w:cs="宋体"/>
          <w:bCs/>
          <w:kern w:val="0"/>
          <w:sz w:val="24"/>
          <w:highlight w:val="none"/>
          <w:lang w:val="en-US" w:eastAsia="zh-CN"/>
        </w:rPr>
        <w:t>04</w:t>
      </w:r>
      <w:r>
        <w:rPr>
          <w:rFonts w:hint="eastAsia" w:ascii="宋体" w:hAnsi="宋体" w:cs="宋体"/>
          <w:bCs/>
          <w:kern w:val="0"/>
          <w:sz w:val="24"/>
          <w:highlight w:val="none"/>
          <w:lang w:eastAsia="zh-CN"/>
        </w:rPr>
        <w:t xml:space="preserve"> 月 0</w:t>
      </w:r>
      <w:r>
        <w:rPr>
          <w:rFonts w:hint="eastAsia" w:ascii="宋体" w:hAnsi="宋体" w:cs="宋体"/>
          <w:bCs/>
          <w:kern w:val="0"/>
          <w:sz w:val="24"/>
          <w:highlight w:val="none"/>
          <w:lang w:val="en-US" w:eastAsia="zh-CN"/>
        </w:rPr>
        <w:t>7</w:t>
      </w:r>
      <w:r>
        <w:rPr>
          <w:rFonts w:hint="eastAsia" w:ascii="宋体" w:hAnsi="宋体" w:cs="宋体"/>
          <w:bCs/>
          <w:kern w:val="0"/>
          <w:sz w:val="24"/>
          <w:highlight w:val="none"/>
          <w:lang w:eastAsia="zh-CN"/>
        </w:rPr>
        <w:t xml:space="preserve"> 日 09 时 30 分</w:t>
      </w:r>
      <w:r>
        <w:rPr>
          <w:rFonts w:hint="eastAsia" w:ascii="宋体" w:hAnsi="宋体" w:cs="宋体"/>
          <w:kern w:val="0"/>
          <w:sz w:val="24"/>
          <w:highlight w:val="none"/>
        </w:rPr>
        <w:t>（北京时间）</w:t>
      </w:r>
    </w:p>
    <w:p>
      <w:pPr>
        <w:shd w:val="clear" w:color="auto" w:fill="FFFFFF"/>
        <w:wordWrap w:val="0"/>
        <w:topLinePunct/>
        <w:adjustRightInd w:val="0"/>
        <w:snapToGrid w:val="0"/>
        <w:spacing w:line="360" w:lineRule="auto"/>
        <w:ind w:firstLine="480" w:firstLineChars="200"/>
        <w:jc w:val="left"/>
        <w:rPr>
          <w:rFonts w:ascii="宋体" w:hAnsi="宋体" w:cs="宋体"/>
          <w:b/>
          <w:kern w:val="0"/>
          <w:sz w:val="24"/>
        </w:rPr>
      </w:pPr>
      <w:r>
        <w:rPr>
          <w:rFonts w:hint="eastAsia" w:ascii="宋体" w:hAnsi="宋体" w:cs="宋体"/>
          <w:sz w:val="24"/>
        </w:rPr>
        <w:t>地点：</w:t>
      </w:r>
      <w:r>
        <w:rPr>
          <w:rFonts w:hint="eastAsia" w:ascii="宋体" w:hAnsi="宋体" w:cs="宋体"/>
          <w:sz w:val="24"/>
          <w:lang w:eastAsia="zh-CN"/>
        </w:rPr>
        <w:t>邹城市千泉街道公共资源交易中心开标室</w:t>
      </w:r>
      <w:r>
        <w:rPr>
          <w:rFonts w:hint="eastAsia" w:ascii="宋体" w:hAnsi="宋体" w:cs="宋体"/>
          <w:sz w:val="24"/>
        </w:rPr>
        <w:t>。</w:t>
      </w:r>
    </w:p>
    <w:p>
      <w:pPr>
        <w:tabs>
          <w:tab w:val="left" w:pos="315"/>
        </w:tabs>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九、</w:t>
      </w:r>
      <w:r>
        <w:rPr>
          <w:rFonts w:hint="eastAsia" w:ascii="宋体" w:hAnsi="宋体" w:cs="宋体"/>
          <w:b/>
          <w:sz w:val="24"/>
        </w:rPr>
        <w:t>联系方式</w:t>
      </w:r>
      <w:r>
        <w:rPr>
          <w:rFonts w:hint="eastAsia" w:ascii="宋体" w:hAnsi="宋体" w:cs="宋体"/>
          <w:b/>
          <w:kern w:val="0"/>
          <w:sz w:val="24"/>
        </w:rPr>
        <w:t>：</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cs="宋体"/>
          <w:kern w:val="0"/>
          <w:sz w:val="24"/>
        </w:rPr>
        <w:t xml:space="preserve">采 </w:t>
      </w:r>
      <w:r>
        <w:rPr>
          <w:rFonts w:hint="eastAsia" w:ascii="宋体" w:hAnsi="宋体" w:cs="宋体"/>
          <w:kern w:val="0"/>
          <w:sz w:val="24"/>
          <w:lang w:val="en-US" w:eastAsia="zh-CN"/>
        </w:rPr>
        <w:t xml:space="preserve">  </w:t>
      </w:r>
      <w:r>
        <w:rPr>
          <w:rFonts w:hint="eastAsia" w:ascii="宋体" w:hAnsi="宋体" w:cs="宋体"/>
          <w:kern w:val="0"/>
          <w:sz w:val="24"/>
        </w:rPr>
        <w:t xml:space="preserve">购 </w:t>
      </w:r>
      <w:r>
        <w:rPr>
          <w:rFonts w:hint="eastAsia" w:ascii="宋体" w:hAnsi="宋体" w:cs="宋体"/>
          <w:kern w:val="0"/>
          <w:sz w:val="24"/>
          <w:lang w:val="en-US" w:eastAsia="zh-CN"/>
        </w:rPr>
        <w:t xml:space="preserve">   </w:t>
      </w:r>
      <w:r>
        <w:rPr>
          <w:rFonts w:hint="eastAsia" w:ascii="宋体" w:hAnsi="宋体" w:cs="宋体"/>
          <w:kern w:val="0"/>
          <w:sz w:val="24"/>
        </w:rPr>
        <w:t>人：</w:t>
      </w:r>
      <w:r>
        <w:rPr>
          <w:rFonts w:hint="eastAsia" w:ascii="宋体" w:hAnsi="宋体" w:cs="宋体"/>
          <w:kern w:val="0"/>
          <w:sz w:val="24"/>
          <w:lang w:eastAsia="zh-CN"/>
        </w:rPr>
        <w:t>邹城市千泉街道郭庄社区居民委员会</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bCs/>
          <w:kern w:val="0"/>
          <w:sz w:val="24"/>
          <w:lang w:eastAsia="zh-CN"/>
        </w:rPr>
      </w:pPr>
      <w:r>
        <w:rPr>
          <w:rFonts w:hint="eastAsia" w:ascii="宋体" w:hAnsi="宋体" w:cs="宋体"/>
          <w:kern w:val="0"/>
          <w:sz w:val="24"/>
        </w:rPr>
        <w:t xml:space="preserve">地  </w:t>
      </w:r>
      <w:r>
        <w:rPr>
          <w:rFonts w:hint="eastAsia" w:ascii="宋体" w:hAnsi="宋体" w:cs="宋体"/>
          <w:kern w:val="0"/>
          <w:sz w:val="24"/>
          <w:lang w:val="en-US" w:eastAsia="zh-CN"/>
        </w:rPr>
        <w:t xml:space="preserve">     </w:t>
      </w:r>
      <w:r>
        <w:rPr>
          <w:rFonts w:hint="eastAsia" w:ascii="宋体" w:hAnsi="宋体" w:cs="宋体"/>
          <w:kern w:val="0"/>
          <w:sz w:val="24"/>
        </w:rPr>
        <w:t xml:space="preserve">  址：</w:t>
      </w:r>
      <w:r>
        <w:rPr>
          <w:rFonts w:hint="eastAsia" w:ascii="宋体" w:hAnsi="宋体" w:cs="宋体"/>
          <w:bCs/>
          <w:kern w:val="0"/>
          <w:sz w:val="24"/>
          <w:lang w:eastAsia="zh-CN"/>
        </w:rPr>
        <w:t>邹城市千泉街道</w:t>
      </w:r>
      <w:r>
        <w:rPr>
          <w:rFonts w:hint="eastAsia" w:ascii="宋体" w:hAnsi="宋体" w:cs="宋体"/>
          <w:kern w:val="0"/>
          <w:sz w:val="24"/>
          <w:lang w:eastAsia="zh-CN"/>
        </w:rPr>
        <w:t>郭庄社区</w:t>
      </w:r>
      <w:r>
        <w:rPr>
          <w:rFonts w:hint="eastAsia" w:ascii="宋体" w:hAnsi="宋体" w:cs="宋体"/>
          <w:bCs/>
          <w:kern w:val="0"/>
          <w:sz w:val="24"/>
          <w:lang w:eastAsia="zh-CN"/>
        </w:rPr>
        <w:t>驻地</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联</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系 </w:t>
      </w:r>
      <w:r>
        <w:rPr>
          <w:rFonts w:hint="eastAsia" w:ascii="宋体" w:hAnsi="宋体" w:cs="宋体"/>
          <w:kern w:val="0"/>
          <w:sz w:val="24"/>
          <w:lang w:val="en-US" w:eastAsia="zh-CN"/>
        </w:rPr>
        <w:t xml:space="preserve">   </w:t>
      </w:r>
      <w:r>
        <w:rPr>
          <w:rFonts w:hint="eastAsia" w:ascii="宋体" w:hAnsi="宋体" w:cs="宋体"/>
          <w:kern w:val="0"/>
          <w:sz w:val="24"/>
        </w:rPr>
        <w:t>人：</w:t>
      </w:r>
      <w:r>
        <w:rPr>
          <w:rFonts w:hint="eastAsia" w:ascii="宋体" w:hAnsi="宋体" w:cs="宋体"/>
          <w:kern w:val="0"/>
          <w:sz w:val="24"/>
          <w:lang w:eastAsia="zh-CN"/>
        </w:rPr>
        <w:t>齐会计</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sz w:val="24"/>
          <w:shd w:val="clear" w:color="auto" w:fill="FFFFFF"/>
          <w:lang w:eastAsia="zh-CN"/>
        </w:rPr>
      </w:pPr>
      <w:r>
        <w:rPr>
          <w:rFonts w:hint="eastAsia" w:ascii="宋体" w:hAnsi="宋体" w:cs="宋体"/>
          <w:kern w:val="0"/>
          <w:sz w:val="24"/>
        </w:rPr>
        <w:t>联</w:t>
      </w:r>
      <w:r>
        <w:rPr>
          <w:rFonts w:hint="eastAsia" w:ascii="宋体" w:hAnsi="宋体" w:cs="宋体"/>
          <w:kern w:val="0"/>
          <w:sz w:val="24"/>
          <w:lang w:val="en-US" w:eastAsia="zh-CN"/>
        </w:rPr>
        <w:t xml:space="preserve"> </w:t>
      </w:r>
      <w:r>
        <w:rPr>
          <w:rFonts w:hint="eastAsia" w:ascii="宋体" w:hAnsi="宋体" w:cs="宋体"/>
          <w:kern w:val="0"/>
          <w:sz w:val="24"/>
        </w:rPr>
        <w:t>系</w:t>
      </w:r>
      <w:r>
        <w:rPr>
          <w:rFonts w:hint="eastAsia" w:ascii="宋体" w:hAnsi="宋体" w:cs="宋体"/>
          <w:kern w:val="0"/>
          <w:sz w:val="24"/>
          <w:lang w:val="en-US" w:eastAsia="zh-CN"/>
        </w:rPr>
        <w:t xml:space="preserve">   </w:t>
      </w:r>
      <w:r>
        <w:rPr>
          <w:rFonts w:hint="eastAsia" w:ascii="宋体" w:hAnsi="宋体" w:cs="宋体"/>
          <w:kern w:val="0"/>
          <w:sz w:val="24"/>
        </w:rPr>
        <w:t>电</w:t>
      </w:r>
      <w:r>
        <w:rPr>
          <w:rFonts w:hint="eastAsia" w:ascii="宋体" w:hAnsi="宋体" w:cs="宋体"/>
          <w:kern w:val="0"/>
          <w:sz w:val="24"/>
          <w:lang w:val="en-US" w:eastAsia="zh-CN"/>
        </w:rPr>
        <w:t xml:space="preserve"> </w:t>
      </w:r>
      <w:r>
        <w:rPr>
          <w:rFonts w:hint="eastAsia" w:ascii="宋体" w:hAnsi="宋体" w:cs="宋体"/>
          <w:kern w:val="0"/>
          <w:sz w:val="24"/>
        </w:rPr>
        <w:t>话：</w:t>
      </w:r>
      <w:r>
        <w:rPr>
          <w:rFonts w:hint="eastAsia" w:ascii="宋体" w:hAnsi="宋体" w:cs="宋体"/>
          <w:kern w:val="0"/>
          <w:sz w:val="24"/>
          <w:lang w:eastAsia="zh-CN"/>
        </w:rPr>
        <w:t>13705475573</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代  理  机 构：山东鲁州建设项目管理咨询有限公司</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地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址：邹城市义乌商贸城营销中心</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 xml:space="preserve">联    系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人：</w:t>
      </w:r>
      <w:r>
        <w:rPr>
          <w:rFonts w:hint="eastAsia" w:ascii="宋体" w:hAnsi="宋体" w:cs="宋体"/>
          <w:kern w:val="0"/>
          <w:sz w:val="24"/>
          <w:lang w:eastAsia="zh-CN"/>
        </w:rPr>
        <w:t>刘洁</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联 </w:t>
      </w:r>
      <w:r>
        <w:rPr>
          <w:rFonts w:hint="eastAsia" w:ascii="宋体" w:hAnsi="宋体" w:cs="宋体"/>
          <w:kern w:val="0"/>
          <w:sz w:val="24"/>
          <w:lang w:val="en-US" w:eastAsia="zh-CN"/>
        </w:rPr>
        <w:t xml:space="preserve"> </w:t>
      </w:r>
      <w:r>
        <w:rPr>
          <w:rFonts w:hint="eastAsia" w:ascii="宋体" w:hAnsi="宋体" w:eastAsia="宋体" w:cs="宋体"/>
          <w:kern w:val="0"/>
          <w:sz w:val="24"/>
        </w:rPr>
        <w:t>系  电 话：15263757755</w:t>
      </w:r>
    </w:p>
    <w:p>
      <w:pPr>
        <w:shd w:val="clear" w:color="auto" w:fill="FFFFFF"/>
        <w:wordWrap w:val="0"/>
        <w:topLinePunct/>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电 子</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邮 箱：</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"mailto:Lzjszxgs1987@163.com" </w:instrText>
      </w:r>
      <w:r>
        <w:rPr>
          <w:rFonts w:hint="eastAsia" w:ascii="宋体" w:hAnsi="宋体" w:eastAsia="宋体" w:cs="宋体"/>
          <w:kern w:val="0"/>
          <w:sz w:val="24"/>
        </w:rPr>
        <w:fldChar w:fldCharType="separate"/>
      </w:r>
      <w:r>
        <w:rPr>
          <w:rFonts w:hint="eastAsia" w:ascii="宋体" w:hAnsi="宋体" w:eastAsia="宋体" w:cs="宋体"/>
          <w:kern w:val="0"/>
          <w:sz w:val="24"/>
        </w:rPr>
        <w:t>Lzjszxgs1987@163.com</w:t>
      </w:r>
      <w:r>
        <w:rPr>
          <w:rFonts w:hint="eastAsia" w:ascii="宋体" w:hAnsi="宋体" w:eastAsia="宋体" w:cs="宋体"/>
          <w:kern w:val="0"/>
          <w:sz w:val="24"/>
        </w:rPr>
        <w:fldChar w:fldCharType="end"/>
      </w:r>
    </w:p>
    <w:p>
      <w:pPr>
        <w:shd w:val="clear" w:color="auto" w:fill="FFFFFF"/>
        <w:wordWrap w:val="0"/>
        <w:topLinePunct/>
        <w:adjustRightInd w:val="0"/>
        <w:snapToGrid w:val="0"/>
        <w:spacing w:line="360" w:lineRule="auto"/>
        <w:jc w:val="left"/>
        <w:rPr>
          <w:rFonts w:ascii="宋体" w:hAnsi="宋体" w:cs="宋体"/>
          <w:b/>
          <w:kern w:val="0"/>
          <w:sz w:val="24"/>
        </w:rPr>
      </w:pPr>
      <w:r>
        <w:rPr>
          <w:rFonts w:hint="eastAsia" w:ascii="宋体" w:hAnsi="宋体" w:cs="宋体"/>
          <w:b/>
          <w:kern w:val="0"/>
          <w:sz w:val="24"/>
        </w:rPr>
        <w:t>十、重要说明：</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1、施工期间与周边地方关系的协调由成交单位自行处理。</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2、竞争性磋商文件等相关资料一经在邹城市外宣网（</w:t>
      </w:r>
      <w:r>
        <w:rPr>
          <w:rFonts w:hint="eastAsia" w:ascii="宋体" w:hAnsi="宋体" w:cs="宋体"/>
          <w:kern w:val="15"/>
          <w:sz w:val="24"/>
        </w:rPr>
        <w:t>http://www.mencius.gov.cn/</w:t>
      </w:r>
      <w:r>
        <w:rPr>
          <w:rFonts w:hint="eastAsia" w:ascii="宋体" w:hAnsi="宋体" w:cs="宋体"/>
          <w:kern w:val="0"/>
          <w:sz w:val="24"/>
        </w:rPr>
        <w:t>）发布，视作已发放给所有潜在供应商（发布时间即为发出磋商文件的时间），各供应商应随时关注邹城市外宣网下载电子版磋商文件，否则所造成的一切后果由供应商自负。</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shd w:val="clear" w:color="auto" w:fill="FFFFFF"/>
        <w:wordWrap w:val="0"/>
        <w:adjustRightInd w:val="0"/>
        <w:snapToGrid w:val="0"/>
        <w:spacing w:line="360" w:lineRule="auto"/>
        <w:jc w:val="right"/>
        <w:rPr>
          <w:rFonts w:ascii="宋体" w:hAnsi="宋体" w:cs="宋体"/>
          <w:kern w:val="0"/>
          <w:sz w:val="24"/>
        </w:rPr>
      </w:pPr>
    </w:p>
    <w:p>
      <w:pPr>
        <w:shd w:val="clear" w:color="auto" w:fill="FFFFFF"/>
        <w:wordWrap w:val="0"/>
        <w:adjustRightInd w:val="0"/>
        <w:snapToGrid w:val="0"/>
        <w:spacing w:line="360" w:lineRule="auto"/>
        <w:jc w:val="right"/>
        <w:rPr>
          <w:rFonts w:hint="eastAsia" w:ascii="宋体" w:hAnsi="宋体" w:eastAsia="宋体" w:cs="宋体"/>
          <w:kern w:val="0"/>
          <w:sz w:val="24"/>
          <w:lang w:eastAsia="zh-CN"/>
        </w:rPr>
      </w:pPr>
      <w:r>
        <w:rPr>
          <w:rFonts w:hint="eastAsia" w:ascii="宋体" w:hAnsi="宋体" w:cs="宋体"/>
          <w:kern w:val="0"/>
          <w:sz w:val="24"/>
          <w:lang w:eastAsia="zh-CN"/>
        </w:rPr>
        <w:t>邹城市千泉街道郭庄社区居民委员会</w:t>
      </w:r>
    </w:p>
    <w:p>
      <w:pPr>
        <w:shd w:val="clear" w:color="auto" w:fill="FFFFFF"/>
        <w:wordWrap w:val="0"/>
        <w:topLinePunct/>
        <w:adjustRightInd w:val="0"/>
        <w:snapToGrid w:val="0"/>
        <w:spacing w:line="360" w:lineRule="auto"/>
        <w:ind w:firstLine="480" w:firstLineChars="200"/>
        <w:jc w:val="right"/>
        <w:rPr>
          <w:rFonts w:ascii="宋体" w:hAnsi="宋体" w:cs="宋体"/>
          <w:sz w:val="24"/>
          <w:highlight w:val="yellow"/>
        </w:rPr>
        <w:sectPr>
          <w:footerReference r:id="rId8" w:type="default"/>
          <w:pgSz w:w="11906" w:h="16838"/>
          <w:pgMar w:top="1134" w:right="1134" w:bottom="1134" w:left="1134" w:header="851" w:footer="992" w:gutter="0"/>
          <w:pgNumType w:start="1"/>
          <w:cols w:space="720" w:num="1"/>
          <w:docGrid w:type="linesAndChars" w:linePitch="321" w:charSpace="0"/>
        </w:sectPr>
      </w:pPr>
      <w:r>
        <w:rPr>
          <w:rFonts w:hint="eastAsia" w:ascii="宋体" w:hAnsi="宋体" w:cs="宋体"/>
          <w:sz w:val="24"/>
        </w:rPr>
        <w:t xml:space="preserve">                                            </w:t>
      </w:r>
      <w:r>
        <w:rPr>
          <w:rFonts w:hint="eastAsia" w:ascii="宋体" w:hAnsi="宋体" w:cs="宋体"/>
          <w:sz w:val="24"/>
          <w:lang w:eastAsia="zh-CN"/>
        </w:rPr>
        <w:t>山东鲁州建设项目管理咨询有限公司</w:t>
      </w:r>
      <w:r>
        <w:rPr>
          <w:rFonts w:hint="eastAsia" w:ascii="宋体" w:hAnsi="宋体" w:cs="宋体"/>
          <w:sz w:val="24"/>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2024</w:t>
      </w:r>
      <w:r>
        <w:rPr>
          <w:rFonts w:hint="eastAsia" w:ascii="宋体" w:hAnsi="宋体" w:cs="宋体"/>
          <w:sz w:val="24"/>
          <w:highlight w:val="none"/>
        </w:rPr>
        <w:t xml:space="preserve"> 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p>
    <w:bookmarkEnd w:id="5"/>
    <w:bookmarkEnd w:id="6"/>
    <w:p>
      <w:pPr>
        <w:wordWrap w:val="0"/>
        <w:topLinePunct/>
        <w:adjustRightInd w:val="0"/>
        <w:snapToGrid w:val="0"/>
        <w:spacing w:line="360" w:lineRule="auto"/>
        <w:jc w:val="center"/>
        <w:outlineLvl w:val="0"/>
        <w:rPr>
          <w:rFonts w:ascii="宋体" w:hAnsi="宋体" w:cs="宋体"/>
          <w:b/>
          <w:sz w:val="32"/>
          <w:szCs w:val="32"/>
        </w:rPr>
      </w:pPr>
      <w:bookmarkStart w:id="9" w:name="_Toc18613"/>
      <w:r>
        <w:rPr>
          <w:rFonts w:hint="eastAsia" w:ascii="宋体" w:hAnsi="宋体" w:cs="宋体"/>
          <w:b/>
          <w:sz w:val="32"/>
          <w:szCs w:val="32"/>
        </w:rPr>
        <w:t>第二部分  磋商响应方须知</w:t>
      </w:r>
      <w:bookmarkEnd w:id="9"/>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一、适用范围：</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本磋商文件仅适用于本次竞争性磋商的政府采购项目。</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二、定义：</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1、“采购人”系指：</w:t>
      </w:r>
      <w:r>
        <w:rPr>
          <w:rFonts w:hint="eastAsia" w:ascii="宋体" w:hAnsi="宋体" w:cs="宋体"/>
          <w:sz w:val="24"/>
          <w:lang w:eastAsia="zh-CN"/>
        </w:rPr>
        <w:t>邹城市千泉街道郭庄社区居民委员会</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2、“代理机构”系指：</w:t>
      </w:r>
      <w:r>
        <w:rPr>
          <w:rFonts w:hint="eastAsia" w:ascii="宋体" w:hAnsi="宋体" w:cs="宋体"/>
          <w:sz w:val="24"/>
          <w:shd w:val="clear" w:color="auto" w:fill="FFFFFF"/>
          <w:lang w:eastAsia="zh-CN"/>
        </w:rPr>
        <w:t>山东鲁州建设项目管理咨询有限公司</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3、“响应供应商”系指参与磋商并向采购人提交磋商响应文件的单位；</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4、“成交供应商”系指经法定程序确定并授予合同的响应供应商。</w:t>
      </w:r>
    </w:p>
    <w:bookmarkEnd w:id="7"/>
    <w:bookmarkEnd w:id="8"/>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三、供应商应具备的条件：</w:t>
      </w:r>
    </w:p>
    <w:p>
      <w:pPr>
        <w:pStyle w:val="6"/>
        <w:spacing w:line="446" w:lineRule="auto"/>
        <w:ind w:right="372" w:firstLine="480"/>
        <w:jc w:val="both"/>
        <w:rPr>
          <w:rFonts w:hint="eastAsia"/>
          <w:b w:val="0"/>
          <w:bCs w:val="0"/>
          <w:spacing w:val="-11"/>
        </w:rPr>
      </w:pPr>
      <w:r>
        <w:rPr>
          <w:rFonts w:hint="eastAsia"/>
          <w:b w:val="0"/>
          <w:bCs w:val="0"/>
          <w:spacing w:val="-11"/>
          <w:lang w:val="en-US" w:eastAsia="zh-CN"/>
        </w:rPr>
        <w:t>1.</w:t>
      </w:r>
      <w:r>
        <w:rPr>
          <w:rFonts w:hint="eastAsia"/>
          <w:b w:val="0"/>
          <w:bCs w:val="0"/>
          <w:spacing w:val="-11"/>
        </w:rPr>
        <w:t>具备《政府采购法》第二十二条规定的条件。</w:t>
      </w:r>
    </w:p>
    <w:p>
      <w:pPr>
        <w:pStyle w:val="6"/>
        <w:spacing w:line="446" w:lineRule="auto"/>
        <w:ind w:right="372" w:firstLine="480"/>
        <w:jc w:val="both"/>
        <w:rPr>
          <w:rFonts w:hint="eastAsia" w:eastAsia="宋体"/>
          <w:b w:val="0"/>
          <w:bCs w:val="0"/>
          <w:spacing w:val="-11"/>
          <w:lang w:eastAsia="zh-CN"/>
        </w:rPr>
      </w:pPr>
      <w:r>
        <w:rPr>
          <w:rFonts w:hint="eastAsia"/>
          <w:b w:val="0"/>
          <w:bCs w:val="0"/>
          <w:spacing w:val="-11"/>
          <w:lang w:val="en-US" w:eastAsia="zh-CN"/>
        </w:rPr>
        <w:t>2.</w:t>
      </w:r>
      <w:r>
        <w:rPr>
          <w:rFonts w:hint="eastAsia"/>
          <w:b w:val="0"/>
          <w:bCs w:val="0"/>
          <w:spacing w:val="-11"/>
          <w:lang w:eastAsia="zh-CN"/>
        </w:rPr>
        <w:t>本次采购要求：供应商须具备</w:t>
      </w:r>
      <w:r>
        <w:rPr>
          <w:rFonts w:hint="eastAsia"/>
          <w:b/>
          <w:bCs/>
          <w:spacing w:val="-11"/>
          <w:lang w:eastAsia="zh-CN"/>
        </w:rPr>
        <w:t>电力工程施工总承包叁级及以上资质或者输变电工程专业承包叁级及以上资质和承装（修、试）电力设施许可证（承装承修承试三类必须齐全）类</w:t>
      </w:r>
      <w:r>
        <w:rPr>
          <w:rFonts w:hint="eastAsia"/>
          <w:b/>
          <w:bCs/>
          <w:spacing w:val="-11"/>
          <w:lang w:val="en-US" w:eastAsia="zh-CN"/>
        </w:rPr>
        <w:t>四</w:t>
      </w:r>
      <w:r>
        <w:rPr>
          <w:rFonts w:hint="eastAsia"/>
          <w:b/>
          <w:bCs/>
          <w:spacing w:val="-11"/>
          <w:lang w:eastAsia="zh-CN"/>
        </w:rPr>
        <w:t>级及以上资质</w:t>
      </w:r>
      <w:r>
        <w:rPr>
          <w:rFonts w:hint="eastAsia"/>
          <w:b w:val="0"/>
          <w:bCs w:val="0"/>
          <w:spacing w:val="-11"/>
          <w:lang w:eastAsia="zh-CN"/>
        </w:rPr>
        <w:t>，并在人员、设备、资金等方面具有相应的施工能力，无拖欠农民工工资的不良行为。其中，供应商拟派</w:t>
      </w:r>
      <w:r>
        <w:rPr>
          <w:rFonts w:hint="eastAsia"/>
          <w:b/>
          <w:bCs/>
          <w:spacing w:val="-11"/>
          <w:lang w:eastAsia="zh-CN"/>
        </w:rPr>
        <w:t>项目经理须具备本单位注册的机电工程专业贰级及以上注册建造师执业资格</w:t>
      </w:r>
      <w:r>
        <w:rPr>
          <w:rFonts w:hint="eastAsia"/>
          <w:b/>
          <w:bCs/>
          <w:spacing w:val="-11"/>
          <w:lang w:val="en-US" w:eastAsia="zh-CN"/>
        </w:rPr>
        <w:t>并同时具备建造师安全生产考核合格证书（B证），</w:t>
      </w:r>
      <w:r>
        <w:rPr>
          <w:rFonts w:hint="eastAsia"/>
          <w:b w:val="0"/>
          <w:bCs w:val="0"/>
          <w:spacing w:val="-11"/>
          <w:lang w:eastAsia="zh-CN"/>
        </w:rPr>
        <w:t>且未担任其他在施建设工程项目的项目经理。</w:t>
      </w:r>
    </w:p>
    <w:p>
      <w:pPr>
        <w:pStyle w:val="6"/>
        <w:spacing w:line="446" w:lineRule="auto"/>
        <w:ind w:right="372" w:firstLine="480"/>
        <w:jc w:val="both"/>
        <w:rPr>
          <w:rFonts w:hint="eastAsia"/>
          <w:b w:val="0"/>
          <w:bCs w:val="0"/>
          <w:spacing w:val="-11"/>
        </w:rPr>
      </w:pPr>
      <w:r>
        <w:rPr>
          <w:rFonts w:hint="eastAsia"/>
          <w:b w:val="0"/>
          <w:bCs w:val="0"/>
          <w:spacing w:val="-11"/>
          <w:lang w:val="en-US" w:eastAsia="zh-CN"/>
        </w:rPr>
        <w:t>3.</w:t>
      </w:r>
      <w:r>
        <w:rPr>
          <w:rFonts w:hint="eastAsia"/>
          <w:b w:val="0"/>
          <w:bCs w:val="0"/>
          <w:spacing w:val="-11"/>
        </w:rPr>
        <w:t>因建设工地扬尘污染暂扣安全生产许可证的施工单位，不得参与本磋商项目的磋商；因拖欠农民工工资，计入山东省（省级）及济宁市诚信黑榜， 被限制济宁市内建设工程投标资格的施工单位，不得参与本项目的磋商。</w:t>
      </w:r>
    </w:p>
    <w:p>
      <w:pPr>
        <w:pStyle w:val="6"/>
        <w:spacing w:line="446" w:lineRule="auto"/>
        <w:ind w:right="372" w:firstLine="480"/>
        <w:jc w:val="both"/>
        <w:rPr>
          <w:rFonts w:hint="eastAsia"/>
          <w:b w:val="0"/>
          <w:bCs w:val="0"/>
        </w:rPr>
      </w:pPr>
      <w:r>
        <w:rPr>
          <w:rFonts w:hint="eastAsia"/>
          <w:b w:val="0"/>
          <w:bCs w:val="0"/>
          <w:spacing w:val="-11"/>
          <w:lang w:val="en-US" w:eastAsia="zh-CN"/>
        </w:rPr>
        <w:t>4.</w:t>
      </w:r>
      <w:r>
        <w:rPr>
          <w:rFonts w:hint="eastAsia" w:ascii="宋体" w:hAnsi="宋体" w:eastAsia="宋体" w:cs="宋体"/>
          <w:b/>
          <w:bCs/>
          <w:i w:val="0"/>
          <w:iCs w:val="0"/>
          <w:caps w:val="0"/>
          <w:color w:val="333333"/>
          <w:spacing w:val="0"/>
          <w:sz w:val="24"/>
          <w:szCs w:val="24"/>
          <w:shd w:val="clear" w:color="auto" w:fill="FFFFFF"/>
        </w:rPr>
        <w:t>供应商在递交响应文件时需同时提供</w:t>
      </w:r>
      <w:r>
        <w:rPr>
          <w:b w:val="0"/>
          <w:bCs w:val="0"/>
          <w:spacing w:val="-11"/>
        </w:rPr>
        <w:t>本单位营业执照、资质证书、安全生产许可证、项目经理建造师注册证</w:t>
      </w:r>
      <w:r>
        <w:rPr>
          <w:b w:val="0"/>
          <w:bCs w:val="0"/>
        </w:rPr>
        <w:t>及安全生产考核合格证、法定代表人有效身份证或委托代理人有效身份证和授权委托书及第三部分磋商组织、步骤与评审方法中要求的相关证件资料等。</w:t>
      </w:r>
      <w:r>
        <w:rPr>
          <w:rFonts w:hint="eastAsia"/>
          <w:b w:val="0"/>
          <w:bCs w:val="0"/>
        </w:rPr>
        <w:t>否则视为供应商资格证明文件不全，其响应文件按无效处理。</w:t>
      </w:r>
    </w:p>
    <w:p>
      <w:pPr>
        <w:spacing w:line="360" w:lineRule="auto"/>
        <w:rPr>
          <w:rFonts w:hint="default" w:ascii="宋体" w:hAnsi="宋体" w:eastAsia="宋体" w:cs="宋体"/>
          <w:b/>
          <w:bCs/>
          <w:i w:val="0"/>
          <w:iCs w:val="0"/>
          <w:caps w:val="0"/>
          <w:color w:val="333333"/>
          <w:spacing w:val="0"/>
          <w:kern w:val="2"/>
          <w:sz w:val="24"/>
          <w:szCs w:val="24"/>
          <w:shd w:val="clear" w:color="auto" w:fill="FFFFFF"/>
          <w:lang w:val="en-US" w:eastAsia="zh-CN" w:bidi="zh-CN"/>
        </w:rPr>
      </w:pPr>
      <w:r>
        <w:rPr>
          <w:rFonts w:hint="eastAsia"/>
          <w:b w:val="0"/>
          <w:bCs w:val="0"/>
          <w:lang w:val="en-US" w:eastAsia="zh-CN"/>
        </w:rPr>
        <w:t xml:space="preserve">      </w:t>
      </w:r>
      <w:r>
        <w:rPr>
          <w:rFonts w:hint="eastAsia" w:ascii="宋体" w:hAnsi="宋体" w:eastAsia="宋体" w:cs="宋体"/>
          <w:b/>
          <w:bCs/>
          <w:i w:val="0"/>
          <w:iCs w:val="0"/>
          <w:caps w:val="0"/>
          <w:color w:val="333333"/>
          <w:spacing w:val="0"/>
          <w:kern w:val="2"/>
          <w:sz w:val="24"/>
          <w:szCs w:val="24"/>
          <w:shd w:val="clear" w:color="auto" w:fill="FFFFFF"/>
          <w:lang w:val="en-US" w:eastAsia="zh-CN" w:bidi="zh-CN"/>
        </w:rPr>
        <w:t xml:space="preserve"> 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pStyle w:val="6"/>
        <w:spacing w:line="360" w:lineRule="auto"/>
        <w:ind w:right="372" w:firstLine="480"/>
        <w:jc w:val="both"/>
        <w:rPr>
          <w:rFonts w:hint="eastAsia" w:ascii="宋体" w:hAnsi="宋体" w:eastAsia="宋体" w:cs="宋体"/>
          <w:b/>
          <w:bCs/>
          <w:i w:val="0"/>
          <w:iCs w:val="0"/>
          <w:caps w:val="0"/>
          <w:color w:val="333333"/>
          <w:spacing w:val="0"/>
          <w:kern w:val="2"/>
          <w:sz w:val="24"/>
          <w:szCs w:val="24"/>
          <w:shd w:val="clear" w:color="auto" w:fill="FFFFFF"/>
          <w:lang w:val="zh-CN" w:eastAsia="zh-CN" w:bidi="zh-CN"/>
        </w:rPr>
      </w:pPr>
      <w:r>
        <w:rPr>
          <w:rFonts w:hint="eastAsia" w:ascii="宋体" w:hAnsi="宋体" w:eastAsia="宋体" w:cs="宋体"/>
          <w:b/>
          <w:bCs/>
          <w:i w:val="0"/>
          <w:iCs w:val="0"/>
          <w:caps w:val="0"/>
          <w:color w:val="333333"/>
          <w:spacing w:val="0"/>
          <w:kern w:val="2"/>
          <w:sz w:val="24"/>
          <w:szCs w:val="24"/>
          <w:shd w:val="clear" w:color="auto" w:fill="FFFFFF"/>
          <w:lang w:val="en-US" w:eastAsia="zh-CN" w:bidi="zh-CN"/>
        </w:rPr>
        <w:t>5.</w:t>
      </w:r>
      <w:r>
        <w:rPr>
          <w:rFonts w:hint="eastAsia" w:ascii="宋体" w:hAnsi="宋体" w:eastAsia="宋体" w:cs="宋体"/>
          <w:b/>
          <w:bCs/>
          <w:i w:val="0"/>
          <w:iCs w:val="0"/>
          <w:caps w:val="0"/>
          <w:color w:val="333333"/>
          <w:spacing w:val="0"/>
          <w:kern w:val="2"/>
          <w:sz w:val="24"/>
          <w:szCs w:val="24"/>
          <w:shd w:val="clear" w:color="auto" w:fill="FFFFFF"/>
          <w:lang w:val="zh-CN" w:eastAsia="zh-CN" w:bidi="zh-CN"/>
        </w:rPr>
        <w:t>本次竞争性磋商不接受联合体。</w:t>
      </w:r>
    </w:p>
    <w:p>
      <w:pPr>
        <w:wordWrap w:val="0"/>
        <w:topLinePunct/>
        <w:adjustRightInd w:val="0"/>
        <w:snapToGrid w:val="0"/>
        <w:spacing w:line="360" w:lineRule="auto"/>
        <w:rPr>
          <w:rFonts w:ascii="宋体" w:hAnsi="宋体" w:cs="宋体"/>
          <w:b/>
          <w:sz w:val="24"/>
        </w:rPr>
      </w:pPr>
      <w:r>
        <w:rPr>
          <w:rFonts w:hint="eastAsia" w:ascii="宋体" w:hAnsi="宋体" w:cs="宋体"/>
          <w:b/>
          <w:sz w:val="24"/>
        </w:rPr>
        <w:t>四、竞争性磋商文件：</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本竞争性</w:t>
      </w:r>
      <w:r>
        <w:rPr>
          <w:rFonts w:hint="eastAsia" w:ascii="宋体" w:hAnsi="宋体" w:cs="宋体"/>
          <w:kern w:val="0"/>
          <w:sz w:val="24"/>
        </w:rPr>
        <w:t>磋商</w:t>
      </w:r>
      <w:r>
        <w:rPr>
          <w:rFonts w:hint="eastAsia" w:ascii="宋体" w:hAnsi="宋体" w:cs="宋体"/>
          <w:sz w:val="24"/>
        </w:rPr>
        <w:t>文件由以下内容组成：</w:t>
      </w:r>
    </w:p>
    <w:p>
      <w:pPr>
        <w:shd w:val="clear" w:color="auto" w:fill="FFFFFF"/>
        <w:wordWrap w:val="0"/>
        <w:topLinePunct/>
        <w:adjustRightInd w:val="0"/>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kern w:val="0"/>
          <w:sz w:val="24"/>
        </w:rPr>
        <w:t>竞争性</w:t>
      </w:r>
      <w:r>
        <w:rPr>
          <w:rFonts w:hint="eastAsia" w:ascii="宋体" w:hAnsi="宋体" w:cs="宋体"/>
          <w:sz w:val="24"/>
        </w:rPr>
        <w:t>磋商公告；</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2、磋商响应方须知；</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3、磋商组织、步骤与评审方法；</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4、采购内容及要求；</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5、合同授予；</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6、采购控制价；</w:t>
      </w:r>
    </w:p>
    <w:p>
      <w:pPr>
        <w:shd w:val="clear" w:color="auto" w:fill="FFFFFF"/>
        <w:wordWrap w:val="0"/>
        <w:topLinePunct/>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7、响应文件格式。</w:t>
      </w:r>
    </w:p>
    <w:p>
      <w:pPr>
        <w:wordWrap w:val="0"/>
        <w:topLinePunct/>
        <w:adjustRightInd w:val="0"/>
        <w:snapToGrid w:val="0"/>
        <w:spacing w:line="360" w:lineRule="auto"/>
        <w:rPr>
          <w:rFonts w:ascii="宋体" w:hAnsi="宋体" w:cs="宋体"/>
          <w:b/>
          <w:sz w:val="24"/>
        </w:rPr>
      </w:pPr>
      <w:r>
        <w:rPr>
          <w:rFonts w:hint="eastAsia" w:ascii="宋体" w:hAnsi="宋体" w:cs="宋体"/>
          <w:b/>
          <w:sz w:val="24"/>
        </w:rPr>
        <w:t>五、磋商文件的质疑、澄清或修改：</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1、各潜在供应商对磋商文件内容如有疑问，必须于磋商开始前五个日历天将疑问以书面形式送至采购人或电子邮件形式发至</w:t>
      </w:r>
      <w:r>
        <w:rPr>
          <w:rFonts w:hint="eastAsia" w:ascii="宋体" w:hAnsi="宋体" w:cs="宋体"/>
          <w:bCs/>
          <w:kern w:val="0"/>
          <w:sz w:val="24"/>
          <w:lang w:eastAsia="zh-CN"/>
        </w:rPr>
        <w:t>Lzjszxgs1987@163.com</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 xml:space="preserve"> 2、采购人对磋商文件必要的澄清或修改的内容将在提交磋商文件截止时间五个日历天前，在邹城市外宣网（http://www.mencius.gov.cn/）等网站上予以公告，澄清和修改的内容将构成磋商文件的组成部分。</w:t>
      </w:r>
    </w:p>
    <w:p>
      <w:pPr>
        <w:wordWrap w:val="0"/>
        <w:topLinePunct/>
        <w:adjustRightInd w:val="0"/>
        <w:snapToGrid w:val="0"/>
        <w:spacing w:line="360" w:lineRule="auto"/>
        <w:rPr>
          <w:rFonts w:ascii="宋体" w:hAnsi="宋体" w:cs="宋体"/>
          <w:b/>
          <w:sz w:val="24"/>
        </w:rPr>
      </w:pPr>
      <w:r>
        <w:rPr>
          <w:rFonts w:hint="eastAsia" w:ascii="宋体" w:hAnsi="宋体" w:cs="宋体"/>
          <w:b/>
          <w:sz w:val="24"/>
        </w:rPr>
        <w:t>六、磋商响应文件的编写及递交：</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供应商应按磋商文件的要求准备磋商响应文件，并保证所提供全部资料的真实性、准确性及完整性，并对磋商文件做出实质性响应。</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（一）磋商响应文件的组成：</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1、磋商响应函</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2、法定代表人身份证明</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3、法定代表人授权委托书</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4、初次报价表</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5、初次报价的已标价工程量清单</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6、施工组织设计</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7、项目管理机构</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8、资格审查资料</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9、建设工程扬尘治理工作承诺书</w:t>
      </w:r>
    </w:p>
    <w:p>
      <w:pPr>
        <w:shd w:val="clear" w:color="auto" w:fill="FFFFFF"/>
        <w:wordWrap w:val="0"/>
        <w:topLinePunct/>
        <w:adjustRightInd w:val="0"/>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10、其他资料</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（二）磋商响应文件的密封和标记：</w:t>
      </w:r>
    </w:p>
    <w:p>
      <w:pPr>
        <w:shd w:val="clear" w:color="auto" w:fill="FFFFFF"/>
        <w:wordWrap w:val="0"/>
        <w:topLinePunct/>
        <w:adjustRightInd w:val="0"/>
        <w:snapToGrid w:val="0"/>
        <w:spacing w:line="360" w:lineRule="auto"/>
        <w:ind w:firstLine="480"/>
        <w:jc w:val="left"/>
        <w:rPr>
          <w:rFonts w:hint="eastAsia" w:ascii="宋体" w:hAnsi="宋体" w:cs="宋体"/>
          <w:sz w:val="24"/>
        </w:rPr>
      </w:pPr>
      <w:r>
        <w:rPr>
          <w:rFonts w:hint="eastAsia" w:ascii="宋体" w:hAnsi="宋体" w:cs="宋体"/>
          <w:sz w:val="24"/>
        </w:rPr>
        <w:t>1、磋商响应文件需加盖磋商响应方公章并胶装成册；</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 xml:space="preserve">2、供应商应准备磋商响应文件六份，一份正本和五份副本。在每一份磋商响应文件上要明确注明“正本”或“副本”字样，一旦正本和副本有差异，以正本为准； </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3、响应供应商应将磋商响应文件、磋商文件中提到的证明原件单独密封，并在封套的封口处加盖投标人单位公章或授权委托人签字。</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4、投标文件的正本与副本包装后加贴封条，并在封套的封口处加盖投标人单位公章或授权委托人签字。</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5、投标文件的封套上应清楚地标记“正本”或“副本”字样，封套上应写明的其他内容见附件磋商响应文件密封格式。</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注：封套上应清楚的标记“正本”或“副本”字样。</w:t>
      </w:r>
    </w:p>
    <w:p>
      <w:pPr>
        <w:shd w:val="clear" w:color="auto" w:fill="FFFFFF"/>
        <w:wordWrap w:val="0"/>
        <w:topLinePunct/>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未按本条1-5要求密封的磋商响应文件将有权被拒绝接收。</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（三）磋商响应文件的递交：</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1、磋商响应文件应于</w:t>
      </w:r>
      <w:r>
        <w:rPr>
          <w:rFonts w:hint="eastAsia" w:ascii="宋体" w:hAnsi="宋体" w:cs="宋体"/>
          <w:bCs/>
          <w:kern w:val="0"/>
          <w:sz w:val="24"/>
          <w:highlight w:val="none"/>
          <w:lang w:eastAsia="zh-CN"/>
        </w:rPr>
        <w:t>2024 年</w:t>
      </w:r>
      <w:r>
        <w:rPr>
          <w:rFonts w:hint="eastAsia" w:ascii="宋体" w:hAnsi="宋体" w:cs="宋体"/>
          <w:bCs/>
          <w:kern w:val="0"/>
          <w:sz w:val="24"/>
          <w:highlight w:val="none"/>
          <w:lang w:val="en-US" w:eastAsia="zh-CN"/>
        </w:rPr>
        <w:t>04</w:t>
      </w:r>
      <w:r>
        <w:rPr>
          <w:rFonts w:hint="eastAsia" w:ascii="宋体" w:hAnsi="宋体" w:cs="宋体"/>
          <w:bCs/>
          <w:kern w:val="0"/>
          <w:sz w:val="24"/>
          <w:highlight w:val="none"/>
          <w:lang w:eastAsia="zh-CN"/>
        </w:rPr>
        <w:t xml:space="preserve"> 月 0</w:t>
      </w:r>
      <w:r>
        <w:rPr>
          <w:rFonts w:hint="eastAsia" w:ascii="宋体" w:hAnsi="宋体" w:cs="宋体"/>
          <w:bCs/>
          <w:kern w:val="0"/>
          <w:sz w:val="24"/>
          <w:highlight w:val="none"/>
          <w:lang w:val="en-US" w:eastAsia="zh-CN"/>
        </w:rPr>
        <w:t>7</w:t>
      </w:r>
      <w:r>
        <w:rPr>
          <w:rFonts w:hint="eastAsia" w:ascii="宋体" w:hAnsi="宋体" w:cs="宋体"/>
          <w:bCs/>
          <w:kern w:val="0"/>
          <w:sz w:val="24"/>
          <w:highlight w:val="none"/>
          <w:lang w:eastAsia="zh-CN"/>
        </w:rPr>
        <w:t xml:space="preserve"> 日 0</w:t>
      </w:r>
      <w:r>
        <w:rPr>
          <w:rFonts w:hint="eastAsia" w:ascii="宋体" w:hAnsi="宋体" w:cs="宋体"/>
          <w:bCs/>
          <w:kern w:val="0"/>
          <w:sz w:val="24"/>
          <w:highlight w:val="none"/>
          <w:lang w:val="en-US" w:eastAsia="zh-CN"/>
        </w:rPr>
        <w:t>9</w:t>
      </w:r>
      <w:r>
        <w:rPr>
          <w:rFonts w:hint="eastAsia" w:ascii="宋体" w:hAnsi="宋体" w:cs="宋体"/>
          <w:bCs/>
          <w:kern w:val="0"/>
          <w:sz w:val="24"/>
          <w:highlight w:val="none"/>
          <w:lang w:eastAsia="zh-CN"/>
        </w:rPr>
        <w:t>时 30 分</w:t>
      </w:r>
      <w:r>
        <w:rPr>
          <w:rFonts w:hint="eastAsia" w:ascii="宋体" w:hAnsi="宋体" w:cs="宋体"/>
          <w:kern w:val="0"/>
          <w:sz w:val="24"/>
          <w:highlight w:val="none"/>
        </w:rPr>
        <w:t>（北京时间）</w:t>
      </w:r>
      <w:r>
        <w:rPr>
          <w:rFonts w:hint="eastAsia" w:ascii="宋体" w:hAnsi="宋体" w:cs="宋体"/>
          <w:kern w:val="0"/>
          <w:sz w:val="24"/>
        </w:rPr>
        <w:t>前递交至</w:t>
      </w:r>
      <w:r>
        <w:rPr>
          <w:rFonts w:hint="eastAsia" w:ascii="宋体" w:hAnsi="宋体" w:cs="宋体"/>
          <w:kern w:val="0"/>
          <w:sz w:val="24"/>
          <w:lang w:eastAsia="zh-CN"/>
        </w:rPr>
        <w:t>邹城市千泉街道公共资源交易中心开标室</w:t>
      </w:r>
      <w:r>
        <w:rPr>
          <w:rFonts w:hint="eastAsia" w:ascii="宋体" w:hAnsi="宋体" w:cs="宋体"/>
          <w:kern w:val="0"/>
          <w:sz w:val="24"/>
        </w:rPr>
        <w:t>。</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kern w:val="0"/>
          <w:sz w:val="24"/>
        </w:rPr>
        <w:t>2、递交磋商</w:t>
      </w:r>
      <w:r>
        <w:rPr>
          <w:rFonts w:hint="eastAsia" w:ascii="宋体" w:hAnsi="宋体" w:cs="宋体"/>
          <w:sz w:val="24"/>
        </w:rPr>
        <w:t>响应文件时，供应商如出现以下情况，磋商响应文件将有权被拒绝。</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（1）逾期送达或未送达指定地点的磋商响应文件。</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（2）磋商响应文件未按磋商文件要求密封的。</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3、对供应商的磋商响应文件、材料不予退还。</w:t>
      </w:r>
    </w:p>
    <w:p>
      <w:pPr>
        <w:shd w:val="clear" w:color="auto" w:fill="FFFFFF"/>
        <w:wordWrap w:val="0"/>
        <w:topLinePunct/>
        <w:adjustRightInd w:val="0"/>
        <w:snapToGrid w:val="0"/>
        <w:spacing w:line="360" w:lineRule="auto"/>
        <w:ind w:firstLine="480"/>
        <w:jc w:val="left"/>
        <w:rPr>
          <w:rFonts w:ascii="宋体" w:hAnsi="宋体" w:cs="宋体"/>
          <w:b/>
          <w:kern w:val="0"/>
          <w:sz w:val="24"/>
        </w:rPr>
      </w:pPr>
      <w:r>
        <w:rPr>
          <w:rFonts w:hint="eastAsia" w:ascii="宋体" w:hAnsi="宋体" w:cs="宋体"/>
          <w:b/>
          <w:kern w:val="0"/>
          <w:sz w:val="24"/>
        </w:rPr>
        <w:t>（四）报价要求：</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2、报价时考虑可调以外的材料价格上涨等一切风险因素；</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3、</w:t>
      </w:r>
      <w:r>
        <w:rPr>
          <w:rFonts w:hint="eastAsia" w:ascii="宋体" w:hAnsi="宋体" w:cs="宋体"/>
          <w:kern w:val="0"/>
          <w:sz w:val="24"/>
        </w:rPr>
        <w:t>施工期间与周边地方关系的协调由成交单位自行处理，产生的任何费用自行承担</w:t>
      </w:r>
      <w:r>
        <w:rPr>
          <w:rFonts w:hint="eastAsia" w:ascii="宋体" w:hAnsi="宋体" w:cs="宋体"/>
          <w:sz w:val="24"/>
        </w:rPr>
        <w:t>；</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4、</w:t>
      </w:r>
      <w:r>
        <w:rPr>
          <w:rFonts w:hint="eastAsia" w:ascii="宋体" w:hAnsi="宋体" w:cs="宋体"/>
          <w:b/>
          <w:bCs/>
          <w:kern w:val="0"/>
          <w:sz w:val="24"/>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kern w:val="0"/>
          <w:sz w:val="24"/>
        </w:rPr>
        <w:t>分项明细报价</w:t>
      </w:r>
      <w:bookmarkEnd w:id="10"/>
      <w:r>
        <w:rPr>
          <w:rFonts w:hint="eastAsia" w:ascii="宋体" w:hAnsi="宋体" w:cs="宋体"/>
          <w:b/>
          <w:kern w:val="0"/>
          <w:sz w:val="24"/>
        </w:rPr>
        <w:t>（分部分项工程量清单单价和合价、措施项目费、其他项目费、规费、税金）按</w:t>
      </w:r>
      <w:r>
        <w:rPr>
          <w:rFonts w:hint="eastAsia" w:ascii="宋体" w:hAnsi="宋体" w:cs="宋体"/>
          <w:b/>
          <w:kern w:val="0"/>
          <w:sz w:val="24"/>
          <w:u w:val="single"/>
        </w:rPr>
        <w:t>最终报价</w:t>
      </w:r>
      <w:r>
        <w:rPr>
          <w:rFonts w:hint="eastAsia" w:ascii="宋体" w:hAnsi="宋体" w:cs="宋体"/>
          <w:b/>
          <w:kern w:val="0"/>
          <w:sz w:val="24"/>
        </w:rPr>
        <w:t>与</w:t>
      </w:r>
      <w:r>
        <w:rPr>
          <w:rFonts w:hint="eastAsia" w:ascii="宋体" w:hAnsi="宋体" w:cs="宋体"/>
          <w:b/>
          <w:kern w:val="0"/>
          <w:sz w:val="24"/>
          <w:u w:val="single"/>
        </w:rPr>
        <w:t>初次报价</w:t>
      </w:r>
      <w:r>
        <w:rPr>
          <w:rFonts w:hint="eastAsia" w:ascii="宋体" w:hAnsi="宋体" w:cs="宋体"/>
          <w:b/>
          <w:kern w:val="0"/>
          <w:sz w:val="24"/>
        </w:rPr>
        <w:t>的比率，同比例下调。供应商两次报价均不得超出采购预算（控制价），如若超出按无效响应处理。</w:t>
      </w:r>
      <w:r>
        <w:rPr>
          <w:rFonts w:hint="eastAsia" w:ascii="宋体" w:hAnsi="宋体" w:cs="宋体"/>
          <w:b/>
          <w:sz w:val="24"/>
        </w:rPr>
        <w:t>其中，磋商代理服务费应分摊在报价中。</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计算</w:t>
      </w:r>
      <w:r>
        <w:rPr>
          <w:rFonts w:hint="eastAsia" w:ascii="宋体" w:hAnsi="宋体" w:cs="宋体"/>
          <w:b/>
          <w:kern w:val="0"/>
          <w:sz w:val="24"/>
        </w:rPr>
        <w:t>公式</w:t>
      </w:r>
      <w:r>
        <w:rPr>
          <w:rFonts w:hint="eastAsia" w:ascii="宋体" w:hAnsi="宋体" w:cs="宋体"/>
          <w:b/>
          <w:bCs/>
          <w:sz w:val="24"/>
        </w:rPr>
        <w:t>为：</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报价比率=（供应商报价</w:t>
      </w:r>
      <w:r>
        <w:rPr>
          <w:rFonts w:hint="eastAsia" w:ascii="宋体" w:hAnsi="宋体" w:cs="宋体"/>
          <w:b/>
          <w:bCs/>
          <w:sz w:val="24"/>
          <w:lang w:eastAsia="zh-CN"/>
        </w:rPr>
        <w:t>－</w:t>
      </w:r>
      <w:r>
        <w:rPr>
          <w:rFonts w:hint="eastAsia" w:ascii="宋体" w:hAnsi="宋体" w:cs="宋体"/>
          <w:b/>
          <w:bCs/>
          <w:sz w:val="24"/>
        </w:rPr>
        <w:t>暂估项目费及相应规费、税金）/（初次报价-暂估项目费及相应规费、税金）</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报价的分部分项工程单价与合价=报价比率×初次报价中的分部分项工程单价与合价</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报价的措施费=报价比率×初次报价中的措施费</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报价的规费=报价比率×初次报价中的规费</w:t>
      </w:r>
    </w:p>
    <w:p>
      <w:pPr>
        <w:shd w:val="clear" w:color="auto" w:fill="FFFFFF"/>
        <w:wordWrap w:val="0"/>
        <w:topLinePunct/>
        <w:adjustRightInd w:val="0"/>
        <w:snapToGrid w:val="0"/>
        <w:spacing w:line="360" w:lineRule="auto"/>
        <w:ind w:firstLine="480"/>
        <w:jc w:val="left"/>
        <w:rPr>
          <w:rFonts w:ascii="宋体" w:hAnsi="宋体" w:cs="宋体"/>
          <w:b/>
          <w:bCs/>
          <w:sz w:val="24"/>
        </w:rPr>
      </w:pPr>
      <w:r>
        <w:rPr>
          <w:rFonts w:hint="eastAsia" w:ascii="宋体" w:hAnsi="宋体" w:cs="宋体"/>
          <w:b/>
          <w:bCs/>
          <w:sz w:val="24"/>
        </w:rPr>
        <w:t>报价的税金=报价比率×初次报价中的税金</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5、</w:t>
      </w:r>
      <w:r>
        <w:rPr>
          <w:rFonts w:hint="eastAsia" w:ascii="宋体" w:hAnsi="宋体" w:cs="宋体"/>
          <w:bCs/>
          <w:sz w:val="24"/>
        </w:rPr>
        <w:t>报价币种为</w:t>
      </w:r>
      <w:r>
        <w:rPr>
          <w:rFonts w:hint="eastAsia" w:ascii="宋体" w:hAnsi="宋体" w:cs="宋体"/>
          <w:sz w:val="24"/>
        </w:rPr>
        <w:t>人民币，如果报价表大写金额与小写金额不一致，以大写的金额为准。</w:t>
      </w:r>
    </w:p>
    <w:p>
      <w:pPr>
        <w:shd w:val="clear" w:color="auto" w:fill="FFFFFF"/>
        <w:wordWrap w:val="0"/>
        <w:topLinePunct/>
        <w:adjustRightInd w:val="0"/>
        <w:snapToGrid w:val="0"/>
        <w:spacing w:line="360" w:lineRule="auto"/>
        <w:ind w:firstLine="480"/>
        <w:jc w:val="left"/>
        <w:rPr>
          <w:rFonts w:ascii="宋体" w:hAnsi="宋体" w:cs="宋体"/>
          <w:b/>
          <w:kern w:val="0"/>
          <w:sz w:val="24"/>
        </w:rPr>
      </w:pPr>
      <w:r>
        <w:rPr>
          <w:rFonts w:hint="eastAsia" w:ascii="宋体" w:hAnsi="宋体" w:cs="宋体"/>
          <w:b/>
          <w:sz w:val="24"/>
        </w:rPr>
        <w:t>6、</w:t>
      </w:r>
      <w:r>
        <w:rPr>
          <w:rFonts w:hint="eastAsia" w:ascii="宋体" w:hAnsi="宋体" w:cs="宋体"/>
          <w:b/>
          <w:bCs/>
          <w:kern w:val="0"/>
          <w:sz w:val="24"/>
        </w:rPr>
        <w:t>采购预算（控制价）</w:t>
      </w:r>
      <w:r>
        <w:rPr>
          <w:rFonts w:hint="eastAsia" w:ascii="宋体" w:hAnsi="宋体" w:cs="宋体"/>
          <w:b/>
          <w:bCs/>
          <w:kern w:val="0"/>
          <w:sz w:val="24"/>
          <w:highlight w:val="none"/>
        </w:rPr>
        <w:t>为</w:t>
      </w:r>
      <w:bookmarkStart w:id="53" w:name="_GoBack"/>
      <w:r>
        <w:rPr>
          <w:rFonts w:hint="eastAsia" w:ascii="宋体" w:hAnsi="宋体" w:cs="宋体"/>
          <w:b/>
          <w:bCs/>
          <w:kern w:val="0"/>
          <w:sz w:val="24"/>
          <w:highlight w:val="none"/>
          <w:u w:val="single"/>
          <w:lang w:eastAsia="zh-CN"/>
        </w:rPr>
        <w:t>939717.78</w:t>
      </w:r>
      <w:bookmarkEnd w:id="53"/>
      <w:r>
        <w:rPr>
          <w:rFonts w:hint="eastAsia" w:ascii="宋体" w:hAnsi="宋体" w:cs="宋体"/>
          <w:b/>
          <w:bCs/>
          <w:kern w:val="0"/>
          <w:sz w:val="24"/>
        </w:rPr>
        <w:t>元。</w:t>
      </w:r>
    </w:p>
    <w:p>
      <w:pPr>
        <w:shd w:val="clear" w:color="auto" w:fill="FFFFFF"/>
        <w:wordWrap w:val="0"/>
        <w:topLinePunct/>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7、采用初次报价及最终报价，共二次的报价方式；最终报价不得高于初次报价。供应商两次报价均不得超出采购预算（控制价），如若超出按无效响应处理。</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七、磋商有效期：</w:t>
      </w:r>
    </w:p>
    <w:p>
      <w:pPr>
        <w:shd w:val="clear" w:color="auto" w:fill="FFFFFF"/>
        <w:wordWrap w:val="0"/>
        <w:topLinePunct/>
        <w:adjustRightInd w:val="0"/>
        <w:snapToGrid w:val="0"/>
        <w:spacing w:line="360" w:lineRule="auto"/>
        <w:ind w:firstLine="480"/>
        <w:jc w:val="left"/>
        <w:rPr>
          <w:rFonts w:ascii="宋体" w:hAnsi="宋体" w:cs="宋体"/>
          <w:sz w:val="24"/>
        </w:rPr>
      </w:pPr>
      <w:r>
        <w:rPr>
          <w:rFonts w:hint="eastAsia" w:ascii="宋体" w:hAnsi="宋体" w:cs="宋体"/>
          <w:sz w:val="24"/>
        </w:rPr>
        <w:t>自递交磋商响应文件截止之日起60个日历天。</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八、磋商费用：</w:t>
      </w:r>
    </w:p>
    <w:p>
      <w:pPr>
        <w:shd w:val="clear" w:color="auto" w:fill="FFFFFF"/>
        <w:wordWrap w:val="0"/>
        <w:topLinePunct/>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1、无论</w:t>
      </w:r>
      <w:r>
        <w:rPr>
          <w:rFonts w:hint="eastAsia" w:ascii="宋体" w:hAnsi="宋体" w:cs="宋体"/>
          <w:kern w:val="0"/>
          <w:sz w:val="24"/>
        </w:rPr>
        <w:t>报价</w:t>
      </w:r>
      <w:r>
        <w:rPr>
          <w:rFonts w:hint="eastAsia" w:ascii="宋体" w:hAnsi="宋体" w:cs="宋体"/>
          <w:sz w:val="24"/>
        </w:rPr>
        <w:t>过程中的方法和结果如何，各磋商响应方自行承担所有参与磋商的有关费用。</w:t>
      </w:r>
    </w:p>
    <w:p>
      <w:pPr>
        <w:tabs>
          <w:tab w:val="left" w:pos="315"/>
        </w:tabs>
        <w:wordWrap w:val="0"/>
        <w:topLinePunct/>
        <w:adjustRightInd w:val="0"/>
        <w:snapToGrid w:val="0"/>
        <w:spacing w:line="360" w:lineRule="auto"/>
        <w:ind w:firstLine="480" w:firstLineChars="200"/>
        <w:rPr>
          <w:rFonts w:hint="eastAsia" w:ascii="宋体" w:hAnsi="宋体" w:eastAsia="宋体" w:cs="宋体"/>
          <w:b/>
          <w:bCs/>
          <w:sz w:val="24"/>
          <w:lang w:eastAsia="zh-CN"/>
        </w:rPr>
      </w:pPr>
      <w:r>
        <w:rPr>
          <w:rFonts w:hint="eastAsia" w:ascii="宋体" w:hAnsi="宋体" w:cs="宋体"/>
          <w:sz w:val="24"/>
        </w:rPr>
        <w:t>2、本次采购代理服务费为</w:t>
      </w:r>
      <w:r>
        <w:rPr>
          <w:rFonts w:hint="eastAsia" w:ascii="宋体" w:hAnsi="宋体" w:cs="宋体"/>
          <w:b/>
          <w:bCs/>
          <w:sz w:val="24"/>
          <w:u w:val="single"/>
          <w:lang w:val="en-US" w:eastAsia="zh-CN"/>
        </w:rPr>
        <w:t>15000.00</w:t>
      </w:r>
      <w:r>
        <w:rPr>
          <w:rFonts w:hint="eastAsia" w:ascii="宋体" w:hAnsi="宋体" w:cs="宋体"/>
          <w:b/>
          <w:bCs/>
          <w:sz w:val="24"/>
          <w:highlight w:val="none"/>
          <w:u w:val="single"/>
        </w:rPr>
        <w:t xml:space="preserve">元 （ </w:t>
      </w:r>
      <w:r>
        <w:rPr>
          <w:rFonts w:hint="eastAsia" w:ascii="宋体" w:hAnsi="宋体" w:cs="宋体"/>
          <w:b/>
          <w:bCs/>
          <w:sz w:val="24"/>
          <w:highlight w:val="none"/>
          <w:u w:val="single"/>
          <w:lang w:val="en-US" w:eastAsia="zh-CN"/>
        </w:rPr>
        <w:t>壹万伍仟元整</w:t>
      </w:r>
      <w:r>
        <w:rPr>
          <w:rFonts w:hint="eastAsia" w:ascii="宋体" w:hAnsi="宋体" w:cs="宋体"/>
          <w:b/>
          <w:bCs/>
          <w:sz w:val="24"/>
          <w:highlight w:val="none"/>
        </w:rPr>
        <w:t>）</w:t>
      </w:r>
      <w:r>
        <w:rPr>
          <w:rFonts w:hint="eastAsia" w:ascii="宋体" w:hAnsi="宋体" w:cs="宋体"/>
          <w:b/>
          <w:bCs/>
          <w:sz w:val="24"/>
          <w:highlight w:val="none"/>
          <w:lang w:eastAsia="zh-CN"/>
        </w:rPr>
        <w:t>。</w:t>
      </w:r>
    </w:p>
    <w:p>
      <w:pPr>
        <w:tabs>
          <w:tab w:val="left" w:pos="315"/>
        </w:tabs>
        <w:wordWrap w:val="0"/>
        <w:topLinePunct/>
        <w:adjustRightInd w:val="0"/>
        <w:snapToGrid w:val="0"/>
        <w:spacing w:line="360" w:lineRule="auto"/>
        <w:ind w:firstLine="480" w:firstLineChars="200"/>
        <w:rPr>
          <w:rFonts w:ascii="宋体" w:hAnsi="宋体" w:cs="宋体"/>
          <w:b/>
          <w:sz w:val="24"/>
        </w:rPr>
      </w:pPr>
      <w:r>
        <w:rPr>
          <w:rFonts w:hint="eastAsia" w:ascii="宋体" w:hAnsi="宋体" w:cs="宋体"/>
          <w:sz w:val="24"/>
        </w:rPr>
        <w:t>以上费用由成交供应商支付，供应商报价时应将该费用考虑到综合报价中。成交通知书发出前，成交供应商从其账户一次性汇入代理机构指定账户。</w:t>
      </w:r>
    </w:p>
    <w:p>
      <w:p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rPr>
        <w:t>九、工程款支付：</w:t>
      </w:r>
    </w:p>
    <w:p>
      <w:pPr>
        <w:wordWrap w:val="0"/>
        <w:topLinePunct/>
        <w:adjustRightInd w:val="0"/>
        <w:snapToGrid w:val="0"/>
        <w:spacing w:line="360" w:lineRule="auto"/>
        <w:ind w:firstLine="474" w:firstLineChars="200"/>
        <w:jc w:val="left"/>
        <w:rPr>
          <w:rFonts w:hint="eastAsia" w:ascii="宋体" w:hAnsi="宋体" w:cs="宋体"/>
          <w:b/>
          <w:spacing w:val="-2"/>
          <w:sz w:val="24"/>
          <w:highlight w:val="none"/>
          <w:u w:val="single"/>
          <w:lang w:eastAsia="zh-CN"/>
        </w:rPr>
      </w:pPr>
      <w:r>
        <w:rPr>
          <w:rFonts w:hint="eastAsia" w:ascii="宋体" w:hAnsi="宋体" w:cs="宋体"/>
          <w:b/>
          <w:spacing w:val="-2"/>
          <w:sz w:val="24"/>
          <w:highlight w:val="none"/>
          <w:u w:val="single"/>
          <w:lang w:eastAsia="zh-CN"/>
        </w:rPr>
        <w:t>本工程无预付款，工程审计验收合格后付至审定价款的30%，剩余70%，三年内无息付清。</w:t>
      </w:r>
    </w:p>
    <w:p>
      <w:pPr>
        <w:tabs>
          <w:tab w:val="left" w:pos="315"/>
        </w:tabs>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十、磋商保证金：</w:t>
      </w:r>
    </w:p>
    <w:p>
      <w:pPr>
        <w:tabs>
          <w:tab w:val="left" w:pos="315"/>
        </w:tabs>
        <w:wordWrap w:val="0"/>
        <w:topLinePunct/>
        <w:spacing w:line="360" w:lineRule="auto"/>
        <w:ind w:firstLine="482" w:firstLineChars="200"/>
        <w:rPr>
          <w:rFonts w:hint="default" w:ascii="宋体" w:hAnsi="宋体" w:cs="宋体"/>
          <w:sz w:val="24"/>
          <w:lang w:val="en-US" w:eastAsia="zh-CN"/>
        </w:rPr>
      </w:pPr>
      <w:r>
        <w:rPr>
          <w:rFonts w:hint="eastAsia" w:ascii="宋体" w:hAnsi="宋体" w:cs="宋体"/>
          <w:b/>
          <w:sz w:val="24"/>
        </w:rPr>
        <w:t>磋商保证金：根据《山东省财政厅关于取消政府采购磋商保证金等有关事项的通知》（鲁财采〔2019〕40 号），本项目不收取磋商保证金。</w:t>
      </w:r>
    </w:p>
    <w:p>
      <w:pPr>
        <w:pStyle w:val="6"/>
        <w:spacing w:line="448" w:lineRule="auto"/>
        <w:ind w:left="0" w:leftChars="0" w:right="3024" w:firstLine="0" w:firstLineChars="0"/>
      </w:pPr>
      <w:r>
        <w:rPr>
          <w:rFonts w:hint="eastAsia" w:ascii="宋体" w:hAnsi="宋体" w:cs="宋体"/>
          <w:b/>
          <w:sz w:val="24"/>
          <w:lang w:val="en-US" w:eastAsia="zh-CN"/>
        </w:rPr>
        <w:t>十一、</w:t>
      </w:r>
      <w:r>
        <w:t>不拖欠农民工工资保证金</w:t>
      </w:r>
    </w:p>
    <w:p>
      <w:pPr>
        <w:pStyle w:val="7"/>
        <w:spacing w:line="446" w:lineRule="auto"/>
        <w:ind w:left="212" w:right="372" w:firstLine="480"/>
        <w:jc w:val="both"/>
      </w:pPr>
      <w:r>
        <w:rPr>
          <w:b/>
          <w:spacing w:val="-4"/>
        </w:rPr>
        <w:t xml:space="preserve">不拖欠农民工工资保证金的金额为成交价的 </w:t>
      </w:r>
      <w:r>
        <w:rPr>
          <w:rFonts w:hint="eastAsia"/>
          <w:b/>
          <w:spacing w:val="-14"/>
          <w:lang w:val="en-US" w:eastAsia="zh-CN"/>
        </w:rPr>
        <w:t>2</w:t>
      </w:r>
      <w:r>
        <w:rPr>
          <w:b/>
          <w:spacing w:val="-14"/>
        </w:rPr>
        <w:t>%</w:t>
      </w:r>
      <w:r>
        <w:rPr>
          <w:spacing w:val="-5"/>
        </w:rPr>
        <w:t>，农民工工资保证金必须由成交人在签订</w:t>
      </w:r>
      <w:r>
        <w:rPr>
          <w:spacing w:val="-1"/>
        </w:rPr>
        <w:t>合同前从成交人基本账户，采用银行电汇或网上银行方式直接缴纳至采购人指定账户，否则</w:t>
      </w:r>
      <w:r>
        <w:t>视为无效。未按竞争性磋商文件规定缴纳保证金的，采购人有权取消其中标资格。</w:t>
      </w:r>
    </w:p>
    <w:p>
      <w:pPr>
        <w:pStyle w:val="7"/>
      </w:pPr>
      <w:r>
        <w:t>成交单位需按月足额发放农民工工资，不得拖欠。如有拖欠状况，采购人有权从保证金</w:t>
      </w:r>
    </w:p>
    <w:p>
      <w:pPr>
        <w:pStyle w:val="11"/>
        <w:spacing w:before="1"/>
        <w:rPr>
          <w:sz w:val="20"/>
        </w:rPr>
      </w:pPr>
    </w:p>
    <w:p>
      <w:pPr>
        <w:pStyle w:val="7"/>
        <w:spacing w:before="1" w:line="240" w:lineRule="auto"/>
        <w:ind w:left="212"/>
      </w:pPr>
      <w:r>
        <w:t>中列支支付农民工工资，成交单位不得提出任何异议；列支出的保证金金额，成交单位需在</w:t>
      </w:r>
    </w:p>
    <w:p>
      <w:pPr>
        <w:pStyle w:val="11"/>
        <w:spacing w:before="2" w:line="240" w:lineRule="auto"/>
        <w:rPr>
          <w:sz w:val="8"/>
        </w:rPr>
      </w:pPr>
    </w:p>
    <w:p>
      <w:pPr>
        <w:pStyle w:val="7"/>
        <w:spacing w:before="66" w:line="360" w:lineRule="auto"/>
        <w:ind w:left="212"/>
      </w:pPr>
      <w:r>
        <w:t>5 日内补齐汇交给采购人，否则采购人可提前终止合同，成交单位无条件服从。</w:t>
      </w:r>
    </w:p>
    <w:p>
      <w:pPr>
        <w:numPr>
          <w:ilvl w:val="0"/>
          <w:numId w:val="0"/>
        </w:numPr>
        <w:tabs>
          <w:tab w:val="left" w:pos="315"/>
        </w:tabs>
        <w:wordWrap w:val="0"/>
        <w:topLinePunct/>
        <w:adjustRightInd w:val="0"/>
        <w:snapToGrid w:val="0"/>
        <w:spacing w:line="360" w:lineRule="auto"/>
        <w:rPr>
          <w:rFonts w:ascii="宋体" w:hAnsi="宋体" w:cs="宋体"/>
          <w:b/>
          <w:sz w:val="24"/>
        </w:rPr>
      </w:pPr>
      <w:r>
        <w:rPr>
          <w:rFonts w:hint="eastAsia" w:ascii="宋体" w:hAnsi="宋体" w:cs="宋体"/>
          <w:b/>
          <w:sz w:val="24"/>
          <w:lang w:val="en-US" w:eastAsia="zh-CN"/>
        </w:rPr>
        <w:t>十二、</w:t>
      </w:r>
      <w:r>
        <w:rPr>
          <w:rFonts w:hint="eastAsia" w:ascii="宋体" w:hAnsi="宋体" w:cs="宋体"/>
          <w:b/>
          <w:sz w:val="24"/>
        </w:rPr>
        <w:t>无效磋商响应文件：</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凡具有下列情形之一的，作无效磋商响应文件：</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1、超出营业执照经营范围报价的；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2、磋商响应方的响应文件由同一单位或者个人编制的；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3、不同投标人委托同一单位或者个人办理投标事宜；</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4、磋商响应方的响应文件载明的项目管理成员为同一人；</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5、资格证明文件不全的，或者不符合采购文件标明的资格要求的；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6、响应文件无法定代表人或授权委托人代表签字的；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7、不响应或者擅自改变采购文件要求或者响应文件有采购人不能接受的附加条件的；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8、提供的有关资格、资质证明文件不真实，提供虚假报价材料的；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9、磋商响应方串通报价的；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10、磋商响应方向采购人、代理采购机构、评审专家提供不正当利益的；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11、磋商响应方的初次报价和最终报价超过采购预算的；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12、磋商响应方的最终报价高于初次报价的；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13、初次报价的已标价工程量清单不符合第四部分采购内容及要求中“工程量清单”给出的子目编码、子目名称、子目特征、计量单位和工程量；</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14、没有按磋商文件要求报价，增减或修改磋商文件提供的工程量清单的；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15、降低本磋商文件规定不可竞争费用的；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16、投标人拟派的项目经理在施建设工程项目的；</w:t>
      </w:r>
    </w:p>
    <w:p>
      <w:pPr>
        <w:shd w:val="clear" w:color="auto" w:fill="FFFFFF"/>
        <w:wordWrap w:val="0"/>
        <w:topLinePunct/>
        <w:adjustRightInd w:val="0"/>
        <w:snapToGrid w:val="0"/>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17、法律、法规规定的其他情况。</w:t>
      </w:r>
    </w:p>
    <w:p>
      <w:pPr>
        <w:shd w:val="clear" w:color="auto" w:fill="FFFFFF"/>
        <w:wordWrap w:val="0"/>
        <w:topLinePunct/>
        <w:adjustRightInd w:val="0"/>
        <w:snapToGrid w:val="0"/>
        <w:spacing w:line="360" w:lineRule="auto"/>
        <w:ind w:left="0" w:leftChars="0" w:firstLine="0" w:firstLineChars="0"/>
        <w:jc w:val="left"/>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、质疑和投诉：</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质疑投诉内容：根据《政府采购法实施条例》第二十条规定：采购人或者采购代理机构有下列情形之一的，属于以不合理的条件对供应商实行差别待遇或者歧视待遇：潜在供应商（供应商）可向有关部门提起质疑、投诉：</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（一）就同一采购项目向供应商提供有差别的项目信息；</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（二）设定的资格、技术、商务条件与采购项目的具体特点和实际需要不相适应或者与合同履行无关；</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（三）采购需求中的技术、服务等要求指向特定供应商、特定产品；</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（四）以特定行政区域或者特定行业的业绩、奖项作为加分条件或者中标、成交条件；</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（五）对供应商采取不同的资格审查或者评审标准；</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（六）限定或者指定特定的专利、商标、品牌或者供应商；</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（七）非法限定供应商的所有制形式、组织形式或者所在地；</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（八）以其他不合理条件限制或者排斥潜在供应商。</w:t>
      </w:r>
    </w:p>
    <w:p>
      <w:pPr>
        <w:tabs>
          <w:tab w:val="left" w:pos="315"/>
        </w:tabs>
        <w:wordWrap w:val="0"/>
        <w:topLinePunct/>
        <w:adjustRightInd w:val="0"/>
        <w:snapToGrid w:val="0"/>
        <w:spacing w:line="360" w:lineRule="auto"/>
        <w:ind w:left="0" w:leftChars="-95" w:hanging="199" w:hangingChars="83"/>
        <w:rPr>
          <w:rFonts w:hint="eastAsia" w:ascii="宋体" w:hAnsi="宋体" w:eastAsia="宋体" w:cs="宋体"/>
          <w:sz w:val="24"/>
          <w:lang w:val="en-US" w:eastAsia="zh-CN"/>
        </w:rPr>
      </w:pPr>
      <w:r>
        <w:rPr>
          <w:rFonts w:hint="eastAsia" w:ascii="宋体" w:hAnsi="宋体" w:eastAsia="宋体" w:cs="宋体"/>
          <w:sz w:val="24"/>
          <w:lang w:val="en-US" w:eastAsia="zh-CN"/>
        </w:rPr>
        <w:t xml:space="preserve">      各供应商在法定质疑期内需一次性提出针对同一采购程序环节的质疑。</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"mailto:所有质疑以书面形式递交，同时发邮件至Lzjszxgs1987@163.com"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所有质疑以书面形式递交，同时发邮件至Lzjszxgs1987@163.com</w:t>
      </w:r>
      <w:r>
        <w:rPr>
          <w:rFonts w:hint="eastAsia" w:ascii="宋体" w:hAnsi="宋体" w:eastAsia="宋体" w:cs="宋体"/>
          <w:sz w:val="24"/>
          <w:lang w:val="en-US" w:eastAsia="zh-CN"/>
        </w:rPr>
        <w:fldChar w:fldCharType="end"/>
      </w:r>
    </w:p>
    <w:p>
      <w:pPr>
        <w:spacing w:line="500" w:lineRule="exact"/>
        <w:ind w:firstLine="482" w:firstLineChars="200"/>
        <w:rPr>
          <w:rFonts w:hint="eastAsia" w:ascii="宋体" w:hAnsi="宋体"/>
          <w:b/>
          <w:sz w:val="24"/>
        </w:rPr>
      </w:pPr>
      <w:r>
        <w:rPr>
          <w:rFonts w:hint="eastAsia" w:ascii="宋体" w:hAnsi="宋体"/>
          <w:b/>
          <w:sz w:val="24"/>
          <w:lang w:val="en-US" w:eastAsia="zh-CN"/>
        </w:rPr>
        <w:t>十四</w:t>
      </w:r>
      <w:r>
        <w:rPr>
          <w:rFonts w:hint="eastAsia" w:ascii="宋体" w:hAnsi="宋体"/>
          <w:b/>
          <w:sz w:val="24"/>
        </w:rPr>
        <w:t>、响应投标人不足三家：</w:t>
      </w:r>
    </w:p>
    <w:p>
      <w:pPr>
        <w:tabs>
          <w:tab w:val="left" w:pos="315"/>
        </w:tabs>
        <w:wordWrap w:val="0"/>
        <w:topLinePunct/>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递交响应文件或对磋商文件做出实质响应的供应商不足三家时，采购人将中止磋商，重新组织磋商。</w:t>
      </w:r>
    </w:p>
    <w:p>
      <w:pPr>
        <w:pStyle w:val="2"/>
        <w:rPr>
          <w:rFonts w:hint="eastAsia"/>
          <w:lang w:val="en-US" w:eastAsia="zh-CN"/>
        </w:rPr>
      </w:pPr>
    </w:p>
    <w:p>
      <w:pPr>
        <w:wordWrap w:val="0"/>
        <w:topLinePunct/>
        <w:adjustRightInd w:val="0"/>
        <w:snapToGrid w:val="0"/>
        <w:spacing w:line="360" w:lineRule="auto"/>
        <w:ind w:left="-2" w:leftChars="-675" w:hanging="1416" w:hangingChars="590"/>
        <w:jc w:val="center"/>
        <w:outlineLvl w:val="0"/>
        <w:rPr>
          <w:rFonts w:ascii="宋体" w:hAnsi="宋体" w:cs="宋体"/>
          <w:b/>
          <w:sz w:val="32"/>
          <w:szCs w:val="32"/>
        </w:rPr>
      </w:pPr>
      <w:r>
        <w:rPr>
          <w:rFonts w:hint="eastAsia" w:ascii="宋体" w:hAnsi="宋体" w:eastAsia="宋体" w:cs="宋体"/>
          <w:sz w:val="24"/>
          <w:lang w:val="en-US" w:eastAsia="zh-CN"/>
        </w:rPr>
        <w:br w:type="page"/>
      </w:r>
      <w:bookmarkStart w:id="11" w:name="_Toc31011"/>
      <w:bookmarkStart w:id="12" w:name="_Toc21211"/>
      <w:bookmarkStart w:id="13" w:name="_Toc22085"/>
      <w:bookmarkStart w:id="14" w:name="_Toc30291"/>
      <w:bookmarkStart w:id="15" w:name="_Toc11977"/>
      <w:r>
        <w:rPr>
          <w:rFonts w:hint="eastAsia" w:ascii="宋体" w:hAnsi="宋体" w:cs="宋体"/>
          <w:b/>
          <w:sz w:val="32"/>
          <w:szCs w:val="32"/>
        </w:rPr>
        <w:t>第三部分  磋商组织、步骤与评审方法</w:t>
      </w:r>
      <w:bookmarkEnd w:id="11"/>
      <w:bookmarkEnd w:id="12"/>
      <w:bookmarkEnd w:id="13"/>
      <w:bookmarkEnd w:id="14"/>
      <w:bookmarkEnd w:id="15"/>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一、磋商组织：</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1、采购人在磋商文件规定的时间和地点组织磋商，磋商响应方须派代表参加；</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2、磋商小组由三人（含）以上单数的人员组成，其中专家的人数不少于成员总数的三分之二，磋商小组对磋商响应文件进行审查、质疑、评估和比较。</w:t>
      </w:r>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二、磋商步骤：</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1、检查磋商响应文件密封情况：各磋商响应方对自己递交的磋商响应文件密封情况进行检查；</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2、磋商响应文件初步审核：</w:t>
      </w:r>
      <w:r>
        <w:rPr>
          <w:rFonts w:hint="eastAsia" w:ascii="宋体" w:hAnsi="宋体" w:cs="宋体"/>
          <w:bCs/>
          <w:sz w:val="24"/>
        </w:rPr>
        <w:t>磋商</w:t>
      </w:r>
      <w:r>
        <w:rPr>
          <w:rFonts w:hint="eastAsia" w:ascii="宋体" w:hAnsi="宋体" w:cs="宋体"/>
          <w:sz w:val="24"/>
        </w:rPr>
        <w:t>小组对</w:t>
      </w:r>
      <w:r>
        <w:rPr>
          <w:rFonts w:hint="eastAsia" w:ascii="宋体" w:hAnsi="宋体" w:cs="宋体"/>
          <w:bCs/>
          <w:sz w:val="24"/>
        </w:rPr>
        <w:t>磋商</w:t>
      </w:r>
      <w:r>
        <w:rPr>
          <w:rFonts w:hint="eastAsia" w:ascii="宋体" w:hAnsi="宋体" w:cs="宋体"/>
          <w:sz w:val="24"/>
        </w:rPr>
        <w:t>响应文件进行符合性审核；</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3、磋商小组所有成员集中根据磋商需要与单一供应商分别</w:t>
      </w:r>
      <w:r>
        <w:rPr>
          <w:rFonts w:hint="eastAsia" w:ascii="宋体" w:hAnsi="宋体" w:cs="宋体"/>
          <w:bCs/>
          <w:sz w:val="24"/>
        </w:rPr>
        <w:t>磋商</w:t>
      </w:r>
      <w:r>
        <w:rPr>
          <w:rFonts w:hint="eastAsia" w:ascii="宋体" w:hAnsi="宋体" w:cs="宋体"/>
          <w:sz w:val="24"/>
        </w:rPr>
        <w:t>；</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4、磋商结束后，所有参加磋商的供应商进行最终报价；</w:t>
      </w:r>
    </w:p>
    <w:p>
      <w:pPr>
        <w:wordWrap w:val="0"/>
        <w:topLinePunct/>
        <w:adjustRightInd w:val="0"/>
        <w:snapToGrid w:val="0"/>
        <w:spacing w:line="360" w:lineRule="auto"/>
        <w:ind w:firstLine="480" w:firstLineChars="200"/>
        <w:rPr>
          <w:rFonts w:ascii="宋体" w:hAnsi="宋体" w:cs="宋体"/>
          <w:sz w:val="24"/>
        </w:rPr>
      </w:pPr>
      <w:r>
        <w:rPr>
          <w:rFonts w:hint="eastAsia" w:ascii="宋体" w:hAnsi="宋体" w:cs="宋体"/>
          <w:sz w:val="24"/>
        </w:rPr>
        <w:t>5、磋商小组按照如下评审办法对最终报价后所有实质性响应的供应商进行评审推荐，3名成交候选供应商。</w:t>
      </w:r>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三、评审办法：</w:t>
      </w:r>
    </w:p>
    <w:p>
      <w:pPr>
        <w:tabs>
          <w:tab w:val="left" w:pos="0"/>
          <w:tab w:val="left" w:pos="885"/>
          <w:tab w:val="left" w:pos="990"/>
        </w:tabs>
        <w:wordWrap w:val="0"/>
        <w:topLinePunct/>
        <w:adjustRightInd w:val="0"/>
        <w:snapToGrid w:val="0"/>
        <w:spacing w:line="360" w:lineRule="auto"/>
        <w:ind w:firstLine="566" w:firstLineChars="236"/>
        <w:rPr>
          <w:rFonts w:ascii="宋体" w:hAnsi="宋体" w:cs="宋体"/>
          <w:sz w:val="24"/>
        </w:rPr>
      </w:pPr>
      <w:r>
        <w:rPr>
          <w:rFonts w:hint="eastAsia" w:ascii="宋体" w:hAnsi="宋体" w:cs="宋体"/>
          <w:sz w:val="24"/>
        </w:rPr>
        <w:t>本项目采用综合评分法，是指响应文件满足磋商文件全部实质性要求且按评审因素的量化指标评审得分，按照评审得分由高到低顺序推荐成交候选供应商的评审方法。</w:t>
      </w:r>
    </w:p>
    <w:tbl>
      <w:tblPr>
        <w:tblStyle w:val="2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
        <w:gridCol w:w="2532"/>
        <w:gridCol w:w="1056"/>
        <w:gridCol w:w="5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027" w:type="dxa"/>
            <w:gridSpan w:val="2"/>
            <w:tcBorders>
              <w:top w:val="single" w:color="auto" w:sz="4" w:space="0"/>
              <w:right w:val="single" w:color="auto" w:sz="4" w:space="0"/>
            </w:tcBorders>
            <w:vAlign w:val="top"/>
          </w:tcPr>
          <w:p>
            <w:pPr>
              <w:spacing w:line="261" w:lineRule="auto"/>
              <w:rPr>
                <w:rFonts w:hint="eastAsia" w:asciiTheme="minorEastAsia" w:hAnsiTheme="minorEastAsia" w:eastAsiaTheme="minorEastAsia" w:cstheme="minorEastAsia"/>
                <w:sz w:val="24"/>
                <w:szCs w:val="24"/>
              </w:rPr>
            </w:pPr>
          </w:p>
          <w:p>
            <w:pPr>
              <w:spacing w:before="65" w:line="228" w:lineRule="auto"/>
              <w:ind w:left="614"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条款号</w:t>
            </w:r>
          </w:p>
        </w:tc>
        <w:tc>
          <w:tcPr>
            <w:tcW w:w="1056" w:type="dxa"/>
            <w:tcBorders>
              <w:top w:val="single" w:color="auto" w:sz="4" w:space="0"/>
              <w:left w:val="single" w:color="auto" w:sz="4" w:space="0"/>
              <w:right w:val="single" w:color="auto" w:sz="4" w:space="0"/>
            </w:tcBorders>
            <w:vAlign w:val="top"/>
          </w:tcPr>
          <w:p>
            <w:pPr>
              <w:spacing w:before="114" w:line="430" w:lineRule="exact"/>
              <w:ind w:left="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3795" w14:cap="sq" w14:cmpd="sng">
                  <w14:solidFill>
                    <w14:srgbClr w14:val="000000"/>
                  </w14:solidFill>
                  <w14:prstDash w14:val="solid"/>
                  <w14:bevel/>
                </w14:textOutline>
              </w:rPr>
              <w:t>评分</w:t>
            </w:r>
          </w:p>
          <w:p>
            <w:pPr>
              <w:spacing w:line="228" w:lineRule="auto"/>
              <w:ind w:left="312"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因</w:t>
            </w:r>
            <w:r>
              <w:rPr>
                <w:rFonts w:hint="eastAsia" w:asciiTheme="minorEastAsia" w:hAnsiTheme="minorEastAsia" w:eastAsiaTheme="minorEastAsia" w:cstheme="minorEastAsia"/>
                <w:spacing w:val="-2"/>
                <w:sz w:val="24"/>
                <w:szCs w:val="24"/>
                <w14:textOutline w14:w="3795" w14:cap="sq" w14:cmpd="sng">
                  <w14:solidFill>
                    <w14:srgbClr w14:val="000000"/>
                  </w14:solidFill>
                  <w14:prstDash w14:val="solid"/>
                  <w14:bevel/>
                </w14:textOutline>
              </w:rPr>
              <w:t>素</w:t>
            </w:r>
          </w:p>
        </w:tc>
        <w:tc>
          <w:tcPr>
            <w:tcW w:w="5795" w:type="dxa"/>
            <w:tcBorders>
              <w:top w:val="single" w:color="auto" w:sz="4" w:space="0"/>
              <w:left w:val="single" w:color="auto" w:sz="4" w:space="0"/>
              <w:right w:val="single" w:color="auto" w:sz="4" w:space="0"/>
            </w:tcBorders>
            <w:vAlign w:val="top"/>
          </w:tcPr>
          <w:p>
            <w:pPr>
              <w:spacing w:line="261" w:lineRule="auto"/>
              <w:rPr>
                <w:rFonts w:hint="eastAsia" w:asciiTheme="minorEastAsia" w:hAnsiTheme="minorEastAsia" w:eastAsiaTheme="minorEastAsia" w:cstheme="minorEastAsia"/>
                <w:sz w:val="24"/>
                <w:szCs w:val="24"/>
              </w:rPr>
            </w:pPr>
          </w:p>
          <w:p>
            <w:pPr>
              <w:spacing w:before="65" w:line="229" w:lineRule="auto"/>
              <w:ind w:left="2645"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评分标</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5" w:type="dxa"/>
            <w:tcBorders>
              <w:top w:val="single" w:color="auto" w:sz="4" w:space="0"/>
              <w:bottom w:val="single" w:color="auto" w:sz="4" w:space="0"/>
              <w:right w:val="single" w:color="auto" w:sz="4" w:space="0"/>
            </w:tcBorders>
            <w:vAlign w:val="top"/>
          </w:tcPr>
          <w:p>
            <w:pPr>
              <w:spacing w:line="261" w:lineRule="auto"/>
              <w:rPr>
                <w:rFonts w:hint="eastAsia" w:asciiTheme="minorEastAsia" w:hAnsiTheme="minorEastAsia" w:eastAsiaTheme="minorEastAsia" w:cstheme="minorEastAsia"/>
                <w:b/>
                <w:bCs/>
                <w:sz w:val="24"/>
                <w:szCs w:val="24"/>
              </w:rPr>
            </w:pPr>
          </w:p>
          <w:p>
            <w:pPr>
              <w:spacing w:line="261"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w:t>
            </w:r>
          </w:p>
        </w:tc>
        <w:tc>
          <w:tcPr>
            <w:tcW w:w="2532" w:type="dxa"/>
            <w:tcBorders>
              <w:top w:val="single" w:color="auto" w:sz="4" w:space="0"/>
              <w:bottom w:val="single" w:color="auto" w:sz="4" w:space="0"/>
              <w:right w:val="single" w:color="auto" w:sz="4" w:space="0"/>
            </w:tcBorders>
            <w:vAlign w:val="top"/>
          </w:tcPr>
          <w:p>
            <w:pPr>
              <w:spacing w:line="261" w:lineRule="auto"/>
              <w:jc w:val="center"/>
              <w:rPr>
                <w:rFonts w:hint="eastAsia" w:asciiTheme="minorEastAsia" w:hAnsiTheme="minorEastAsia" w:eastAsiaTheme="minorEastAsia" w:cstheme="minorEastAsia"/>
                <w:b/>
                <w:bCs/>
                <w:sz w:val="24"/>
                <w:szCs w:val="24"/>
              </w:rPr>
            </w:pPr>
          </w:p>
          <w:p>
            <w:pPr>
              <w:tabs>
                <w:tab w:val="left" w:pos="228"/>
              </w:tabs>
              <w:spacing w:line="240" w:lineRule="auto"/>
              <w:ind w:firstLine="723" w:firstLineChars="3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报价得分</w:t>
            </w:r>
          </w:p>
        </w:tc>
        <w:tc>
          <w:tcPr>
            <w:tcW w:w="1056" w:type="dxa"/>
            <w:tcBorders>
              <w:top w:val="single" w:color="auto" w:sz="4" w:space="0"/>
              <w:left w:val="single" w:color="auto" w:sz="4" w:space="0"/>
              <w:bottom w:val="single" w:color="auto" w:sz="4" w:space="0"/>
              <w:right w:val="single" w:color="auto" w:sz="4" w:space="0"/>
            </w:tcBorders>
            <w:vAlign w:val="top"/>
          </w:tcPr>
          <w:p>
            <w:pPr>
              <w:spacing w:line="287" w:lineRule="auto"/>
              <w:jc w:val="center"/>
            </w:pPr>
          </w:p>
          <w:p>
            <w:pPr>
              <w:spacing w:beforeAutospacing="0" w:line="240" w:lineRule="auto"/>
              <w:jc w:val="center"/>
            </w:pPr>
          </w:p>
          <w:p>
            <w:pPr>
              <w:pStyle w:val="2"/>
              <w:jc w:val="center"/>
              <w:rPr>
                <w:rFonts w:hint="default" w:eastAsia="宋体"/>
                <w:lang w:val="en-US" w:eastAsia="zh-CN"/>
              </w:rPr>
            </w:pPr>
            <w:r>
              <w:rPr>
                <w:rFonts w:hint="eastAsia" w:ascii="宋体" w:hAnsi="宋体"/>
                <w:b/>
                <w:sz w:val="24"/>
                <w:lang w:val="en-US" w:eastAsia="zh-CN"/>
              </w:rPr>
              <w:t>20分</w:t>
            </w:r>
          </w:p>
        </w:tc>
        <w:tc>
          <w:tcPr>
            <w:tcW w:w="5795" w:type="dxa"/>
            <w:tcBorders>
              <w:top w:val="single" w:color="auto" w:sz="4" w:space="0"/>
              <w:left w:val="single" w:color="auto" w:sz="4" w:space="0"/>
              <w:bottom w:val="single" w:color="auto" w:sz="4" w:space="0"/>
              <w:right w:val="single" w:color="auto" w:sz="4" w:space="0"/>
            </w:tcBorders>
            <w:vAlign w:val="top"/>
          </w:tcPr>
          <w:p>
            <w:pPr>
              <w:spacing w:before="33" w:line="377" w:lineRule="auto"/>
              <w:ind w:left="114" w:right="109"/>
              <w:rPr>
                <w:rFonts w:ascii="宋体" w:hAnsi="宋体"/>
                <w:sz w:val="24"/>
              </w:rPr>
            </w:pPr>
            <w:r>
              <w:rPr>
                <w:rFonts w:ascii="宋体" w:hAnsi="宋体" w:eastAsia="宋体" w:cs="宋体"/>
                <w:spacing w:val="18"/>
                <w:sz w:val="20"/>
                <w:szCs w:val="20"/>
              </w:rPr>
              <w:t>供</w:t>
            </w:r>
            <w:r>
              <w:rPr>
                <w:rFonts w:ascii="宋体" w:hAnsi="宋体" w:eastAsia="宋体" w:cs="宋体"/>
                <w:spacing w:val="17"/>
                <w:sz w:val="20"/>
                <w:szCs w:val="20"/>
              </w:rPr>
              <w:t>应</w:t>
            </w:r>
            <w:r>
              <w:rPr>
                <w:rFonts w:ascii="宋体" w:hAnsi="宋体" w:eastAsia="宋体" w:cs="宋体"/>
                <w:spacing w:val="9"/>
                <w:sz w:val="20"/>
                <w:szCs w:val="20"/>
              </w:rPr>
              <w:t>商的报价得分统一采用最低价优先法计算，即满足磋商文件</w:t>
            </w:r>
            <w:r>
              <w:rPr>
                <w:rFonts w:ascii="宋体" w:hAnsi="宋体" w:eastAsia="宋体" w:cs="宋体"/>
                <w:sz w:val="20"/>
                <w:szCs w:val="20"/>
              </w:rPr>
              <w:t xml:space="preserve"> </w:t>
            </w:r>
            <w:r>
              <w:rPr>
                <w:rFonts w:ascii="宋体" w:hAnsi="宋体" w:eastAsia="宋体" w:cs="宋体"/>
                <w:spacing w:val="18"/>
                <w:sz w:val="20"/>
                <w:szCs w:val="20"/>
              </w:rPr>
              <w:t>要</w:t>
            </w:r>
            <w:r>
              <w:rPr>
                <w:rFonts w:ascii="宋体" w:hAnsi="宋体" w:eastAsia="宋体" w:cs="宋体"/>
                <w:spacing w:val="16"/>
                <w:sz w:val="20"/>
                <w:szCs w:val="20"/>
              </w:rPr>
              <w:t>求</w:t>
            </w:r>
            <w:r>
              <w:rPr>
                <w:rFonts w:ascii="宋体" w:hAnsi="宋体" w:eastAsia="宋体" w:cs="宋体"/>
                <w:spacing w:val="9"/>
                <w:sz w:val="20"/>
                <w:szCs w:val="20"/>
              </w:rPr>
              <w:t>且最终报价最低的供应商的价格为磋商基准价，其报价得分</w:t>
            </w:r>
            <w:r>
              <w:rPr>
                <w:rFonts w:ascii="宋体" w:hAnsi="宋体" w:eastAsia="宋体" w:cs="宋体"/>
                <w:sz w:val="20"/>
                <w:szCs w:val="20"/>
              </w:rPr>
              <w:t xml:space="preserve"> </w:t>
            </w:r>
            <w:r>
              <w:rPr>
                <w:rFonts w:ascii="宋体" w:hAnsi="宋体" w:eastAsia="宋体" w:cs="宋体"/>
                <w:spacing w:val="6"/>
                <w:sz w:val="20"/>
                <w:szCs w:val="20"/>
              </w:rPr>
              <w:t>为</w:t>
            </w:r>
            <w:r>
              <w:rPr>
                <w:rFonts w:ascii="宋体" w:hAnsi="宋体" w:eastAsia="宋体" w:cs="宋体"/>
                <w:spacing w:val="4"/>
                <w:sz w:val="20"/>
                <w:szCs w:val="20"/>
              </w:rPr>
              <w:t>满</w:t>
            </w:r>
            <w:r>
              <w:rPr>
                <w:rFonts w:ascii="宋体" w:hAnsi="宋体" w:eastAsia="宋体" w:cs="宋体"/>
                <w:spacing w:val="3"/>
                <w:sz w:val="20"/>
                <w:szCs w:val="20"/>
              </w:rPr>
              <w:t xml:space="preserve">分 </w:t>
            </w:r>
            <w:r>
              <w:rPr>
                <w:rFonts w:hint="eastAsia" w:ascii="宋体" w:hAnsi="宋体" w:cs="宋体"/>
                <w:spacing w:val="3"/>
                <w:sz w:val="20"/>
                <w:szCs w:val="20"/>
                <w:lang w:val="en-US" w:eastAsia="zh-CN"/>
              </w:rPr>
              <w:t>2</w:t>
            </w:r>
            <w:r>
              <w:rPr>
                <w:rFonts w:ascii="宋体" w:hAnsi="宋体" w:eastAsia="宋体" w:cs="宋体"/>
                <w:spacing w:val="3"/>
                <w:sz w:val="20"/>
                <w:szCs w:val="20"/>
              </w:rPr>
              <w:t>0 分。其他供应商的报价得分统一按照下列公式计算：磋</w:t>
            </w:r>
            <w:r>
              <w:rPr>
                <w:rFonts w:ascii="宋体" w:hAnsi="宋体" w:eastAsia="宋体" w:cs="宋体"/>
                <w:spacing w:val="14"/>
                <w:sz w:val="20"/>
                <w:szCs w:val="20"/>
              </w:rPr>
              <w:t>商报</w:t>
            </w:r>
            <w:r>
              <w:rPr>
                <w:rFonts w:ascii="宋体" w:hAnsi="宋体" w:eastAsia="宋体" w:cs="宋体"/>
                <w:spacing w:val="8"/>
                <w:sz w:val="20"/>
                <w:szCs w:val="20"/>
              </w:rPr>
              <w:t>价</w:t>
            </w:r>
            <w:r>
              <w:rPr>
                <w:rFonts w:ascii="宋体" w:hAnsi="宋体" w:eastAsia="宋体" w:cs="宋体"/>
                <w:spacing w:val="7"/>
                <w:sz w:val="20"/>
                <w:szCs w:val="20"/>
              </w:rPr>
              <w:t xml:space="preserve">得分= </w:t>
            </w:r>
            <w:r>
              <w:rPr>
                <w:rFonts w:hint="eastAsia" w:ascii="宋体" w:hAnsi="宋体" w:cs="宋体"/>
                <w:spacing w:val="7"/>
                <w:sz w:val="20"/>
                <w:szCs w:val="20"/>
                <w:lang w:eastAsia="zh-CN"/>
              </w:rPr>
              <w:t>（</w:t>
            </w:r>
            <w:r>
              <w:rPr>
                <w:rFonts w:ascii="宋体" w:hAnsi="宋体" w:eastAsia="宋体" w:cs="宋体"/>
                <w:spacing w:val="7"/>
                <w:sz w:val="20"/>
                <w:szCs w:val="20"/>
              </w:rPr>
              <w:t>磋商基准价/最终磋商报价</w:t>
            </w:r>
            <w:r>
              <w:rPr>
                <w:rFonts w:hint="eastAsia" w:ascii="宋体" w:hAnsi="宋体" w:cs="宋体"/>
                <w:spacing w:val="7"/>
                <w:sz w:val="20"/>
                <w:szCs w:val="20"/>
                <w:lang w:eastAsia="zh-CN"/>
              </w:rPr>
              <w:t>）</w:t>
            </w:r>
            <w:r>
              <w:rPr>
                <w:rFonts w:ascii="宋体" w:hAnsi="宋体" w:eastAsia="宋体" w:cs="宋体"/>
                <w:spacing w:val="7"/>
                <w:sz w:val="20"/>
                <w:szCs w:val="20"/>
              </w:rPr>
              <w:t xml:space="preserve"> ×</w:t>
            </w:r>
            <w:r>
              <w:rPr>
                <w:rFonts w:hint="eastAsia" w:ascii="宋体" w:hAnsi="宋体" w:cs="宋体"/>
                <w:spacing w:val="7"/>
                <w:sz w:val="20"/>
                <w:szCs w:val="20"/>
                <w:lang w:val="en-US" w:eastAsia="zh-CN"/>
              </w:rPr>
              <w:t>2</w:t>
            </w:r>
            <w:r>
              <w:rPr>
                <w:rFonts w:ascii="宋体" w:hAnsi="宋体" w:eastAsia="宋体" w:cs="宋体"/>
                <w:spacing w:val="7"/>
                <w:sz w:val="20"/>
                <w:szCs w:val="20"/>
              </w:rPr>
              <w:t>0×</w:t>
            </w:r>
            <w:r>
              <w:rPr>
                <w:rFonts w:hint="eastAsia" w:ascii="宋体" w:hAnsi="宋体" w:eastAsia="宋体" w:cs="宋体"/>
                <w:spacing w:val="7"/>
                <w:sz w:val="20"/>
                <w:szCs w:val="20"/>
                <w:lang w:val="en-US" w:eastAsia="zh-CN"/>
              </w:rPr>
              <w:t>100%</w:t>
            </w:r>
            <w:r>
              <w:rPr>
                <w:rFonts w:ascii="宋体" w:hAnsi="宋体" w:eastAsia="宋体" w:cs="宋体"/>
                <w:spacing w:val="7"/>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5" w:type="dxa"/>
            <w:tcBorders>
              <w:top w:val="single" w:color="auto" w:sz="4" w:space="0"/>
              <w:bottom w:val="single" w:color="auto" w:sz="4" w:space="0"/>
              <w:right w:val="single" w:color="auto" w:sz="4" w:space="0"/>
            </w:tcBorders>
            <w:vAlign w:val="top"/>
          </w:tcPr>
          <w:p>
            <w:pPr>
              <w:spacing w:line="261" w:lineRule="auto"/>
              <w:rPr>
                <w:rFonts w:hint="eastAsia" w:asciiTheme="minorEastAsia" w:hAnsiTheme="minorEastAsia" w:eastAsiaTheme="minorEastAsia" w:cstheme="minorEastAsia"/>
                <w:b/>
                <w:bCs/>
                <w:sz w:val="24"/>
                <w:szCs w:val="24"/>
              </w:rPr>
            </w:pPr>
          </w:p>
          <w:p>
            <w:pPr>
              <w:spacing w:line="261"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p>
        </w:tc>
        <w:tc>
          <w:tcPr>
            <w:tcW w:w="2532" w:type="dxa"/>
            <w:tcBorders>
              <w:top w:val="single" w:color="auto" w:sz="4" w:space="0"/>
              <w:bottom w:val="single" w:color="auto" w:sz="4" w:space="0"/>
              <w:right w:val="single" w:color="auto" w:sz="4" w:space="0"/>
            </w:tcBorders>
            <w:vAlign w:val="top"/>
          </w:tcPr>
          <w:p>
            <w:pPr>
              <w:spacing w:line="261"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技术部分</w:t>
            </w:r>
          </w:p>
          <w:p>
            <w:pPr>
              <w:spacing w:line="261"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施工组织设计</w:t>
            </w:r>
            <w:r>
              <w:rPr>
                <w:rFonts w:hint="eastAsia" w:asciiTheme="minorEastAsia" w:hAnsiTheme="minorEastAsia" w:eastAsiaTheme="minorEastAsia" w:cstheme="minorEastAsia"/>
                <w:b/>
                <w:bCs/>
                <w:sz w:val="24"/>
                <w:szCs w:val="24"/>
                <w:lang w:eastAsia="zh-CN"/>
              </w:rPr>
              <w:t>）</w:t>
            </w:r>
          </w:p>
        </w:tc>
        <w:tc>
          <w:tcPr>
            <w:tcW w:w="1056" w:type="dxa"/>
            <w:tcBorders>
              <w:top w:val="single" w:color="auto" w:sz="4" w:space="0"/>
              <w:left w:val="single" w:color="auto" w:sz="4" w:space="0"/>
              <w:bottom w:val="single" w:color="auto" w:sz="4" w:space="0"/>
              <w:right w:val="single" w:color="auto" w:sz="4" w:space="0"/>
            </w:tcBorders>
            <w:vAlign w:val="top"/>
          </w:tcPr>
          <w:p>
            <w:pPr>
              <w:spacing w:line="261" w:lineRule="auto"/>
              <w:rPr>
                <w:rFonts w:hint="eastAsia" w:asciiTheme="minorEastAsia" w:hAnsiTheme="minorEastAsia" w:eastAsiaTheme="minorEastAsia" w:cstheme="minorEastAsia"/>
                <w:b/>
                <w:bCs/>
                <w:sz w:val="24"/>
                <w:szCs w:val="24"/>
              </w:rPr>
            </w:pPr>
          </w:p>
          <w:p>
            <w:pPr>
              <w:spacing w:line="261"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71</w:t>
            </w:r>
            <w:r>
              <w:rPr>
                <w:rFonts w:hint="eastAsia" w:asciiTheme="minorEastAsia" w:hAnsiTheme="minorEastAsia" w:eastAsiaTheme="minorEastAsia" w:cstheme="minorEastAsia"/>
                <w:b/>
                <w:bCs/>
                <w:sz w:val="24"/>
                <w:szCs w:val="24"/>
              </w:rPr>
              <w:t xml:space="preserve"> 分</w:t>
            </w:r>
          </w:p>
        </w:tc>
        <w:tc>
          <w:tcPr>
            <w:tcW w:w="5795" w:type="dxa"/>
            <w:tcBorders>
              <w:top w:val="single" w:color="auto" w:sz="4" w:space="0"/>
              <w:left w:val="single" w:color="auto" w:sz="4" w:space="0"/>
              <w:bottom w:val="single" w:color="auto" w:sz="4" w:space="0"/>
              <w:right w:val="single" w:color="auto" w:sz="4" w:space="0"/>
            </w:tcBorders>
            <w:vAlign w:val="top"/>
          </w:tcPr>
          <w:p>
            <w:pPr>
              <w:spacing w:line="261" w:lineRule="auto"/>
              <w:jc w:val="center"/>
              <w:rPr>
                <w:rFonts w:hint="eastAsia" w:asciiTheme="minorEastAsia" w:hAnsiTheme="minorEastAsia" w:eastAsiaTheme="minorEastAsia" w:cstheme="minorEastAsia"/>
                <w:b/>
                <w:bCs/>
                <w:sz w:val="24"/>
                <w:szCs w:val="24"/>
              </w:rPr>
            </w:pPr>
          </w:p>
          <w:p>
            <w:pPr>
              <w:spacing w:line="261"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5" w:type="dxa"/>
            <w:tcBorders>
              <w:top w:val="single" w:color="auto" w:sz="4" w:space="0"/>
              <w:bottom w:val="single" w:color="auto" w:sz="4" w:space="0"/>
              <w:right w:val="single" w:color="auto" w:sz="4" w:space="0"/>
            </w:tcBorders>
            <w:vAlign w:val="top"/>
          </w:tcPr>
          <w:p>
            <w:pPr>
              <w:spacing w:line="242" w:lineRule="auto"/>
              <w:rPr>
                <w:rFonts w:ascii="Arial"/>
                <w:sz w:val="21"/>
              </w:rPr>
            </w:pPr>
          </w:p>
          <w:p>
            <w:pPr>
              <w:spacing w:line="242" w:lineRule="auto"/>
              <w:rPr>
                <w:rFonts w:ascii="Arial"/>
                <w:sz w:val="21"/>
              </w:rPr>
            </w:pPr>
          </w:p>
          <w:p>
            <w:pPr>
              <w:spacing w:before="65" w:line="193" w:lineRule="auto"/>
              <w:ind w:left="220" w:leftChars="0"/>
              <w:rPr>
                <w:rFonts w:ascii="宋体" w:hAnsi="宋体"/>
                <w:sz w:val="24"/>
              </w:rPr>
            </w:pPr>
            <w:r>
              <w:rPr>
                <w:rFonts w:ascii="宋体" w:hAnsi="宋体" w:eastAsia="宋体" w:cs="宋体"/>
                <w:sz w:val="20"/>
                <w:szCs w:val="20"/>
              </w:rPr>
              <w:t>1</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eastAsia="宋体" w:cs="宋体"/>
                <w:spacing w:val="12"/>
                <w:position w:val="17"/>
                <w:sz w:val="20"/>
                <w:szCs w:val="20"/>
              </w:rPr>
              <w:t>总体概述</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rPr>
              <w:t>分</w:t>
            </w:r>
          </w:p>
        </w:tc>
        <w:tc>
          <w:tcPr>
            <w:tcW w:w="5795"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eastAsia="宋体" w:cs="宋体"/>
                <w:spacing w:val="12"/>
                <w:position w:val="17"/>
                <w:sz w:val="20"/>
                <w:szCs w:val="20"/>
              </w:rPr>
              <w:t>根据对工程整体有深刻认识，施工组织设计内容针对项目特点完整规范、具体可行得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分，比较规范、具体得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5" w:type="dxa"/>
            <w:tcBorders>
              <w:top w:val="single" w:color="auto" w:sz="4" w:space="0"/>
              <w:bottom w:val="single" w:color="auto" w:sz="4" w:space="0"/>
              <w:right w:val="single" w:color="auto" w:sz="4" w:space="0"/>
            </w:tcBorders>
            <w:vAlign w:val="top"/>
          </w:tcPr>
          <w:p>
            <w:pPr>
              <w:spacing w:line="429" w:lineRule="auto"/>
              <w:rPr>
                <w:rFonts w:ascii="Arial"/>
                <w:sz w:val="21"/>
              </w:rPr>
            </w:pPr>
          </w:p>
          <w:p>
            <w:pPr>
              <w:spacing w:before="65" w:line="192" w:lineRule="auto"/>
              <w:ind w:left="207" w:leftChars="0"/>
              <w:rPr>
                <w:rFonts w:ascii="宋体" w:hAnsi="宋体"/>
                <w:sz w:val="24"/>
              </w:rPr>
            </w:pPr>
            <w:r>
              <w:rPr>
                <w:rFonts w:ascii="宋体" w:hAnsi="宋体" w:eastAsia="宋体" w:cs="宋体"/>
                <w:sz w:val="20"/>
                <w:szCs w:val="20"/>
              </w:rPr>
              <w:t>2</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eastAsia="宋体" w:cs="宋体"/>
                <w:spacing w:val="12"/>
                <w:position w:val="17"/>
                <w:sz w:val="20"/>
                <w:szCs w:val="20"/>
              </w:rPr>
              <w:t>施工进度计划和保证措施</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rPr>
              <w:t>分</w:t>
            </w:r>
          </w:p>
        </w:tc>
        <w:tc>
          <w:tcPr>
            <w:tcW w:w="5795"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eastAsia="宋体" w:cs="宋体"/>
                <w:spacing w:val="12"/>
                <w:position w:val="17"/>
                <w:sz w:val="20"/>
                <w:szCs w:val="20"/>
              </w:rPr>
              <w:t>根据内容齐全、针对项目实际情况安排恰当得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分，比较恰当得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5" w:type="dxa"/>
            <w:tcBorders>
              <w:top w:val="single" w:color="auto" w:sz="4" w:space="0"/>
              <w:bottom w:val="single" w:color="auto" w:sz="4" w:space="0"/>
              <w:right w:val="single" w:color="auto" w:sz="4" w:space="0"/>
            </w:tcBorders>
            <w:vAlign w:val="top"/>
          </w:tcPr>
          <w:p>
            <w:pPr>
              <w:spacing w:line="240" w:lineRule="auto"/>
              <w:rPr>
                <w:rFonts w:hint="eastAsia"/>
                <w:lang w:val="en-US" w:eastAsia="zh-CN"/>
              </w:rPr>
            </w:pPr>
          </w:p>
          <w:p>
            <w:pPr>
              <w:spacing w:line="240" w:lineRule="auto"/>
              <w:jc w:val="center"/>
              <w:rPr>
                <w:rFonts w:hint="eastAsia"/>
                <w:lang w:val="en-US" w:eastAsia="zh-CN"/>
              </w:rPr>
            </w:pPr>
          </w:p>
          <w:p>
            <w:pPr>
              <w:spacing w:line="240" w:lineRule="auto"/>
              <w:jc w:val="center"/>
              <w:rPr>
                <w:rFonts w:hint="eastAsia"/>
                <w:lang w:val="en-US" w:eastAsia="zh-CN"/>
              </w:rPr>
            </w:pPr>
            <w:r>
              <w:rPr>
                <w:rFonts w:hint="eastAsia"/>
                <w:lang w:val="en-US" w:eastAsia="zh-CN"/>
              </w:rPr>
              <w:t>3</w:t>
            </w:r>
          </w:p>
          <w:p>
            <w:pPr>
              <w:pStyle w:val="2"/>
              <w:rPr>
                <w:rFonts w:hint="default"/>
                <w:lang w:val="en-US" w:eastAsia="zh-CN"/>
              </w:rPr>
            </w:pPr>
          </w:p>
        </w:tc>
        <w:tc>
          <w:tcPr>
            <w:tcW w:w="2532" w:type="dxa"/>
            <w:tcBorders>
              <w:top w:val="single" w:color="auto" w:sz="4" w:space="0"/>
              <w:bottom w:val="single" w:color="auto" w:sz="4" w:space="0"/>
              <w:right w:val="single" w:color="auto" w:sz="4" w:space="0"/>
            </w:tcBorders>
            <w:vAlign w:val="top"/>
          </w:tcPr>
          <w:p>
            <w:pPr>
              <w:spacing w:before="114" w:line="430" w:lineRule="exact"/>
              <w:ind w:left="150" w:leftChars="0" w:right="-44" w:rightChars="-21"/>
              <w:rPr>
                <w:rFonts w:hint="eastAsia" w:ascii="宋体" w:hAnsi="宋体" w:eastAsia="宋体" w:cs="宋体"/>
                <w:spacing w:val="12"/>
                <w:position w:val="17"/>
                <w:sz w:val="20"/>
                <w:szCs w:val="20"/>
                <w:lang w:val="en-US" w:eastAsia="zh-CN"/>
              </w:rPr>
            </w:pPr>
          </w:p>
          <w:p>
            <w:pPr>
              <w:spacing w:before="114" w:line="430" w:lineRule="exact"/>
              <w:ind w:left="150" w:leftChars="0" w:right="-44" w:rightChars="-21"/>
              <w:rPr>
                <w:rFonts w:ascii="宋体" w:hAnsi="宋体"/>
                <w:kern w:val="0"/>
                <w:sz w:val="24"/>
              </w:rPr>
            </w:pPr>
            <w:r>
              <w:rPr>
                <w:rFonts w:hint="eastAsia" w:ascii="宋体" w:hAnsi="宋体" w:eastAsia="宋体" w:cs="宋体"/>
                <w:spacing w:val="12"/>
                <w:position w:val="17"/>
                <w:sz w:val="20"/>
                <w:szCs w:val="20"/>
                <w:lang w:val="en-US" w:eastAsia="zh-CN"/>
              </w:rPr>
              <w:t>质量管理体系与措施</w:t>
            </w:r>
          </w:p>
        </w:tc>
        <w:tc>
          <w:tcPr>
            <w:tcW w:w="1056" w:type="dxa"/>
            <w:tcBorders>
              <w:top w:val="single" w:color="auto" w:sz="4" w:space="0"/>
              <w:left w:val="single" w:color="auto" w:sz="4" w:space="0"/>
              <w:bottom w:val="single" w:color="auto" w:sz="4" w:space="0"/>
              <w:right w:val="single" w:color="auto" w:sz="4" w:space="0"/>
            </w:tcBorders>
            <w:vAlign w:val="top"/>
          </w:tcPr>
          <w:p>
            <w:pPr>
              <w:spacing w:before="114" w:line="430" w:lineRule="exact"/>
              <w:ind w:left="150"/>
              <w:rPr>
                <w:rFonts w:hint="eastAsia" w:ascii="宋体" w:hAnsi="宋体" w:eastAsia="宋体" w:cs="宋体"/>
                <w:spacing w:val="12"/>
                <w:position w:val="17"/>
                <w:sz w:val="20"/>
                <w:szCs w:val="20"/>
                <w:lang w:val="en-US" w:eastAsia="zh-CN"/>
              </w:rPr>
            </w:pPr>
          </w:p>
          <w:p>
            <w:pPr>
              <w:spacing w:before="114" w:line="430" w:lineRule="exact"/>
              <w:ind w:left="150" w:leftChars="0"/>
              <w:rPr>
                <w:rFonts w:ascii="宋体" w:hAnsi="宋体"/>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 xml:space="preserve"> 分</w:t>
            </w:r>
          </w:p>
        </w:tc>
        <w:tc>
          <w:tcPr>
            <w:tcW w:w="5795" w:type="dxa"/>
            <w:tcBorders>
              <w:top w:val="single" w:color="auto" w:sz="4" w:space="0"/>
              <w:left w:val="single" w:color="auto" w:sz="4" w:space="0"/>
              <w:bottom w:val="single" w:color="auto" w:sz="4" w:space="0"/>
              <w:right w:val="single" w:color="auto" w:sz="4" w:space="0"/>
            </w:tcBorders>
            <w:vAlign w:val="top"/>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根据体系完整、内容齐全、安排合理、针对项目特点措施先进可行、通病治理措施具体可靠得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分，较为具体可靠得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5" w:type="dxa"/>
            <w:tcBorders>
              <w:top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Cs w:val="21"/>
              </w:rPr>
              <w:t>4</w:t>
            </w:r>
          </w:p>
        </w:tc>
        <w:tc>
          <w:tcPr>
            <w:tcW w:w="2532" w:type="dxa"/>
            <w:tcBorders>
              <w:top w:val="single" w:color="auto" w:sz="4" w:space="0"/>
              <w:right w:val="single" w:color="auto" w:sz="4" w:space="0"/>
            </w:tcBorders>
            <w:vAlign w:val="center"/>
          </w:tcPr>
          <w:p>
            <w:pPr>
              <w:spacing w:before="114" w:line="430" w:lineRule="exact"/>
              <w:ind w:left="150" w:leftChars="0" w:right="-44" w:rightChars="-21"/>
              <w:rPr>
                <w:rFonts w:ascii="宋体" w:hAnsi="宋体"/>
                <w:sz w:val="24"/>
              </w:rPr>
            </w:pPr>
            <w:r>
              <w:rPr>
                <w:rFonts w:hint="eastAsia" w:ascii="宋体" w:hAnsi="宋体" w:eastAsia="宋体" w:cs="宋体"/>
                <w:spacing w:val="12"/>
                <w:position w:val="17"/>
                <w:sz w:val="20"/>
                <w:szCs w:val="20"/>
                <w:lang w:val="en-US" w:eastAsia="zh-CN"/>
              </w:rPr>
              <w:t>安全管理体系与措施</w:t>
            </w:r>
          </w:p>
        </w:tc>
        <w:tc>
          <w:tcPr>
            <w:tcW w:w="1056" w:type="dxa"/>
            <w:tcBorders>
              <w:top w:val="single" w:color="auto" w:sz="4" w:space="0"/>
              <w:left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top"/>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根据体系完整、内容齐全、安排恰当、措施针对项目实际情况规范具体完整、应急救援预案可行得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分，较为完整、可行得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5"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b/>
                <w:sz w:val="24"/>
              </w:rPr>
            </w:pPr>
            <w:r>
              <w:rPr>
                <w:rFonts w:hint="eastAsia" w:ascii="宋体" w:hAnsi="宋体"/>
                <w:bCs/>
                <w:szCs w:val="21"/>
              </w:rPr>
              <w:t>5</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ight="-44" w:rightChars="-21"/>
              <w:rPr>
                <w:rFonts w:ascii="宋体" w:hAnsi="宋体"/>
                <w:b/>
                <w:sz w:val="24"/>
              </w:rPr>
            </w:pPr>
            <w:r>
              <w:rPr>
                <w:rFonts w:hint="eastAsia" w:ascii="宋体" w:hAnsi="宋体" w:eastAsia="宋体" w:cs="宋体"/>
                <w:spacing w:val="12"/>
                <w:position w:val="17"/>
                <w:sz w:val="20"/>
                <w:szCs w:val="20"/>
                <w:lang w:val="en-US" w:eastAsia="zh-CN"/>
              </w:rPr>
              <w:t>环保管理体系与措施</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b/>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根据工程计划编排合理、可行、关键路线清晰准确、冬雨季农忙保证措施可靠、内容齐全可行得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分，较为可靠、齐全得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5"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bCs/>
                <w:sz w:val="24"/>
              </w:rPr>
            </w:pPr>
            <w:r>
              <w:rPr>
                <w:rFonts w:hint="eastAsia" w:ascii="宋体" w:hAnsi="宋体"/>
                <w:bCs/>
                <w:szCs w:val="21"/>
              </w:rPr>
              <w:t>6</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ight="-44" w:rightChars="-21"/>
              <w:rPr>
                <w:rFonts w:ascii="宋体" w:hAnsi="宋体"/>
                <w:b/>
                <w:sz w:val="24"/>
              </w:rPr>
            </w:pPr>
            <w:r>
              <w:rPr>
                <w:rFonts w:hint="eastAsia" w:ascii="宋体" w:hAnsi="宋体" w:eastAsia="宋体" w:cs="宋体"/>
                <w:spacing w:val="12"/>
                <w:position w:val="17"/>
                <w:sz w:val="20"/>
                <w:szCs w:val="20"/>
                <w:lang w:val="en-US" w:eastAsia="zh-CN"/>
              </w:rPr>
              <w:t>文明管理体系与措施</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b/>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top"/>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根据体系完整、内容齐全、安排恰当、措施可行程度得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分，较为完整、齐全、恰当、可行得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5"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b/>
                <w:sz w:val="24"/>
              </w:rPr>
            </w:pPr>
            <w:r>
              <w:rPr>
                <w:rFonts w:hint="eastAsia" w:ascii="宋体" w:hAnsi="宋体"/>
                <w:bCs/>
                <w:szCs w:val="21"/>
              </w:rPr>
              <w:t>7</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ight="-44" w:rightChars="-21"/>
              <w:rPr>
                <w:rFonts w:ascii="宋体" w:hAnsi="宋体"/>
                <w:b/>
                <w:sz w:val="24"/>
              </w:rPr>
            </w:pPr>
            <w:r>
              <w:rPr>
                <w:rFonts w:hint="eastAsia" w:ascii="宋体" w:hAnsi="宋体" w:eastAsia="宋体" w:cs="宋体"/>
                <w:spacing w:val="12"/>
                <w:position w:val="17"/>
                <w:sz w:val="20"/>
                <w:szCs w:val="20"/>
                <w:lang w:val="en-US" w:eastAsia="zh-CN"/>
              </w:rPr>
              <w:t>资源配备计划及措施</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b/>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eastAsia="宋体" w:cs="宋体"/>
                <w:spacing w:val="12"/>
                <w:position w:val="17"/>
                <w:sz w:val="20"/>
                <w:szCs w:val="20"/>
              </w:rPr>
              <w:t>根据体系完整、内容齐全、安排恰当、针对项目实际情况措施可行程度得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分，较为完整、齐全、恰当、可行得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5"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Cs w:val="21"/>
              </w:rPr>
              <w:t>8</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ight="-44" w:rightChars="-21"/>
              <w:rPr>
                <w:rFonts w:ascii="宋体" w:hAnsi="宋体"/>
                <w:b/>
                <w:sz w:val="24"/>
              </w:rPr>
            </w:pPr>
            <w:r>
              <w:rPr>
                <w:rFonts w:hint="eastAsia" w:ascii="宋体" w:hAnsi="宋体" w:eastAsia="宋体" w:cs="宋体"/>
                <w:spacing w:val="12"/>
                <w:position w:val="17"/>
                <w:sz w:val="20"/>
                <w:szCs w:val="20"/>
                <w:lang w:val="en-US" w:eastAsia="zh-CN"/>
              </w:rPr>
              <w:t>施工管理及措施</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b/>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top"/>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根据对本工程项目管理的认识，内容齐全、有针对性、对工程现场管理安排合理、符合安全文明生产要求、对工程管理的配合、协调、服务措施可行得</w:t>
            </w:r>
            <w:r>
              <w:rPr>
                <w:rFonts w:hint="eastAsia" w:ascii="宋体" w:hAnsi="宋体" w:eastAsia="宋体" w:cs="宋体"/>
                <w:spacing w:val="12"/>
                <w:position w:val="17"/>
                <w:sz w:val="20"/>
                <w:szCs w:val="20"/>
                <w:lang w:val="en-US" w:eastAsia="zh-CN"/>
              </w:rPr>
              <w:t>6-7</w:t>
            </w:r>
            <w:r>
              <w:rPr>
                <w:rFonts w:hint="eastAsia" w:ascii="宋体" w:hAnsi="宋体" w:eastAsia="宋体" w:cs="宋体"/>
                <w:spacing w:val="12"/>
                <w:position w:val="17"/>
                <w:sz w:val="20"/>
                <w:szCs w:val="20"/>
              </w:rPr>
              <w:t>分，较为可行得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5"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Cs w:val="21"/>
              </w:rPr>
              <w:t>9</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ight="-44" w:rightChars="-21"/>
              <w:rPr>
                <w:rFonts w:ascii="宋体" w:hAnsi="宋体"/>
                <w:b/>
                <w:sz w:val="24"/>
              </w:rPr>
            </w:pPr>
            <w:r>
              <w:rPr>
                <w:rFonts w:hint="eastAsia" w:ascii="宋体" w:hAnsi="宋体" w:eastAsia="宋体" w:cs="宋体"/>
                <w:spacing w:val="12"/>
                <w:position w:val="17"/>
                <w:sz w:val="20"/>
                <w:szCs w:val="20"/>
                <w:lang w:val="en-US" w:eastAsia="zh-CN"/>
              </w:rPr>
              <w:t>施工关键部位、材料采购要点的控制及措施（根据工程特点及本磋商文件要求应具有针对性）</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b/>
                <w:sz w:val="24"/>
              </w:rPr>
            </w:pPr>
            <w:r>
              <w:rPr>
                <w:rFonts w:hint="eastAsia" w:ascii="宋体" w:hAnsi="宋体" w:cs="宋体"/>
                <w:spacing w:val="12"/>
                <w:position w:val="17"/>
                <w:sz w:val="20"/>
                <w:szCs w:val="20"/>
                <w:lang w:val="en-US" w:eastAsia="zh-CN"/>
              </w:rPr>
              <w:t>8</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根据针对工程特点内容齐全、安排合理、对施工关键部位及材料采购要点解决方案完整、经济、切实可行、措施得力得</w:t>
            </w:r>
            <w:r>
              <w:rPr>
                <w:rFonts w:hint="eastAsia" w:ascii="宋体" w:hAnsi="宋体" w:eastAsia="宋体" w:cs="宋体"/>
                <w:spacing w:val="12"/>
                <w:position w:val="17"/>
                <w:sz w:val="20"/>
                <w:szCs w:val="20"/>
                <w:lang w:val="en-US" w:eastAsia="zh-CN"/>
              </w:rPr>
              <w:t>6-8</w:t>
            </w:r>
            <w:r>
              <w:rPr>
                <w:rFonts w:hint="eastAsia" w:ascii="宋体" w:hAnsi="宋体" w:eastAsia="宋体" w:cs="宋体"/>
                <w:spacing w:val="12"/>
                <w:position w:val="17"/>
                <w:sz w:val="20"/>
                <w:szCs w:val="20"/>
              </w:rPr>
              <w:t>分，较为完整、经济、可行、得力得</w:t>
            </w:r>
            <w:r>
              <w:rPr>
                <w:rFonts w:hint="eastAsia" w:ascii="宋体" w:hAnsi="宋体" w:eastAsia="宋体" w:cs="宋体"/>
                <w:spacing w:val="12"/>
                <w:position w:val="17"/>
                <w:sz w:val="20"/>
                <w:szCs w:val="20"/>
                <w:lang w:val="en-US" w:eastAsia="zh-CN"/>
              </w:rPr>
              <w:t>4-5</w:t>
            </w:r>
            <w:r>
              <w:rPr>
                <w:rFonts w:hint="eastAsia" w:ascii="宋体" w:hAnsi="宋体" w:eastAsia="宋体" w:cs="宋体"/>
                <w:spacing w:val="12"/>
                <w:position w:val="17"/>
                <w:sz w:val="20"/>
                <w:szCs w:val="20"/>
              </w:rPr>
              <w:t>分，一般得</w:t>
            </w:r>
            <w:r>
              <w:rPr>
                <w:rFonts w:hint="eastAsia" w:ascii="宋体" w:hAnsi="宋体" w:eastAsia="宋体" w:cs="宋体"/>
                <w:spacing w:val="12"/>
                <w:position w:val="17"/>
                <w:sz w:val="20"/>
                <w:szCs w:val="20"/>
                <w:lang w:val="en-US" w:eastAsia="zh-CN"/>
              </w:rPr>
              <w:t>0-3</w:t>
            </w:r>
            <w:r>
              <w:rPr>
                <w:rFonts w:hint="eastAsia" w:ascii="宋体" w:hAnsi="宋体" w:eastAsia="宋体" w:cs="宋体"/>
                <w:spacing w:val="12"/>
                <w:position w:val="17"/>
                <w:sz w:val="20"/>
                <w:szCs w:val="20"/>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5"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Cs w:val="21"/>
              </w:rPr>
              <w:t>10</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ight="-44" w:rightChars="-21"/>
              <w:rPr>
                <w:rFonts w:ascii="宋体" w:hAnsi="宋体"/>
                <w:sz w:val="24"/>
              </w:rPr>
            </w:pPr>
            <w:r>
              <w:rPr>
                <w:rFonts w:hint="eastAsia" w:ascii="宋体" w:hAnsi="宋体" w:eastAsia="宋体" w:cs="宋体"/>
                <w:spacing w:val="12"/>
                <w:position w:val="17"/>
                <w:sz w:val="20"/>
                <w:szCs w:val="20"/>
                <w:lang w:val="en-US" w:eastAsia="zh-CN"/>
              </w:rPr>
              <w:t>扬尘治理措施</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b/>
                <w:sz w:val="24"/>
              </w:rPr>
            </w:pPr>
            <w:r>
              <w:rPr>
                <w:rFonts w:hint="eastAsia" w:ascii="宋体" w:hAnsi="宋体" w:cs="宋体"/>
                <w:spacing w:val="12"/>
                <w:position w:val="17"/>
                <w:sz w:val="20"/>
                <w:szCs w:val="20"/>
                <w:lang w:val="en-US" w:eastAsia="zh-CN"/>
              </w:rPr>
              <w:t>7</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hint="eastAsia" w:ascii="宋体" w:hAnsi="宋体" w:eastAsia="宋体" w:cs="宋体"/>
                <w:spacing w:val="12"/>
                <w:position w:val="17"/>
                <w:sz w:val="20"/>
                <w:szCs w:val="20"/>
              </w:rPr>
            </w:pPr>
            <w:r>
              <w:rPr>
                <w:rFonts w:hint="eastAsia" w:ascii="宋体" w:hAnsi="宋体" w:eastAsia="宋体" w:cs="宋体"/>
                <w:spacing w:val="12"/>
                <w:position w:val="17"/>
                <w:sz w:val="20"/>
                <w:szCs w:val="20"/>
              </w:rPr>
              <w:t>有该项的基本分2分，根据措施体系完整、内容齐全、安排恰当、针对项目实际情况措施可行程度再加</w:t>
            </w:r>
            <w:r>
              <w:rPr>
                <w:rFonts w:hint="eastAsia" w:ascii="宋体" w:hAnsi="宋体" w:eastAsia="宋体" w:cs="宋体"/>
                <w:spacing w:val="12"/>
                <w:position w:val="17"/>
                <w:sz w:val="20"/>
                <w:szCs w:val="20"/>
                <w:lang w:val="en-US" w:eastAsia="zh-CN"/>
              </w:rPr>
              <w:t>2</w:t>
            </w:r>
            <w:r>
              <w:rPr>
                <w:rFonts w:hint="eastAsia" w:ascii="宋体" w:hAnsi="宋体" w:eastAsia="宋体" w:cs="宋体"/>
                <w:spacing w:val="12"/>
                <w:position w:val="17"/>
                <w:sz w:val="20"/>
                <w:szCs w:val="20"/>
              </w:rPr>
              <w:t>-</w:t>
            </w:r>
            <w:r>
              <w:rPr>
                <w:rFonts w:hint="eastAsia" w:ascii="宋体" w:hAnsi="宋体" w:eastAsia="宋体" w:cs="宋体"/>
                <w:spacing w:val="12"/>
                <w:position w:val="17"/>
                <w:sz w:val="20"/>
                <w:szCs w:val="20"/>
                <w:lang w:val="en-US" w:eastAsia="zh-CN"/>
              </w:rPr>
              <w:t>5</w:t>
            </w:r>
            <w:r>
              <w:rPr>
                <w:rFonts w:hint="eastAsia" w:ascii="宋体" w:hAnsi="宋体" w:eastAsia="宋体" w:cs="宋体"/>
                <w:spacing w:val="12"/>
                <w:position w:val="17"/>
                <w:sz w:val="20"/>
                <w:szCs w:val="2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95" w:type="dxa"/>
            <w:tcBorders>
              <w:top w:val="single" w:color="auto" w:sz="4" w:space="0"/>
              <w:bottom w:val="single" w:color="auto" w:sz="4" w:space="0"/>
              <w:right w:val="single" w:color="auto" w:sz="4" w:space="0"/>
            </w:tcBorders>
            <w:vAlign w:val="top"/>
          </w:tcPr>
          <w:p>
            <w:pPr>
              <w:spacing w:line="261"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p>
        </w:tc>
        <w:tc>
          <w:tcPr>
            <w:tcW w:w="2532" w:type="dxa"/>
            <w:tcBorders>
              <w:top w:val="single" w:color="auto" w:sz="4" w:space="0"/>
              <w:bottom w:val="single" w:color="auto" w:sz="4" w:space="0"/>
              <w:right w:val="single" w:color="auto" w:sz="4" w:space="0"/>
            </w:tcBorders>
            <w:vAlign w:val="top"/>
          </w:tcPr>
          <w:p>
            <w:pPr>
              <w:spacing w:line="261"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资信</w:t>
            </w:r>
          </w:p>
        </w:tc>
        <w:tc>
          <w:tcPr>
            <w:tcW w:w="1056" w:type="dxa"/>
            <w:tcBorders>
              <w:top w:val="single" w:color="auto" w:sz="4" w:space="0"/>
              <w:left w:val="single" w:color="auto" w:sz="4" w:space="0"/>
              <w:bottom w:val="single" w:color="auto" w:sz="4" w:space="0"/>
              <w:right w:val="single" w:color="auto" w:sz="4" w:space="0"/>
            </w:tcBorders>
            <w:vAlign w:val="top"/>
          </w:tcPr>
          <w:p>
            <w:pPr>
              <w:spacing w:line="261"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tc>
        <w:tc>
          <w:tcPr>
            <w:tcW w:w="5795" w:type="dxa"/>
            <w:tcBorders>
              <w:top w:val="single" w:color="auto" w:sz="4" w:space="0"/>
              <w:left w:val="single" w:color="auto" w:sz="4" w:space="0"/>
              <w:bottom w:val="single" w:color="auto" w:sz="4" w:space="0"/>
              <w:right w:val="single" w:color="auto" w:sz="4" w:space="0"/>
            </w:tcBorders>
            <w:vAlign w:val="top"/>
          </w:tcPr>
          <w:p>
            <w:pPr>
              <w:spacing w:line="261" w:lineRule="auto"/>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5" w:type="dxa"/>
            <w:tcBorders>
              <w:top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eastAsia="宋体" w:cs="宋体"/>
                <w:spacing w:val="12"/>
                <w:position w:val="17"/>
                <w:sz w:val="20"/>
                <w:szCs w:val="20"/>
                <w:lang w:val="en-US" w:eastAsia="zh-CN"/>
              </w:rPr>
              <w:t>1</w:t>
            </w:r>
          </w:p>
        </w:tc>
        <w:tc>
          <w:tcPr>
            <w:tcW w:w="2532" w:type="dxa"/>
            <w:tcBorders>
              <w:top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eastAsia="宋体" w:cs="宋体"/>
                <w:spacing w:val="12"/>
                <w:position w:val="17"/>
                <w:sz w:val="20"/>
                <w:szCs w:val="20"/>
                <w:lang w:val="en-US" w:eastAsia="zh-CN"/>
              </w:rPr>
              <w:t>供应商近三年承担的类似工程业绩</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leftChars="0"/>
              <w:rPr>
                <w:rFonts w:ascii="宋体" w:hAnsi="宋体"/>
                <w:sz w:val="24"/>
              </w:rPr>
            </w:pPr>
            <w:r>
              <w:rPr>
                <w:rFonts w:hint="eastAsia" w:ascii="宋体" w:hAnsi="宋体" w:cs="宋体"/>
                <w:spacing w:val="12"/>
                <w:position w:val="17"/>
                <w:sz w:val="20"/>
                <w:szCs w:val="20"/>
                <w:lang w:val="en-US" w:eastAsia="zh-CN"/>
              </w:rPr>
              <w:t>9</w:t>
            </w:r>
            <w:r>
              <w:rPr>
                <w:rFonts w:hint="eastAsia" w:ascii="宋体" w:hAnsi="宋体" w:eastAsia="宋体" w:cs="宋体"/>
                <w:spacing w:val="12"/>
                <w:position w:val="17"/>
                <w:sz w:val="20"/>
                <w:szCs w:val="20"/>
                <w:lang w:val="en-US" w:eastAsia="zh-CN"/>
              </w:rPr>
              <w:t>分</w:t>
            </w:r>
          </w:p>
        </w:tc>
        <w:tc>
          <w:tcPr>
            <w:tcW w:w="5795" w:type="dxa"/>
            <w:tcBorders>
              <w:top w:val="single" w:color="auto" w:sz="4" w:space="0"/>
              <w:left w:val="single" w:color="auto" w:sz="4" w:space="0"/>
              <w:bottom w:val="single" w:color="auto" w:sz="4" w:space="0"/>
              <w:right w:val="single" w:color="auto" w:sz="4" w:space="0"/>
            </w:tcBorders>
            <w:vAlign w:val="center"/>
          </w:tcPr>
          <w:p>
            <w:pPr>
              <w:spacing w:before="114" w:line="430" w:lineRule="exact"/>
              <w:ind w:left="150"/>
              <w:rPr>
                <w:rFonts w:hint="eastAsia" w:ascii="宋体" w:hAnsi="宋体" w:eastAsia="宋体" w:cs="宋体"/>
                <w:spacing w:val="12"/>
                <w:position w:val="17"/>
                <w:sz w:val="20"/>
                <w:szCs w:val="20"/>
                <w:lang w:val="en-US" w:eastAsia="zh-CN"/>
              </w:rPr>
            </w:pPr>
            <w:r>
              <w:rPr>
                <w:rFonts w:hint="eastAsia" w:ascii="宋体" w:hAnsi="宋体" w:eastAsia="宋体" w:cs="宋体"/>
                <w:spacing w:val="12"/>
                <w:position w:val="17"/>
                <w:sz w:val="20"/>
                <w:szCs w:val="20"/>
                <w:lang w:val="en-US" w:eastAsia="zh-CN"/>
              </w:rPr>
              <w:t>供应商20</w:t>
            </w:r>
            <w:r>
              <w:rPr>
                <w:rFonts w:hint="eastAsia" w:ascii="宋体" w:hAnsi="宋体" w:cs="宋体"/>
                <w:spacing w:val="12"/>
                <w:position w:val="17"/>
                <w:sz w:val="20"/>
                <w:szCs w:val="20"/>
                <w:lang w:val="en-US" w:eastAsia="zh-CN"/>
              </w:rPr>
              <w:t>21</w:t>
            </w:r>
            <w:r>
              <w:rPr>
                <w:rFonts w:hint="eastAsia" w:ascii="宋体" w:hAnsi="宋体" w:eastAsia="宋体" w:cs="宋体"/>
                <w:spacing w:val="12"/>
                <w:position w:val="17"/>
                <w:sz w:val="20"/>
                <w:szCs w:val="20"/>
                <w:lang w:val="en-US" w:eastAsia="zh-CN"/>
              </w:rPr>
              <w:t>年1月1日以来承担</w:t>
            </w:r>
            <w:r>
              <w:rPr>
                <w:rFonts w:hint="eastAsia" w:ascii="宋体" w:hAnsi="宋体" w:cs="宋体"/>
                <w:spacing w:val="12"/>
                <w:position w:val="17"/>
                <w:sz w:val="20"/>
                <w:szCs w:val="20"/>
                <w:lang w:val="en-US" w:eastAsia="zh-CN"/>
              </w:rPr>
              <w:t>过得合同金额壹佰万元以上的</w:t>
            </w:r>
            <w:r>
              <w:rPr>
                <w:rFonts w:hint="eastAsia" w:ascii="宋体" w:hAnsi="宋体" w:eastAsia="宋体" w:cs="宋体"/>
                <w:spacing w:val="12"/>
                <w:position w:val="17"/>
                <w:sz w:val="20"/>
                <w:szCs w:val="20"/>
                <w:lang w:val="en-US" w:eastAsia="zh-CN"/>
              </w:rPr>
              <w:t>类似工程业绩</w:t>
            </w:r>
            <w:r>
              <w:rPr>
                <w:rFonts w:hint="eastAsia" w:ascii="宋体" w:hAnsi="宋体" w:cs="宋体"/>
                <w:spacing w:val="12"/>
                <w:position w:val="17"/>
                <w:sz w:val="20"/>
                <w:szCs w:val="20"/>
                <w:lang w:val="en-US" w:eastAsia="zh-CN"/>
              </w:rPr>
              <w:t>，每提供一项</w:t>
            </w:r>
            <w:r>
              <w:rPr>
                <w:rFonts w:hint="eastAsia" w:ascii="宋体" w:hAnsi="宋体" w:eastAsia="宋体" w:cs="宋体"/>
                <w:spacing w:val="12"/>
                <w:position w:val="17"/>
                <w:sz w:val="20"/>
                <w:szCs w:val="20"/>
                <w:lang w:val="en-US" w:eastAsia="zh-CN"/>
              </w:rPr>
              <w:t>得</w:t>
            </w:r>
            <w:r>
              <w:rPr>
                <w:rFonts w:hint="eastAsia" w:ascii="宋体" w:hAnsi="宋体" w:cs="宋体"/>
                <w:spacing w:val="12"/>
                <w:position w:val="17"/>
                <w:sz w:val="20"/>
                <w:szCs w:val="20"/>
                <w:lang w:val="en-US" w:eastAsia="zh-CN"/>
              </w:rPr>
              <w:t>3</w:t>
            </w:r>
            <w:r>
              <w:rPr>
                <w:rFonts w:hint="eastAsia" w:ascii="宋体" w:hAnsi="宋体" w:eastAsia="宋体" w:cs="宋体"/>
                <w:spacing w:val="12"/>
                <w:position w:val="17"/>
                <w:sz w:val="20"/>
                <w:szCs w:val="20"/>
                <w:lang w:val="en-US" w:eastAsia="zh-CN"/>
              </w:rPr>
              <w:t>分，本项最高得</w:t>
            </w:r>
            <w:r>
              <w:rPr>
                <w:rFonts w:hint="eastAsia" w:ascii="宋体" w:hAnsi="宋体" w:cs="宋体"/>
                <w:spacing w:val="12"/>
                <w:position w:val="17"/>
                <w:sz w:val="20"/>
                <w:szCs w:val="20"/>
                <w:lang w:val="en-US" w:eastAsia="zh-CN"/>
              </w:rPr>
              <w:t>9</w:t>
            </w:r>
            <w:r>
              <w:rPr>
                <w:rFonts w:hint="eastAsia" w:ascii="宋体" w:hAnsi="宋体" w:eastAsia="宋体" w:cs="宋体"/>
                <w:spacing w:val="12"/>
                <w:position w:val="17"/>
                <w:sz w:val="20"/>
                <w:szCs w:val="20"/>
                <w:lang w:val="en-US" w:eastAsia="zh-CN"/>
              </w:rPr>
              <w:t>分。</w:t>
            </w:r>
          </w:p>
          <w:p>
            <w:pPr>
              <w:spacing w:before="114" w:line="430" w:lineRule="exact"/>
              <w:ind w:left="150" w:leftChars="0"/>
              <w:rPr>
                <w:rFonts w:hint="eastAsia" w:ascii="宋体" w:hAnsi="宋体"/>
                <w:szCs w:val="21"/>
              </w:rPr>
            </w:pPr>
            <w:r>
              <w:rPr>
                <w:rFonts w:hint="eastAsia" w:ascii="宋体" w:hAnsi="宋体" w:eastAsia="宋体" w:cs="宋体"/>
                <w:spacing w:val="12"/>
                <w:position w:val="17"/>
                <w:sz w:val="20"/>
                <w:szCs w:val="20"/>
                <w:lang w:val="en-US" w:eastAsia="zh-CN"/>
              </w:rPr>
              <w:t>备注：①类似项目工程以中标通知书、施工合同原件</w:t>
            </w:r>
            <w:r>
              <w:rPr>
                <w:rFonts w:hint="eastAsia" w:ascii="宋体" w:hAnsi="宋体" w:cs="宋体"/>
                <w:spacing w:val="12"/>
                <w:position w:val="17"/>
                <w:sz w:val="20"/>
                <w:szCs w:val="20"/>
                <w:lang w:val="en-US" w:eastAsia="zh-CN"/>
              </w:rPr>
              <w:t>和竣工验收单为准</w:t>
            </w:r>
            <w:r>
              <w:rPr>
                <w:rFonts w:hint="eastAsia" w:ascii="宋体" w:hAnsi="宋体" w:eastAsia="宋体" w:cs="宋体"/>
                <w:spacing w:val="12"/>
                <w:position w:val="17"/>
                <w:sz w:val="20"/>
                <w:szCs w:val="20"/>
                <w:lang w:val="en-US" w:eastAsia="zh-CN"/>
              </w:rPr>
              <w:t>，</w:t>
            </w:r>
            <w:r>
              <w:rPr>
                <w:rFonts w:hint="eastAsia" w:ascii="宋体" w:hAnsi="宋体" w:cs="宋体"/>
                <w:spacing w:val="12"/>
                <w:position w:val="17"/>
                <w:sz w:val="20"/>
                <w:szCs w:val="20"/>
                <w:lang w:val="en-US" w:eastAsia="zh-CN"/>
              </w:rPr>
              <w:t>三</w:t>
            </w:r>
            <w:r>
              <w:rPr>
                <w:rFonts w:hint="eastAsia" w:ascii="宋体" w:hAnsi="宋体" w:eastAsia="宋体" w:cs="宋体"/>
                <w:spacing w:val="12"/>
                <w:position w:val="17"/>
                <w:sz w:val="20"/>
                <w:szCs w:val="20"/>
                <w:lang w:val="en-US" w:eastAsia="zh-CN"/>
              </w:rPr>
              <w:t>者缺一不可，时间以合同签订为准。②磋商响应文件中须附该打分项涉及的施工合同</w:t>
            </w:r>
            <w:r>
              <w:rPr>
                <w:rFonts w:hint="eastAsia" w:ascii="宋体" w:hAnsi="宋体" w:cs="宋体"/>
                <w:spacing w:val="12"/>
                <w:position w:val="17"/>
                <w:sz w:val="20"/>
                <w:szCs w:val="20"/>
                <w:lang w:val="en-US" w:eastAsia="zh-CN"/>
              </w:rPr>
              <w:t>、竣工验收单</w:t>
            </w:r>
            <w:r>
              <w:rPr>
                <w:rFonts w:hint="eastAsia" w:ascii="宋体" w:hAnsi="宋体" w:eastAsia="宋体" w:cs="宋体"/>
                <w:spacing w:val="12"/>
                <w:position w:val="17"/>
                <w:sz w:val="20"/>
                <w:szCs w:val="20"/>
                <w:lang w:val="en-US" w:eastAsia="zh-CN"/>
              </w:rPr>
              <w:t>和中标通知书等复印件，否则不予认可。类似工程业绩的界定：</w:t>
            </w:r>
            <w:r>
              <w:rPr>
                <w:rFonts w:hint="eastAsia" w:ascii="宋体" w:hAnsi="宋体" w:cs="宋体"/>
                <w:spacing w:val="12"/>
                <w:position w:val="17"/>
                <w:sz w:val="20"/>
                <w:szCs w:val="20"/>
                <w:highlight w:val="none"/>
                <w:lang w:val="en-US" w:eastAsia="zh-CN"/>
              </w:rPr>
              <w:t>电力</w:t>
            </w:r>
            <w:r>
              <w:rPr>
                <w:rFonts w:hint="eastAsia" w:ascii="宋体" w:hAnsi="宋体" w:eastAsia="宋体" w:cs="宋体"/>
                <w:spacing w:val="12"/>
                <w:position w:val="17"/>
                <w:sz w:val="20"/>
                <w:szCs w:val="20"/>
                <w:highlight w:val="none"/>
                <w:lang w:val="en-US" w:eastAsia="zh-CN"/>
              </w:rPr>
              <w:t>工程</w:t>
            </w:r>
            <w:r>
              <w:rPr>
                <w:rFonts w:hint="eastAsia" w:ascii="宋体" w:hAnsi="宋体" w:eastAsia="宋体" w:cs="宋体"/>
                <w:spacing w:val="12"/>
                <w:position w:val="17"/>
                <w:sz w:val="20"/>
                <w:szCs w:val="20"/>
                <w:lang w:val="en-US" w:eastAsia="zh-CN"/>
              </w:rPr>
              <w:t>。</w:t>
            </w:r>
          </w:p>
        </w:tc>
      </w:tr>
    </w:tbl>
    <w:p>
      <w:pPr>
        <w:tabs>
          <w:tab w:val="left" w:pos="0"/>
          <w:tab w:val="left" w:pos="885"/>
          <w:tab w:val="left" w:pos="990"/>
        </w:tabs>
        <w:wordWrap w:val="0"/>
        <w:topLinePunct/>
        <w:adjustRightInd w:val="0"/>
        <w:snapToGrid w:val="0"/>
        <w:spacing w:line="360" w:lineRule="auto"/>
        <w:jc w:val="left"/>
        <w:rPr>
          <w:rFonts w:ascii="宋体" w:hAnsi="宋体" w:cs="宋体"/>
          <w:b/>
          <w:sz w:val="24"/>
        </w:rPr>
      </w:pPr>
      <w:bookmarkStart w:id="16" w:name="_Toc4171"/>
      <w:bookmarkStart w:id="17" w:name="_Toc22960"/>
      <w:bookmarkStart w:id="18" w:name="_Toc1466"/>
      <w:bookmarkStart w:id="19" w:name="_Toc23800"/>
      <w:bookmarkStart w:id="20" w:name="_Toc13071"/>
      <w:r>
        <w:rPr>
          <w:rFonts w:hint="eastAsia" w:ascii="宋体" w:hAnsi="宋体" w:cs="宋体"/>
          <w:b/>
          <w:sz w:val="24"/>
        </w:rPr>
        <w:t>注：</w:t>
      </w:r>
    </w:p>
    <w:p>
      <w:pPr>
        <w:wordWrap w:val="0"/>
        <w:topLinePunct/>
        <w:adjustRightInd w:val="0"/>
        <w:snapToGrid w:val="0"/>
        <w:spacing w:line="360" w:lineRule="auto"/>
        <w:ind w:firstLine="482" w:firstLineChars="200"/>
        <w:jc w:val="left"/>
        <w:rPr>
          <w:rFonts w:ascii="宋体" w:hAnsi="宋体" w:cs="宋体"/>
          <w:sz w:val="24"/>
          <w:lang w:val="zh-CN"/>
        </w:rPr>
      </w:pPr>
      <w:r>
        <w:rPr>
          <w:rFonts w:hint="eastAsia" w:ascii="宋体" w:hAnsi="宋体" w:cs="宋体"/>
          <w:b/>
          <w:sz w:val="24"/>
        </w:rPr>
        <w:t>1、总得分相同者，按最终报价低的名次在前；最终报价也相同的，技术部分总得分高者排名优先</w:t>
      </w:r>
      <w:r>
        <w:rPr>
          <w:rFonts w:hint="eastAsia" w:ascii="宋体" w:hAnsi="宋体" w:cs="宋体"/>
          <w:sz w:val="24"/>
        </w:rPr>
        <w:t>；</w:t>
      </w:r>
      <w:r>
        <w:rPr>
          <w:rFonts w:hint="eastAsia" w:ascii="宋体" w:hAnsi="宋体" w:cs="宋体"/>
          <w:b/>
          <w:sz w:val="24"/>
        </w:rPr>
        <w:t>技术部分总得分也相同的，采购人按响应文件递交顺序排名。</w:t>
      </w:r>
    </w:p>
    <w:p>
      <w:pPr>
        <w:wordWrap w:val="0"/>
        <w:topLinePunct/>
        <w:adjustRightInd w:val="0"/>
        <w:snapToGrid w:val="0"/>
        <w:spacing w:line="360" w:lineRule="auto"/>
        <w:jc w:val="left"/>
        <w:outlineLvl w:val="1"/>
        <w:rPr>
          <w:rFonts w:ascii="宋体" w:hAnsi="宋体" w:cs="宋体"/>
          <w:sz w:val="24"/>
        </w:rPr>
      </w:pPr>
      <w:r>
        <w:rPr>
          <w:rFonts w:hint="eastAsia" w:ascii="宋体" w:hAnsi="宋体" w:cs="宋体"/>
          <w:b/>
          <w:sz w:val="24"/>
        </w:rPr>
        <w:t>四、成交通知书</w:t>
      </w:r>
    </w:p>
    <w:p>
      <w:pPr>
        <w:wordWrap w:val="0"/>
        <w:topLinePunct/>
        <w:adjustRightInd w:val="0"/>
        <w:snapToGrid w:val="0"/>
        <w:spacing w:line="360" w:lineRule="auto"/>
        <w:ind w:firstLine="480" w:firstLineChars="200"/>
        <w:jc w:val="left"/>
        <w:rPr>
          <w:rFonts w:ascii="宋体" w:hAnsi="宋体" w:cs="宋体"/>
          <w:b/>
          <w:sz w:val="24"/>
        </w:rPr>
      </w:pPr>
      <w:r>
        <w:rPr>
          <w:rFonts w:hint="eastAsia" w:ascii="宋体" w:hAnsi="宋体" w:cs="宋体"/>
          <w:sz w:val="24"/>
        </w:rPr>
        <w:t>成交结果公示结束无异议后，采购人向成交供应商签发《成交通知书》。</w:t>
      </w:r>
    </w:p>
    <w:p>
      <w:pPr>
        <w:wordWrap w:val="0"/>
        <w:topLinePunct/>
        <w:adjustRightInd w:val="0"/>
        <w:snapToGrid w:val="0"/>
        <w:spacing w:line="360" w:lineRule="auto"/>
        <w:jc w:val="center"/>
        <w:outlineLvl w:val="0"/>
        <w:rPr>
          <w:rFonts w:ascii="宋体" w:hAnsi="宋体" w:cs="宋体"/>
          <w:b/>
          <w:sz w:val="24"/>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第四部分  采购内容</w:t>
      </w:r>
      <w:bookmarkEnd w:id="16"/>
      <w:bookmarkEnd w:id="17"/>
      <w:bookmarkEnd w:id="18"/>
      <w:bookmarkEnd w:id="19"/>
      <w:bookmarkEnd w:id="20"/>
    </w:p>
    <w:p>
      <w:pPr>
        <w:wordWrap w:val="0"/>
        <w:topLinePunct/>
        <w:adjustRightInd w:val="0"/>
        <w:snapToGrid w:val="0"/>
        <w:spacing w:line="360" w:lineRule="auto"/>
        <w:outlineLvl w:val="1"/>
        <w:rPr>
          <w:rFonts w:ascii="宋体" w:hAnsi="宋体" w:cs="宋体"/>
          <w:b/>
          <w:bCs w:val="0"/>
          <w:sz w:val="24"/>
        </w:rPr>
      </w:pPr>
      <w:r>
        <w:rPr>
          <w:rFonts w:hint="eastAsia" w:ascii="宋体" w:hAnsi="宋体" w:cs="宋体"/>
          <w:b/>
          <w:bCs w:val="0"/>
          <w:sz w:val="24"/>
        </w:rPr>
        <w:t>一、采购内容</w:t>
      </w:r>
    </w:p>
    <w:p>
      <w:pPr>
        <w:wordWrap w:val="0"/>
        <w:topLinePunct/>
        <w:adjustRightInd w:val="0"/>
        <w:snapToGrid w:val="0"/>
        <w:spacing w:line="360" w:lineRule="auto"/>
        <w:ind w:firstLine="482" w:firstLineChars="200"/>
        <w:outlineLvl w:val="1"/>
        <w:rPr>
          <w:rFonts w:hint="eastAsia" w:ascii="宋体" w:hAnsi="宋体" w:cs="宋体"/>
          <w:b/>
          <w:bCs w:val="0"/>
          <w:kern w:val="0"/>
          <w:sz w:val="24"/>
          <w:highlight w:val="none"/>
          <w:lang w:eastAsia="zh-CN"/>
        </w:rPr>
      </w:pPr>
      <w:r>
        <w:rPr>
          <w:rFonts w:hint="eastAsia" w:ascii="宋体" w:hAnsi="宋体" w:cs="宋体"/>
          <w:b/>
          <w:bCs w:val="0"/>
          <w:kern w:val="0"/>
          <w:sz w:val="24"/>
          <w:lang w:eastAsia="zh-CN"/>
        </w:rPr>
        <w:t>邹城市千泉街道郭庄社区线路改造工程，</w:t>
      </w:r>
      <w:r>
        <w:rPr>
          <w:rFonts w:hint="eastAsia" w:ascii="宋体" w:hAnsi="宋体" w:cs="宋体"/>
          <w:b/>
          <w:bCs w:val="0"/>
          <w:kern w:val="0"/>
          <w:sz w:val="24"/>
          <w:highlight w:val="none"/>
          <w:lang w:eastAsia="zh-CN"/>
        </w:rPr>
        <w:t>主要包括新建电杆、架空绝缘线安装、低压电缆敷设、低压分支箱安装等</w:t>
      </w:r>
      <w:r>
        <w:rPr>
          <w:rFonts w:hint="eastAsia" w:ascii="宋体" w:hAnsi="宋体" w:cs="宋体"/>
          <w:b/>
          <w:bCs w:val="0"/>
          <w:kern w:val="0"/>
          <w:sz w:val="24"/>
          <w:highlight w:val="none"/>
          <w:lang w:val="en-US" w:eastAsia="zh-CN"/>
        </w:rPr>
        <w:t>相关</w:t>
      </w:r>
      <w:r>
        <w:rPr>
          <w:rFonts w:hint="eastAsia" w:ascii="宋体" w:hAnsi="宋体" w:cs="宋体"/>
          <w:b/>
          <w:bCs w:val="0"/>
          <w:kern w:val="0"/>
          <w:sz w:val="24"/>
          <w:highlight w:val="none"/>
          <w:lang w:eastAsia="zh-CN"/>
        </w:rPr>
        <w:t>工程内容；采购预算（控制价）为939717.78元，具体内容详见采购预算（控制价）。</w:t>
      </w:r>
    </w:p>
    <w:p>
      <w:pPr>
        <w:wordWrap w:val="0"/>
        <w:topLinePunct/>
        <w:adjustRightInd w:val="0"/>
        <w:snapToGrid w:val="0"/>
        <w:spacing w:line="360" w:lineRule="auto"/>
        <w:outlineLvl w:val="1"/>
        <w:rPr>
          <w:rFonts w:ascii="宋体" w:hAnsi="宋体" w:cs="宋体"/>
          <w:b/>
          <w:sz w:val="24"/>
        </w:rPr>
      </w:pPr>
      <w:r>
        <w:rPr>
          <w:rFonts w:hint="eastAsia" w:ascii="宋体" w:hAnsi="宋体" w:cs="宋体"/>
          <w:b/>
          <w:sz w:val="24"/>
        </w:rPr>
        <w:t>二、其他要求</w:t>
      </w:r>
    </w:p>
    <w:p>
      <w:pPr>
        <w:wordWrap w:val="0"/>
        <w:topLinePunct/>
        <w:adjustRightInd w:val="0"/>
        <w:snapToGrid w:val="0"/>
        <w:spacing w:line="360" w:lineRule="auto"/>
        <w:ind w:firstLine="482" w:firstLineChars="200"/>
        <w:rPr>
          <w:rFonts w:hint="eastAsia" w:ascii="宋体" w:hAnsi="宋体" w:eastAsia="宋体" w:cs="宋体"/>
          <w:bCs/>
          <w:sz w:val="24"/>
          <w:lang w:eastAsia="zh-CN"/>
        </w:rPr>
      </w:pPr>
      <w:bookmarkStart w:id="21" w:name="_Toc1352"/>
      <w:bookmarkStart w:id="22" w:name="_Toc30448"/>
      <w:bookmarkStart w:id="23" w:name="_Toc24173"/>
      <w:bookmarkStart w:id="24" w:name="_Toc16480"/>
      <w:bookmarkStart w:id="25" w:name="_Toc22583"/>
      <w:r>
        <w:rPr>
          <w:rFonts w:hint="eastAsia" w:ascii="宋体" w:hAnsi="宋体" w:cs="宋体"/>
          <w:b/>
          <w:kern w:val="0"/>
          <w:sz w:val="24"/>
        </w:rPr>
        <w:t>（一）</w:t>
      </w:r>
      <w:r>
        <w:rPr>
          <w:rFonts w:hint="eastAsia" w:ascii="宋体" w:hAnsi="宋体" w:cs="宋体"/>
          <w:b/>
          <w:sz w:val="24"/>
        </w:rPr>
        <w:t>建设地点：</w:t>
      </w:r>
      <w:r>
        <w:rPr>
          <w:rFonts w:hint="eastAsia" w:ascii="宋体" w:hAnsi="宋体" w:cs="宋体"/>
          <w:bCs/>
          <w:sz w:val="24"/>
          <w:lang w:eastAsia="zh-CN"/>
        </w:rPr>
        <w:t>邹城市千泉街道郭庄社区居民委员会驻地</w:t>
      </w:r>
    </w:p>
    <w:p>
      <w:pPr>
        <w:shd w:val="clear" w:color="auto" w:fill="FFFFFF"/>
        <w:tabs>
          <w:tab w:val="left" w:pos="840"/>
        </w:tabs>
        <w:wordWrap w:val="0"/>
        <w:topLinePunct/>
        <w:adjustRightInd w:val="0"/>
        <w:snapToGrid w:val="0"/>
        <w:spacing w:line="360" w:lineRule="auto"/>
        <w:ind w:firstLine="482" w:firstLineChars="200"/>
        <w:rPr>
          <w:rFonts w:ascii="宋体" w:hAnsi="宋体" w:cs="宋体"/>
          <w:bCs/>
          <w:sz w:val="24"/>
          <w:highlight w:val="yellow"/>
        </w:rPr>
      </w:pPr>
      <w:r>
        <w:rPr>
          <w:rFonts w:hint="eastAsia" w:ascii="宋体" w:hAnsi="宋体" w:cs="宋体"/>
          <w:b/>
          <w:sz w:val="24"/>
        </w:rPr>
        <w:t>（二）建设规模：</w:t>
      </w:r>
      <w:r>
        <w:rPr>
          <w:rFonts w:hint="eastAsia" w:ascii="宋体" w:hAnsi="宋体" w:cs="宋体"/>
          <w:bCs/>
          <w:sz w:val="24"/>
          <w:highlight w:val="none"/>
        </w:rPr>
        <w:t>项目总投资</w:t>
      </w:r>
      <w:r>
        <w:rPr>
          <w:rFonts w:hint="eastAsia" w:ascii="宋体" w:hAnsi="宋体" w:cs="宋体"/>
          <w:bCs/>
          <w:sz w:val="24"/>
          <w:highlight w:val="none"/>
          <w:lang w:eastAsia="zh-CN"/>
        </w:rPr>
        <w:t>939717.78</w:t>
      </w:r>
      <w:r>
        <w:rPr>
          <w:rFonts w:hint="eastAsia" w:ascii="宋体" w:hAnsi="宋体" w:cs="宋体"/>
          <w:bCs/>
          <w:sz w:val="24"/>
          <w:highlight w:val="none"/>
        </w:rPr>
        <w:t>元。</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b/>
          <w:sz w:val="24"/>
        </w:rPr>
        <w:t>（三）计划工期：</w:t>
      </w:r>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r>
        <w:rPr>
          <w:rFonts w:hint="eastAsia" w:ascii="宋体" w:hAnsi="宋体" w:cs="宋体"/>
          <w:sz w:val="24"/>
        </w:rPr>
        <w:t>日历天。</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（四）质量要求：</w:t>
      </w:r>
      <w:r>
        <w:rPr>
          <w:rFonts w:hint="eastAsia" w:ascii="宋体" w:hAnsi="宋体" w:cs="宋体"/>
          <w:bCs/>
          <w:sz w:val="24"/>
        </w:rPr>
        <w:t>合格。</w:t>
      </w:r>
    </w:p>
    <w:p>
      <w:pPr>
        <w:wordWrap w:val="0"/>
        <w:topLinePunct/>
        <w:adjustRightInd w:val="0"/>
        <w:snapToGrid w:val="0"/>
        <w:spacing w:line="360" w:lineRule="auto"/>
        <w:ind w:firstLine="482" w:firstLineChars="200"/>
        <w:rPr>
          <w:rFonts w:hint="eastAsia" w:ascii="宋体" w:hAnsi="宋体" w:cs="宋体"/>
          <w:b/>
          <w:bCs/>
          <w:sz w:val="24"/>
        </w:rPr>
      </w:pPr>
      <w:r>
        <w:rPr>
          <w:rFonts w:hint="eastAsia" w:ascii="宋体" w:hAnsi="宋体" w:cs="宋体"/>
          <w:b/>
          <w:sz w:val="24"/>
        </w:rPr>
        <w:t>（五）质保期</w:t>
      </w:r>
      <w:r>
        <w:rPr>
          <w:rFonts w:hint="eastAsia" w:ascii="宋体" w:hAnsi="宋体" w:cs="宋体"/>
          <w:b/>
          <w:bCs/>
          <w:sz w:val="24"/>
        </w:rPr>
        <w:t>：</w:t>
      </w:r>
      <w:r>
        <w:rPr>
          <w:rFonts w:hint="eastAsia" w:ascii="宋体" w:hAnsi="宋体" w:cs="宋体"/>
          <w:b w:val="0"/>
          <w:bCs w:val="0"/>
          <w:sz w:val="24"/>
          <w:lang w:val="en-US" w:eastAsia="zh-CN"/>
        </w:rPr>
        <w:t>三</w:t>
      </w:r>
      <w:r>
        <w:rPr>
          <w:rFonts w:hint="eastAsia" w:ascii="宋体" w:hAnsi="宋体" w:cs="宋体"/>
          <w:b w:val="0"/>
          <w:bCs w:val="0"/>
          <w:sz w:val="24"/>
        </w:rPr>
        <w:t>年</w:t>
      </w:r>
      <w:r>
        <w:rPr>
          <w:rFonts w:hint="eastAsia" w:ascii="宋体" w:hAnsi="宋体" w:cs="宋体"/>
          <w:b/>
          <w:bCs/>
          <w:sz w:val="24"/>
        </w:rPr>
        <w:t>。</w:t>
      </w:r>
    </w:p>
    <w:p>
      <w:pPr>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工程量清单</w:t>
      </w: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ascii="宋体" w:hAnsi="宋体" w:cs="宋体"/>
          <w:b/>
          <w:bCs/>
          <w:sz w:val="24"/>
          <w:szCs w:val="24"/>
        </w:rPr>
      </w:pPr>
    </w:p>
    <w:p>
      <w:pPr>
        <w:rPr>
          <w:rFonts w:hint="eastAsia" w:ascii="宋体" w:hAnsi="宋体" w:cs="宋体"/>
          <w:b/>
          <w:bCs/>
          <w:sz w:val="24"/>
          <w:szCs w:val="24"/>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20" w:lineRule="exact"/>
        <w:rPr>
          <w:rFonts w:hint="eastAsia" w:ascii="宋体" w:hAnsi="宋体" w:cs="宋体"/>
          <w:b/>
          <w:szCs w:val="21"/>
          <w:lang w:bidi="ar"/>
        </w:r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工程名称：郭庄社区配变线路改造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电杆组立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2.材质：混凝土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3.规格：190*12M</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4.类型：预应力</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5.地形：平原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6.土质：一般土地</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7.底盘、拉盘、卡盘规格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8.拉线材质、规格、类型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9.现浇基础类型、钢筋类型、规格，基础垫</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层要求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10.电杆防腐要求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电杆拉线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2.拉盘规格：40*4</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3.拉线材质、规格、类型：钢绞</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1.名称：耐张担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1.名称：直线担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0.384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2.型号：JKLYJ-1*120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3.规格：4*185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3.规格：4*70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2.型号：185²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2.型号：70²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工程名称：郭庄社区配变线路改造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2.型号：35²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3.规格：500*600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1.名称：电缆分支箱（一进四出）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3.规格：600*800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030404019001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控制开关</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1.名称：塑壳断路器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2.型号：630A</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2.材质：钢管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3.规格：DN150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4.敷设方式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工程名称：郭庄菜市场配变线路改造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电杆拉线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2.拉盘规格：40*4</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3.拉线材质、规格、类型：钢绞</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1.名称：耐张担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1.名称：直线担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2.型号：JKLYJ-1*120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3.规格：4*185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3.规格：4*150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3.规格：4*70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2.型号：185²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2.型号：70²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2.型号：35²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工程名称：郭庄菜市场配变线路改造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1.名称：电缆分支箱（一进三出）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3.规格：500*600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1.名称：电缆分支箱（一进四出）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3.规格：600*800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2.材质：钢管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3.规格：DN150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4.敷设方式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工程名称：郭庄村南配变线路改造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电杆拉线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2.拉盘规格：40*4</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3.拉线材质、规格、类型：钢绞</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1.名称：耐张担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1.名称：直线担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2.型号：JKLYJ-1*120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3.规格：4*185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3.规格：4*70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2.型号：185²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2.型号：70²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2.型号：35²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1.名称：电缆分支箱（一进三出）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3.规格：500*600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工程名称：郭庄村南配变线路改造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电缆分支箱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1.名称：电缆分支箱（一进四出）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3.规格：600*800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2.材质：钢管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3.规格：DN150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4.敷设方式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工程名称：郭庄村南大棚配变线路改造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电杆组立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2.材质：混凝土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3.规格：150*10M</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4.类型：预应力</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5.地形：平原</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6.土质：一般土地</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7.底盘、拉盘、卡盘规格</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8.拉线材质、规格、类型</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9.现浇基础类型、钢筋类型、规格，基础垫</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层要求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10.电杆防腐要求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电杆拉线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1.名称：拉线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2.拉盘规格：40*4</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3.拉线材质、规格、类型：钢绞</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1.名称：耐张担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1.名称：直线担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3.规格：70*7*1800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横担组装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1.名称：直线担</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2.材质：铁</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3.规格：50*5*1500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2.型号：JKLYJ-1*120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030410003003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导线架设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1.名称：架空绝缘线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2.型号：JKLYJ-1*25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电力电缆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1.名称：低压电缆</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2.型号：YJLV</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3.规格：4*35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1.名称：电缆终端头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2.型号：35²</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三相电表箱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1.名称：电表箱4路（不含电表）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2.型号：户外不锈钢</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3.规格：600*800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工程名称：郭庄村南大棚配变线路改造</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三相电表箱</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1.名称：电表箱6表位（不含电表）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2.型号：非金属表箱</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3.规格：600*800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1.名称：电缆保护管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2.材质：钢管</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3.规格：DN150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4.敷设方式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pStyle w:val="2"/>
        <w:rPr>
          <w:rFonts w:hint="default" w:eastAsia="宋体"/>
          <w:lang w:val="en-US" w:eastAsia="zh-CN"/>
        </w:rPr>
        <w:sectPr>
          <w:headerReference r:id="rId10" w:type="first"/>
          <w:headerReference r:id="rId9" w:type="default"/>
          <w:pgSz w:w="11905" w:h="16838"/>
          <w:pgMar w:top="850" w:right="850" w:bottom="850" w:left="850" w:header="850" w:footer="992" w:gutter="0"/>
          <w:pgNumType w:fmt="numberInDash"/>
          <w:cols w:space="0" w:num="1"/>
          <w:titlePg/>
          <w:rtlGutter w:val="1"/>
          <w:docGrid w:type="linesAndChars" w:linePitch="291" w:charSpace="409"/>
        </w:sectPr>
      </w:pPr>
    </w:p>
    <w:p>
      <w:pPr>
        <w:wordWrap w:val="0"/>
        <w:topLinePunct/>
        <w:adjustRightInd w:val="0"/>
        <w:snapToGrid w:val="0"/>
        <w:spacing w:line="360" w:lineRule="auto"/>
        <w:jc w:val="center"/>
        <w:outlineLvl w:val="0"/>
        <w:rPr>
          <w:rFonts w:ascii="宋体" w:hAnsi="宋体" w:cs="宋体"/>
          <w:b/>
          <w:sz w:val="32"/>
          <w:szCs w:val="32"/>
        </w:rPr>
      </w:pPr>
      <w:bookmarkStart w:id="26" w:name="_Toc3918"/>
      <w:r>
        <w:rPr>
          <w:rFonts w:hint="eastAsia" w:ascii="宋体" w:hAnsi="宋体" w:cs="宋体"/>
          <w:b/>
          <w:sz w:val="32"/>
          <w:szCs w:val="32"/>
        </w:rPr>
        <w:t>第五部分  合同授予</w:t>
      </w:r>
      <w:bookmarkEnd w:id="21"/>
      <w:bookmarkEnd w:id="22"/>
      <w:bookmarkEnd w:id="23"/>
      <w:bookmarkEnd w:id="24"/>
      <w:bookmarkEnd w:id="26"/>
    </w:p>
    <w:bookmarkEnd w:id="25"/>
    <w:p>
      <w:pPr>
        <w:wordWrap w:val="0"/>
        <w:topLinePunct/>
        <w:adjustRightInd w:val="0"/>
        <w:snapToGrid w:val="0"/>
        <w:spacing w:line="360" w:lineRule="auto"/>
        <w:rPr>
          <w:rFonts w:ascii="宋体" w:hAnsi="宋体" w:cs="宋体"/>
          <w:b/>
          <w:bCs/>
          <w:kern w:val="0"/>
          <w:sz w:val="24"/>
        </w:rPr>
      </w:pPr>
      <w:r>
        <w:rPr>
          <w:rFonts w:hint="eastAsia" w:ascii="宋体" w:hAnsi="宋体" w:cs="宋体"/>
          <w:b/>
          <w:bCs/>
          <w:kern w:val="0"/>
          <w:sz w:val="24"/>
        </w:rPr>
        <w:t>一、签订合同：</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kern w:val="0"/>
          <w:sz w:val="24"/>
        </w:rPr>
        <w:t>磋商结果公示结束后发出成交通知书，成交通知书发出</w:t>
      </w:r>
      <w:r>
        <w:rPr>
          <w:rFonts w:hint="eastAsia" w:ascii="宋体" w:hAnsi="宋体" w:cs="宋体"/>
          <w:kern w:val="0"/>
          <w:sz w:val="24"/>
          <w:lang w:val="en-US" w:eastAsia="zh-CN"/>
        </w:rPr>
        <w:t>30</w:t>
      </w:r>
      <w:r>
        <w:rPr>
          <w:rFonts w:hint="eastAsia" w:ascii="宋体" w:hAnsi="宋体" w:cs="宋体"/>
          <w:kern w:val="0"/>
          <w:sz w:val="24"/>
        </w:rPr>
        <w:t>个工作日内，由采购人和成交供应商完成合同签订，否则视为成交供应商自动放弃成交资格，合同签订的内容不能超出磋商文件、成交供应商的响应文件、</w:t>
      </w:r>
      <w:r>
        <w:rPr>
          <w:rFonts w:hint="eastAsia" w:ascii="宋体" w:hAnsi="宋体" w:cs="宋体"/>
          <w:bCs/>
          <w:sz w:val="24"/>
        </w:rPr>
        <w:t>磋商</w:t>
      </w:r>
      <w:r>
        <w:rPr>
          <w:rFonts w:hint="eastAsia" w:ascii="宋体" w:hAnsi="宋体" w:cs="宋体"/>
          <w:kern w:val="0"/>
          <w:sz w:val="24"/>
        </w:rPr>
        <w:t>过程中的补充承诺、最终书面报价等的实质性内容。因供应商原因不能与采购人签订合同的，视为供应商放弃成交资格。</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二、合同格式：</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kern w:val="0"/>
          <w:sz w:val="24"/>
        </w:rPr>
        <w:t>本合同格式为参考格式，具体内容以采购人和成交供应商双方最终协商确定的为准。</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kern w:val="0"/>
          <w:sz w:val="24"/>
        </w:rPr>
        <w:t>合同格式中的甲方系指采购人，乙方系指成交供应商。</w:t>
      </w:r>
    </w:p>
    <w:p>
      <w:pPr>
        <w:wordWrap w:val="0"/>
        <w:topLinePunct/>
        <w:adjustRightInd w:val="0"/>
        <w:snapToGrid w:val="0"/>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合同协议书</w:t>
      </w:r>
    </w:p>
    <w:p>
      <w:pPr>
        <w:wordWrap w:val="0"/>
        <w:topLinePunct/>
        <w:adjustRightInd w:val="0"/>
        <w:snapToGrid w:val="0"/>
        <w:spacing w:line="360" w:lineRule="auto"/>
        <w:rPr>
          <w:rFonts w:ascii="宋体" w:hAnsi="宋体" w:cs="宋体"/>
          <w:b/>
          <w:sz w:val="24"/>
          <w:u w:val="single"/>
        </w:rPr>
      </w:pPr>
      <w:r>
        <w:rPr>
          <w:rFonts w:hint="eastAsia" w:ascii="宋体" w:hAnsi="宋体" w:cs="宋体"/>
          <w:b/>
          <w:sz w:val="24"/>
        </w:rPr>
        <w:t>合同双方（甲方）</w:t>
      </w:r>
      <w:r>
        <w:rPr>
          <w:rFonts w:hint="eastAsia" w:ascii="宋体" w:hAnsi="宋体" w:cs="宋体"/>
          <w:b/>
          <w:sz w:val="24"/>
          <w:u w:val="single"/>
        </w:rPr>
        <w:t xml:space="preserve">                                           </w:t>
      </w:r>
    </w:p>
    <w:p>
      <w:pPr>
        <w:wordWrap w:val="0"/>
        <w:topLinePunct/>
        <w:adjustRightInd w:val="0"/>
        <w:snapToGrid w:val="0"/>
        <w:spacing w:line="360" w:lineRule="auto"/>
        <w:ind w:firstLine="964" w:firstLineChars="400"/>
        <w:rPr>
          <w:rFonts w:ascii="宋体" w:hAnsi="宋体" w:cs="宋体"/>
          <w:sz w:val="24"/>
          <w:u w:val="single"/>
        </w:rPr>
      </w:pPr>
      <w:r>
        <w:rPr>
          <w:rFonts w:hint="eastAsia" w:ascii="宋体" w:hAnsi="宋体" w:cs="宋体"/>
          <w:b/>
          <w:sz w:val="24"/>
        </w:rPr>
        <w:t>（乙方）</w:t>
      </w:r>
      <w:r>
        <w:rPr>
          <w:rFonts w:hint="eastAsia" w:ascii="宋体" w:hAnsi="宋体" w:cs="宋体"/>
          <w:b/>
          <w:sz w:val="24"/>
          <w:u w:val="single"/>
        </w:rPr>
        <w:t xml:space="preserve">                                          </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经竞标确定由乙方成交人，为确保工程顺利完成，现就工程施工有关事宜双方协商达成如下协议。</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一、工程概况：</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1、工程名称：</w:t>
      </w:r>
      <w:r>
        <w:rPr>
          <w:rFonts w:hint="eastAsia" w:ascii="宋体" w:hAnsi="宋体" w:cs="宋体"/>
          <w:sz w:val="24"/>
          <w:lang w:eastAsia="zh-CN"/>
        </w:rPr>
        <w:t>邹城市千泉街道郭庄社区线路改造工程</w:t>
      </w:r>
      <w:r>
        <w:rPr>
          <w:rFonts w:hint="eastAsia" w:ascii="宋体" w:hAnsi="宋体" w:cs="宋体"/>
          <w:bCs/>
          <w:kern w:val="0"/>
          <w:sz w:val="24"/>
        </w:rPr>
        <w:t xml:space="preserve">                      </w:t>
      </w:r>
    </w:p>
    <w:p>
      <w:pPr>
        <w:wordWrap w:val="0"/>
        <w:topLinePunct/>
        <w:adjustRightInd w:val="0"/>
        <w:snapToGrid w:val="0"/>
        <w:spacing w:line="360" w:lineRule="auto"/>
        <w:ind w:firstLine="482" w:firstLineChars="200"/>
        <w:rPr>
          <w:rFonts w:hint="eastAsia" w:ascii="宋体" w:hAnsi="宋体" w:eastAsia="宋体" w:cs="宋体"/>
          <w:sz w:val="24"/>
          <w:lang w:eastAsia="zh-CN"/>
        </w:rPr>
      </w:pPr>
      <w:r>
        <w:rPr>
          <w:rFonts w:hint="eastAsia" w:ascii="宋体" w:hAnsi="宋体" w:cs="宋体"/>
          <w:sz w:val="24"/>
        </w:rPr>
        <w:t>2、工程地点：</w:t>
      </w:r>
      <w:r>
        <w:rPr>
          <w:rFonts w:hint="eastAsia" w:ascii="宋体" w:hAnsi="宋体" w:cs="宋体"/>
          <w:sz w:val="24"/>
          <w:lang w:eastAsia="zh-CN"/>
        </w:rPr>
        <w:t>邹城市千泉街道郭庄社区居民委员会驻地</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3、工程内容：</w:t>
      </w:r>
    </w:p>
    <w:p>
      <w:pPr>
        <w:wordWrap w:val="0"/>
        <w:topLinePunct/>
        <w:adjustRightInd w:val="0"/>
        <w:snapToGrid w:val="0"/>
        <w:spacing w:line="360" w:lineRule="auto"/>
        <w:ind w:firstLine="482" w:firstLineChars="200"/>
        <w:rPr>
          <w:rFonts w:ascii="宋体" w:hAnsi="宋体" w:cs="宋体"/>
          <w:kern w:val="0"/>
          <w:sz w:val="24"/>
        </w:rPr>
      </w:pPr>
      <w:r>
        <w:rPr>
          <w:rFonts w:hint="eastAsia" w:ascii="宋体" w:hAnsi="宋体" w:cs="宋体"/>
          <w:sz w:val="24"/>
        </w:rPr>
        <w:t>4、工程质量要求：</w:t>
      </w:r>
      <w:r>
        <w:rPr>
          <w:rFonts w:hint="eastAsia" w:ascii="宋体" w:hAnsi="宋体" w:cs="宋体"/>
          <w:kern w:val="0"/>
          <w:sz w:val="24"/>
        </w:rPr>
        <w:t>合格</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5、合同金额：</w:t>
      </w:r>
      <w:r>
        <w:rPr>
          <w:rFonts w:hint="eastAsia" w:ascii="宋体" w:hAnsi="宋体" w:cs="宋体"/>
          <w:sz w:val="24"/>
          <w:u w:val="single"/>
        </w:rPr>
        <w:t xml:space="preserve">           </w:t>
      </w:r>
      <w:r>
        <w:rPr>
          <w:rFonts w:hint="eastAsia" w:ascii="宋体" w:hAnsi="宋体" w:cs="宋体"/>
          <w:sz w:val="24"/>
        </w:rPr>
        <w:t>元。</w:t>
      </w:r>
      <w:bookmarkStart w:id="27" w:name="_Toc7606"/>
      <w:bookmarkStart w:id="28" w:name="_Toc15147"/>
      <w:bookmarkStart w:id="29" w:name="_Toc424914274"/>
      <w:bookmarkStart w:id="30" w:name="_Toc196637767"/>
      <w:bookmarkStart w:id="31" w:name="_Toc184635098"/>
      <w:bookmarkStart w:id="32" w:name="_Toc224699375"/>
      <w:bookmarkStart w:id="33" w:name="_Toc196637413"/>
      <w:bookmarkStart w:id="34" w:name="_Toc196637649"/>
    </w:p>
    <w:p>
      <w:pPr>
        <w:wordWrap w:val="0"/>
        <w:topLinePunct/>
        <w:adjustRightInd w:val="0"/>
        <w:snapToGrid w:val="0"/>
        <w:spacing w:line="360" w:lineRule="auto"/>
        <w:rPr>
          <w:rFonts w:ascii="宋体" w:hAnsi="宋体" w:cs="宋体"/>
          <w:b/>
          <w:sz w:val="24"/>
        </w:rPr>
      </w:pPr>
      <w:r>
        <w:rPr>
          <w:rFonts w:hint="eastAsia" w:ascii="宋体" w:hAnsi="宋体" w:cs="宋体"/>
          <w:b/>
          <w:sz w:val="24"/>
        </w:rPr>
        <w:t>二、合同工期：</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日计划开工，</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日计划竣工，施工总工期：</w:t>
      </w:r>
      <w:r>
        <w:rPr>
          <w:rFonts w:hint="eastAsia" w:ascii="宋体" w:hAnsi="宋体" w:cs="宋体"/>
          <w:sz w:val="24"/>
          <w:u w:val="single"/>
        </w:rPr>
        <w:t xml:space="preserve">    </w:t>
      </w:r>
      <w:r>
        <w:rPr>
          <w:rFonts w:hint="eastAsia" w:ascii="宋体" w:hAnsi="宋体" w:cs="宋体"/>
          <w:sz w:val="24"/>
        </w:rPr>
        <w:t>日历天。</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三、结算与付款：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各分项工程完成后，乙方自检合格，然后以书面形式（含内业资料），报甲方验收,甲方验收确认合格并签字后，乙方方可进行下一道</w:t>
      </w:r>
      <w:r>
        <w:rPr>
          <w:rFonts w:hint="eastAsia" w:ascii="宋体" w:hAnsi="宋体" w:cs="宋体"/>
          <w:sz w:val="24"/>
          <w:lang w:eastAsia="zh-CN"/>
        </w:rPr>
        <w:t>工序地施工</w:t>
      </w:r>
      <w:r>
        <w:rPr>
          <w:rFonts w:hint="eastAsia" w:ascii="宋体" w:hAnsi="宋体" w:cs="宋体"/>
          <w:sz w:val="24"/>
        </w:rPr>
        <w:t>；若验收不合格，乙方必须进行返工，待自检合格后重新报验。全部工程按合同及设计要求完成后，由施工单位提交验收申请报告，甲方组织验收，竣工验收证书作为结算工程价款的依据。</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乙方对其改造的工程具有保修的责任和义务，本工程质量质保期为</w:t>
      </w:r>
      <w:r>
        <w:rPr>
          <w:rFonts w:hint="eastAsia" w:ascii="宋体" w:hAnsi="宋体" w:cs="宋体"/>
          <w:sz w:val="24"/>
          <w:u w:val="single"/>
        </w:rPr>
        <w:t>2年</w:t>
      </w:r>
      <w:r>
        <w:rPr>
          <w:rFonts w:hint="eastAsia" w:ascii="宋体" w:hAnsi="宋体" w:cs="宋体"/>
          <w:sz w:val="24"/>
        </w:rPr>
        <w:t>，质量保证金为工程审定造价的</w:t>
      </w:r>
      <w:r>
        <w:rPr>
          <w:rFonts w:hint="eastAsia" w:ascii="宋体" w:hAnsi="宋体" w:cs="宋体"/>
          <w:sz w:val="24"/>
          <w:u w:val="single"/>
        </w:rPr>
        <w:t>3％</w:t>
      </w:r>
      <w:r>
        <w:rPr>
          <w:rFonts w:hint="eastAsia" w:ascii="宋体" w:hAnsi="宋体" w:cs="宋体"/>
          <w:sz w:val="24"/>
        </w:rPr>
        <w:t>，在工程质量质保期内发生质量问题，乙方应当履行保修义务，费用自负，在质保期内乙方接到甲方通知后应及时维修，不得拖延。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工程实施中，如需增加或减少工程内容，必须报请甲方认可，双方签字盖章后方可生效实施。变更工程价款的增加或减少额，以甲方经审计后的分部分项照价清单为准，工程量按实计算。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2、工程款支付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wordWrap w:val="0"/>
        <w:topLinePunct/>
        <w:adjustRightInd w:val="0"/>
        <w:snapToGrid w:val="0"/>
        <w:spacing w:line="360" w:lineRule="auto"/>
        <w:ind w:firstLine="474" w:firstLineChars="200"/>
        <w:jc w:val="left"/>
        <w:rPr>
          <w:rFonts w:hint="eastAsia" w:ascii="宋体" w:hAnsi="宋体" w:cs="宋体"/>
          <w:b/>
          <w:spacing w:val="-2"/>
          <w:sz w:val="24"/>
          <w:highlight w:val="none"/>
          <w:u w:val="single"/>
          <w:lang w:eastAsia="zh-CN"/>
        </w:rPr>
      </w:pPr>
      <w:r>
        <w:rPr>
          <w:rFonts w:hint="eastAsia" w:ascii="宋体" w:hAnsi="宋体" w:cs="宋体"/>
          <w:b/>
          <w:spacing w:val="-2"/>
          <w:sz w:val="24"/>
          <w:highlight w:val="none"/>
          <w:u w:val="single"/>
          <w:lang w:eastAsia="zh-CN"/>
        </w:rPr>
        <w:t>本工程无预付款，工程审计验收合格后付至审定价款的30%，剩余70%，三年内无息付清。</w:t>
      </w:r>
    </w:p>
    <w:p>
      <w:pPr>
        <w:wordWrap w:val="0"/>
        <w:topLinePunct/>
        <w:adjustRightInd w:val="0"/>
        <w:snapToGrid w:val="0"/>
        <w:spacing w:line="360" w:lineRule="auto"/>
        <w:rPr>
          <w:rFonts w:ascii="宋体" w:hAnsi="宋体" w:cs="宋体"/>
          <w:b/>
          <w:bCs/>
          <w:sz w:val="24"/>
        </w:rPr>
      </w:pPr>
      <w:r>
        <w:rPr>
          <w:rFonts w:hint="eastAsia" w:ascii="宋体" w:hAnsi="宋体" w:cs="宋体"/>
          <w:b/>
          <w:sz w:val="24"/>
        </w:rPr>
        <w:t>四、</w:t>
      </w:r>
      <w:r>
        <w:rPr>
          <w:rFonts w:hint="eastAsia" w:ascii="宋体" w:hAnsi="宋体" w:cs="宋体"/>
          <w:b/>
          <w:bCs/>
          <w:sz w:val="24"/>
        </w:rPr>
        <w:t>双方责任</w:t>
      </w:r>
      <w:r>
        <w:rPr>
          <w:rFonts w:hint="eastAsia" w:ascii="宋体" w:hAnsi="宋体" w:cs="宋体"/>
          <w:b/>
          <w:bCs/>
          <w:sz w:val="24"/>
          <w:lang w:eastAsia="zh-CN"/>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（一）甲方责任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1、按约定的拨款办法如期拨款和结算。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2、指派</w:t>
      </w:r>
      <w:r>
        <w:rPr>
          <w:rFonts w:hint="eastAsia" w:ascii="宋体" w:hAnsi="宋体" w:cs="宋体"/>
          <w:sz w:val="24"/>
          <w:u w:val="single"/>
        </w:rPr>
        <w:t xml:space="preserve">     </w:t>
      </w:r>
      <w:r>
        <w:rPr>
          <w:rFonts w:hint="eastAsia" w:ascii="宋体" w:hAnsi="宋体" w:cs="宋体"/>
          <w:sz w:val="24"/>
        </w:rPr>
        <w:t xml:space="preserve"> 同志为甲方工地代表，对工程进度、质量进行检查及办理施工中的各种签证。</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4、负责清理现场及附属物。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（二）乙方责任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1、协调工程所在地的外部关系及村民地方关系。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2、负责编制施工方案，按甲方同意的方案组织施工。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3、负责办理开竣工等有关资料的填报。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4、工程完工后，负责清理现场，提供竣工验收资料和竣工结算资料，参加工程竣工验收。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5、指派</w:t>
      </w:r>
      <w:r>
        <w:rPr>
          <w:rFonts w:hint="eastAsia" w:ascii="宋体" w:hAnsi="宋体" w:cs="宋体"/>
          <w:sz w:val="24"/>
          <w:u w:val="single"/>
        </w:rPr>
        <w:t xml:space="preserve">      </w:t>
      </w:r>
      <w:r>
        <w:rPr>
          <w:rFonts w:hint="eastAsia" w:ascii="宋体" w:hAnsi="宋体" w:cs="宋体"/>
          <w:sz w:val="24"/>
        </w:rPr>
        <w:t>同志为乙方工地项目代表，负责施工现场的管理与联系工作。</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6、自行负责施工中发生的一切人身和机械事故，自行处理非甲方原因造成的民事纠纷。</w:t>
      </w:r>
    </w:p>
    <w:p>
      <w:pPr>
        <w:wordWrap w:val="0"/>
        <w:topLinePunct/>
        <w:adjustRightInd w:val="0"/>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7、承包人不得将其承包的全部或部分工程转包给第三人，或将其承包的全部工程肢解后以分包的名义转包给第三人，如有违反，发包人可以单方面提出终止合同且有权不予支付本项目产生的一切费用。</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五、其他：</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1、本合同未尽事宜双方协商解决</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2、本合同一式六份，双方签字盖章后生效，合同条款全部履行完毕后自行失效。</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甲  方：（公章）                                       负责人：</w:t>
      </w:r>
    </w:p>
    <w:p>
      <w:pPr>
        <w:wordWrap w:val="0"/>
        <w:topLinePunct/>
        <w:adjustRightInd w:val="0"/>
        <w:snapToGrid w:val="0"/>
        <w:spacing w:line="360" w:lineRule="auto"/>
        <w:ind w:firstLine="482" w:firstLineChars="200"/>
        <w:rPr>
          <w:rFonts w:ascii="宋体" w:hAnsi="宋体" w:cs="宋体"/>
          <w:sz w:val="24"/>
        </w:rPr>
      </w:pPr>
    </w:p>
    <w:p>
      <w:pPr>
        <w:wordWrap w:val="0"/>
        <w:topLinePunct/>
        <w:adjustRightInd w:val="0"/>
        <w:snapToGrid w:val="0"/>
        <w:spacing w:line="360" w:lineRule="auto"/>
        <w:ind w:firstLine="6989" w:firstLineChars="2900"/>
        <w:rPr>
          <w:rFonts w:ascii="宋体" w:hAnsi="宋体" w:cs="宋体"/>
          <w:sz w:val="24"/>
        </w:rPr>
      </w:pPr>
      <w:r>
        <w:rPr>
          <w:rFonts w:hint="eastAsia" w:ascii="宋体" w:hAnsi="宋体" w:cs="宋体"/>
          <w:sz w:val="24"/>
        </w:rPr>
        <w:t>分管人：</w:t>
      </w:r>
    </w:p>
    <w:p>
      <w:pPr>
        <w:wordWrap w:val="0"/>
        <w:topLinePunct/>
        <w:adjustRightInd w:val="0"/>
        <w:snapToGrid w:val="0"/>
        <w:spacing w:line="360" w:lineRule="auto"/>
        <w:ind w:left="6960" w:hanging="6989" w:hangingChars="2900"/>
        <w:rPr>
          <w:rFonts w:hint="eastAsia" w:ascii="宋体" w:hAnsi="宋体" w:eastAsia="宋体" w:cs="宋体"/>
          <w:sz w:val="24"/>
          <w:lang w:eastAsia="zh-CN"/>
        </w:rPr>
      </w:pPr>
      <w:r>
        <w:rPr>
          <w:rFonts w:hint="eastAsia" w:ascii="宋体" w:hAnsi="宋体" w:cs="宋体"/>
          <w:sz w:val="24"/>
        </w:rPr>
        <w:t xml:space="preserve"> </w:t>
      </w:r>
    </w:p>
    <w:p>
      <w:pPr>
        <w:wordWrap w:val="0"/>
        <w:topLinePunct/>
        <w:adjustRightInd w:val="0"/>
        <w:snapToGrid w:val="0"/>
        <w:spacing w:line="360" w:lineRule="auto"/>
        <w:ind w:left="6960" w:hanging="6989" w:hangingChars="2900"/>
        <w:rPr>
          <w:rFonts w:ascii="宋体" w:hAnsi="宋体" w:cs="宋体"/>
          <w:sz w:val="24"/>
        </w:rPr>
      </w:pPr>
      <w:r>
        <w:rPr>
          <w:rFonts w:hint="eastAsia" w:ascii="宋体" w:hAnsi="宋体" w:cs="宋体"/>
          <w:sz w:val="24"/>
        </w:rPr>
        <w:t>经办人：</w:t>
      </w:r>
    </w:p>
    <w:p>
      <w:pPr>
        <w:wordWrap w:val="0"/>
        <w:topLinePunct/>
        <w:adjustRightInd w:val="0"/>
        <w:snapToGrid w:val="0"/>
        <w:spacing w:line="360" w:lineRule="auto"/>
        <w:ind w:firstLine="482" w:firstLineChars="200"/>
        <w:rPr>
          <w:rFonts w:ascii="宋体" w:hAnsi="宋体" w:cs="宋体"/>
          <w:sz w:val="24"/>
        </w:rPr>
      </w:pPr>
    </w:p>
    <w:p>
      <w:pPr>
        <w:wordWrap w:val="0"/>
        <w:topLinePunct/>
        <w:adjustRightInd w:val="0"/>
        <w:snapToGrid w:val="0"/>
        <w:spacing w:line="360" w:lineRule="auto"/>
        <w:ind w:firstLine="482" w:firstLineChars="200"/>
        <w:jc w:val="right"/>
        <w:rPr>
          <w:rFonts w:ascii="宋体" w:hAnsi="宋体" w:cs="宋体"/>
          <w:sz w:val="24"/>
        </w:rPr>
      </w:pPr>
      <w:r>
        <w:rPr>
          <w:rFonts w:hint="eastAsia" w:ascii="宋体" w:hAnsi="宋体" w:cs="宋体"/>
          <w:sz w:val="24"/>
        </w:rPr>
        <w:t>年     月     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 xml:space="preserve">乙  方： </w:t>
      </w:r>
      <w:r>
        <w:rPr>
          <w:rFonts w:hint="eastAsia" w:ascii="宋体" w:hAnsi="宋体" w:cs="宋体"/>
          <w:sz w:val="24"/>
          <w:lang w:eastAsia="zh-CN"/>
        </w:rPr>
        <w:t>（</w:t>
      </w:r>
      <w:r>
        <w:rPr>
          <w:rFonts w:hint="eastAsia" w:ascii="宋体" w:hAnsi="宋体" w:cs="宋体"/>
          <w:sz w:val="24"/>
        </w:rPr>
        <w:t xml:space="preserve">盖章）                                      负责人： </w:t>
      </w: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ind w:firstLine="6989" w:firstLineChars="2900"/>
        <w:rPr>
          <w:rFonts w:ascii="宋体" w:hAnsi="宋体" w:cs="宋体"/>
          <w:sz w:val="24"/>
        </w:rPr>
      </w:pPr>
      <w:r>
        <w:rPr>
          <w:rFonts w:hint="eastAsia" w:ascii="宋体" w:hAnsi="宋体" w:cs="宋体"/>
          <w:sz w:val="24"/>
        </w:rPr>
        <w:t>经办人：</w:t>
      </w:r>
    </w:p>
    <w:p>
      <w:pPr>
        <w:wordWrap w:val="0"/>
        <w:topLinePunct/>
        <w:adjustRightInd w:val="0"/>
        <w:snapToGrid w:val="0"/>
        <w:spacing w:line="360" w:lineRule="auto"/>
        <w:jc w:val="right"/>
        <w:rPr>
          <w:rFonts w:ascii="宋体" w:hAnsi="宋体" w:cs="宋体"/>
          <w:sz w:val="24"/>
        </w:rPr>
      </w:pPr>
    </w:p>
    <w:p>
      <w:pPr>
        <w:wordWrap w:val="0"/>
        <w:topLinePunct/>
        <w:adjustRightInd w:val="0"/>
        <w:snapToGrid w:val="0"/>
        <w:spacing w:line="360" w:lineRule="auto"/>
        <w:jc w:val="right"/>
        <w:rPr>
          <w:rFonts w:ascii="宋体" w:hAnsi="宋体" w:cs="宋体"/>
          <w:sz w:val="24"/>
        </w:rPr>
      </w:pPr>
      <w:r>
        <w:rPr>
          <w:rFonts w:hint="eastAsia" w:ascii="宋体" w:hAnsi="宋体" w:cs="宋体"/>
          <w:sz w:val="24"/>
        </w:rPr>
        <w:t>年     月     日</w:t>
      </w:r>
    </w:p>
    <w:p>
      <w:pPr>
        <w:wordWrap w:val="0"/>
        <w:topLinePunct/>
        <w:adjustRightInd w:val="0"/>
        <w:snapToGrid w:val="0"/>
        <w:spacing w:line="360" w:lineRule="auto"/>
        <w:ind w:firstLine="482" w:firstLineChars="200"/>
      </w:pPr>
      <w:r>
        <w:rPr>
          <w:rFonts w:hint="eastAsia" w:ascii="宋体" w:hAnsi="宋体" w:cs="宋体"/>
          <w:sz w:val="24"/>
        </w:rPr>
        <w:t>签约地点：</w:t>
      </w:r>
      <w:r>
        <w:rPr>
          <w:rFonts w:hint="eastAsia" w:ascii="宋体" w:hAnsi="宋体" w:cs="宋体"/>
          <w:sz w:val="24"/>
          <w:u w:val="single"/>
        </w:rPr>
        <w:t xml:space="preserve">                                    </w:t>
      </w:r>
    </w:p>
    <w:p/>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r>
        <w:rPr>
          <w:rFonts w:hint="eastAsia" w:ascii="宋体" w:hAnsi="宋体" w:eastAsia="宋体" w:cs="宋体"/>
          <w:sz w:val="24"/>
          <w:szCs w:val="24"/>
        </w:rPr>
        <w:t>第一节  通用合同条款</w:t>
      </w:r>
      <w:bookmarkEnd w:id="27"/>
      <w:bookmarkEnd w:id="28"/>
      <w:bookmarkEnd w:id="29"/>
    </w:p>
    <w:p>
      <w:pPr>
        <w:wordWrap w:val="0"/>
        <w:topLinePunct/>
        <w:adjustRightInd w:val="0"/>
        <w:snapToGrid w:val="0"/>
        <w:spacing w:line="360" w:lineRule="auto"/>
        <w:jc w:val="center"/>
        <w:rPr>
          <w:rFonts w:ascii="宋体" w:hAnsi="宋体" w:cs="宋体"/>
          <w:sz w:val="24"/>
        </w:rPr>
      </w:pPr>
      <w:r>
        <w:rPr>
          <w:rFonts w:hint="eastAsia" w:ascii="宋体" w:hAnsi="宋体" w:cs="宋体"/>
          <w:sz w:val="24"/>
        </w:rPr>
        <w:t>通用合同条款（见《中国人民共和国标准施工招标文件》2007版</w:t>
      </w:r>
    </w:p>
    <w:bookmarkEnd w:id="30"/>
    <w:bookmarkEnd w:id="31"/>
    <w:bookmarkEnd w:id="32"/>
    <w:bookmarkEnd w:id="33"/>
    <w:bookmarkEnd w:id="34"/>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bookmarkStart w:id="35" w:name="_Toc424914275"/>
      <w:bookmarkStart w:id="36" w:name="_Toc366591273"/>
      <w:bookmarkStart w:id="37" w:name="_Toc300901177"/>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rPr>
          <w:rFonts w:ascii="宋体" w:hAnsi="宋体" w:cs="宋体"/>
          <w:sz w:val="24"/>
        </w:rPr>
      </w:pPr>
    </w:p>
    <w:p>
      <w:pPr>
        <w:pStyle w:val="2"/>
        <w:rPr>
          <w:rFonts w:ascii="宋体" w:hAnsi="宋体" w:cs="宋体"/>
          <w:szCs w:val="24"/>
        </w:rPr>
      </w:pPr>
    </w:p>
    <w:p>
      <w:pPr>
        <w:rPr>
          <w:rFonts w:ascii="宋体" w:hAnsi="宋体" w:cs="宋体"/>
          <w:szCs w:val="24"/>
        </w:rPr>
      </w:pPr>
    </w:p>
    <w:p>
      <w:pPr>
        <w:pStyle w:val="2"/>
      </w:pPr>
    </w:p>
    <w:p>
      <w:pPr>
        <w:rPr>
          <w:rFonts w:ascii="宋体" w:hAnsi="宋体" w:cs="宋体"/>
          <w:sz w:val="24"/>
        </w:rPr>
      </w:pPr>
    </w:p>
    <w:p>
      <w:pPr>
        <w:pStyle w:val="4"/>
        <w:keepNext w:val="0"/>
        <w:keepLines w:val="0"/>
        <w:wordWrap w:val="0"/>
        <w:topLinePunct/>
        <w:adjustRightInd w:val="0"/>
        <w:snapToGrid w:val="0"/>
        <w:spacing w:before="0" w:after="0" w:line="360" w:lineRule="auto"/>
        <w:jc w:val="center"/>
        <w:rPr>
          <w:rFonts w:ascii="宋体" w:hAnsi="宋体" w:eastAsia="宋体" w:cs="宋体"/>
          <w:sz w:val="24"/>
          <w:szCs w:val="24"/>
        </w:rPr>
      </w:pPr>
      <w:r>
        <w:rPr>
          <w:rFonts w:hint="eastAsia" w:ascii="宋体" w:hAnsi="宋体" w:eastAsia="宋体" w:cs="宋体"/>
          <w:sz w:val="24"/>
          <w:szCs w:val="24"/>
        </w:rPr>
        <w:t>第二节  专用合同条款</w:t>
      </w:r>
      <w:bookmarkEnd w:id="35"/>
      <w:bookmarkEnd w:id="36"/>
      <w:bookmarkEnd w:id="37"/>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1.一般约定</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1.1词语定义</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1.1.2合同当事人和人员</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1.1.2.2发包人：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1.1.2.6监理人：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1.1.2.8发包人代表：指发包人指定的派驻施工场地</w:t>
      </w:r>
      <w:r>
        <w:rPr>
          <w:rFonts w:hint="eastAsia" w:ascii="宋体" w:hAnsi="宋体" w:cs="宋体"/>
          <w:sz w:val="24"/>
          <w:lang w:eastAsia="zh-CN"/>
        </w:rPr>
        <w:t>（</w:t>
      </w:r>
      <w:r>
        <w:rPr>
          <w:rFonts w:hint="eastAsia" w:ascii="宋体" w:hAnsi="宋体" w:cs="宋体"/>
          <w:sz w:val="24"/>
        </w:rPr>
        <w:t>现场</w:t>
      </w:r>
      <w:r>
        <w:rPr>
          <w:rFonts w:hint="eastAsia" w:ascii="宋体" w:hAnsi="宋体" w:cs="宋体"/>
          <w:sz w:val="24"/>
          <w:lang w:eastAsia="zh-CN"/>
        </w:rPr>
        <w:t>）</w:t>
      </w:r>
      <w:r>
        <w:rPr>
          <w:rFonts w:hint="eastAsia" w:ascii="宋体" w:hAnsi="宋体" w:cs="宋体"/>
          <w:sz w:val="24"/>
        </w:rPr>
        <w:t>的全权代表。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职    称：</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1.1.2.9 专业分包人：指根据合同条款第15.8.1项的约定，由发包人和承包人以竞争性磋商方式选择的分包人。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1.1.2.10 专项供应商：指根据合同条款第15.8.1项的约定，由发包人和承包人以竞争性磋商方式选择的供应商。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1.1.2.11独立承包人：指与发包人直接订立工程承包合同，负责实施与工程有关的其他工作的当事人。</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1.1.3工程和设备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1.1.3.2永久工程：</w:t>
      </w:r>
      <w:r>
        <w:rPr>
          <w:rFonts w:hint="eastAsia" w:ascii="宋体" w:hAnsi="宋体" w:cs="宋体"/>
          <w:sz w:val="24"/>
          <w:u w:val="single"/>
        </w:rPr>
        <w:t>按合同约定建造并移交给发包人的工程，包括工程设备</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1.1.3.3临时工程：</w:t>
      </w:r>
      <w:r>
        <w:rPr>
          <w:rFonts w:hint="eastAsia" w:ascii="宋体" w:hAnsi="宋体" w:cs="宋体"/>
          <w:sz w:val="24"/>
          <w:u w:val="single"/>
        </w:rPr>
        <w:t>为完成合同约定的永久工程所修建的各类临时性工程，不包括施工设备</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1.1.3.4单位工程：指具有相对独立的设计文件，能够独立组织施工并能形成独立使用功能的永久工程的组成部分。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1.1.3.10永久占地：</w:t>
      </w:r>
      <w:r>
        <w:rPr>
          <w:rFonts w:hint="eastAsia" w:ascii="宋体" w:hAnsi="宋体" w:cs="宋体"/>
          <w:sz w:val="24"/>
          <w:u w:val="single"/>
        </w:rPr>
        <w:t>指为实施本合同工程而需要的一切永久占用的土地</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1.1.3.11临时占地：</w:t>
      </w:r>
      <w:r>
        <w:rPr>
          <w:rFonts w:hint="eastAsia" w:ascii="宋体" w:hAnsi="宋体" w:cs="宋体"/>
          <w:sz w:val="24"/>
          <w:u w:val="single"/>
        </w:rPr>
        <w:t>指为实施本合同工程而需要的一切临时占用的土地</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1.1.4日期</w:t>
      </w:r>
    </w:p>
    <w:p>
      <w:pPr>
        <w:wordWrap w:val="0"/>
        <w:topLinePunct/>
        <w:adjustRightInd w:val="0"/>
        <w:snapToGrid w:val="0"/>
        <w:spacing w:line="360" w:lineRule="auto"/>
        <w:ind w:firstLine="482" w:firstLineChars="200"/>
        <w:jc w:val="left"/>
        <w:rPr>
          <w:rFonts w:ascii="宋体" w:hAnsi="宋体" w:cs="宋体"/>
          <w:sz w:val="24"/>
        </w:rPr>
      </w:pPr>
      <w:r>
        <w:rPr>
          <w:rFonts w:hint="eastAsia" w:ascii="宋体" w:hAnsi="宋体" w:cs="宋体"/>
          <w:sz w:val="24"/>
        </w:rPr>
        <w:t>1.1.4.5质保期：</w:t>
      </w:r>
      <w:r>
        <w:rPr>
          <w:rFonts w:hint="eastAsia" w:ascii="宋体" w:hAnsi="宋体" w:cs="宋体"/>
          <w:sz w:val="24"/>
          <w:u w:val="single"/>
        </w:rPr>
        <w:t xml:space="preserve"> </w:t>
      </w:r>
      <w:r>
        <w:rPr>
          <w:rFonts w:hint="eastAsia" w:ascii="宋体" w:hAnsi="宋体" w:cs="宋体"/>
          <w:sz w:val="24"/>
          <w:u w:val="single"/>
          <w:lang w:val="en-US" w:eastAsia="zh-CN"/>
        </w:rPr>
        <w:t>36</w:t>
      </w:r>
      <w:r>
        <w:rPr>
          <w:rFonts w:hint="eastAsia" w:ascii="宋体" w:hAnsi="宋体" w:cs="宋体"/>
          <w:sz w:val="24"/>
          <w:u w:val="single"/>
        </w:rPr>
        <w:t xml:space="preserve"> </w:t>
      </w:r>
      <w:r>
        <w:rPr>
          <w:rFonts w:hint="eastAsia" w:ascii="宋体" w:hAnsi="宋体" w:cs="宋体"/>
          <w:sz w:val="24"/>
        </w:rPr>
        <w:t>个月。</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1.1.4.8质保期：是根据现行有关法律规定，在合同条款第19.7款中约定的由承包人负责对合同约定的保修范围内发生的质量问题履行保修义务并对造成的损失承担赔偿责任的期限。</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1.1.6其他</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1.1.6.2材料：指构成或将构成永久工程组成部分的各类物品</w:t>
      </w:r>
      <w:r>
        <w:rPr>
          <w:rFonts w:hint="eastAsia" w:ascii="宋体" w:hAnsi="宋体" w:cs="宋体"/>
          <w:sz w:val="24"/>
          <w:lang w:eastAsia="zh-CN"/>
        </w:rPr>
        <w:t>（</w:t>
      </w:r>
      <w:r>
        <w:rPr>
          <w:rFonts w:hint="eastAsia" w:ascii="宋体" w:hAnsi="宋体" w:cs="宋体"/>
          <w:sz w:val="24"/>
        </w:rPr>
        <w:t>工程设备除外</w:t>
      </w:r>
      <w:r>
        <w:rPr>
          <w:rFonts w:hint="eastAsia" w:ascii="宋体" w:hAnsi="宋体" w:cs="宋体"/>
          <w:sz w:val="24"/>
          <w:lang w:eastAsia="zh-CN"/>
        </w:rPr>
        <w:t>）</w:t>
      </w:r>
      <w:r>
        <w:rPr>
          <w:rFonts w:hint="eastAsia" w:ascii="宋体" w:hAnsi="宋体" w:cs="宋体"/>
          <w:sz w:val="24"/>
        </w:rPr>
        <w:t>，包括合同中可能约定的承包人仅负责供应的材料。</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1.1.6.4除另有特别指明外，专用合同条款中使用的措辞“合同条款”指通用合同条款和(或)专用合同条款。</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1.4合同文件的优先顺序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合同文件的优先解释顺序如下：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(1)合同协议书；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(2)成交通知书；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(3)磋商响应函及磋商响应函附录；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(4)专用合同条款；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(5)通用合同条款；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(6)技术标准和要求；</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(7)图纸；</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(8)已标价工程量清单；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(9)其他合同文件。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合同协议书中约定采用总价合同形式的，已标价工程量清单中的各项工程量对合同双方不具合同约束力。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图纸与技术标准和要求之间有矛盾或者不一致的，以其中要求较严格的标准为准。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合同双方在合同履行过程中签订的补充协议亦构成合同文件的组成部分，其解释顺序视其内容与其他合同文件的相互关系而定。</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1.5合同协议书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合同生效的条件：</w:t>
      </w:r>
      <w:r>
        <w:rPr>
          <w:rFonts w:hint="eastAsia" w:ascii="宋体" w:hAnsi="宋体" w:cs="宋体"/>
          <w:sz w:val="24"/>
          <w:u w:val="single"/>
        </w:rPr>
        <w:t>发包人和承包人的法定代表人或其委托代理人在合同协议书上签字并盖单位章后，合同生效</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1.6图纸和承包人文件</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1.6.1图纸的提供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(1)发包人按照合同条款本项的约定向承包人提供图纸。承包人需要增加图纸套数的，发包人应代为复制，复制费用由承包人承担。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(3)发包人提供图纸的期限：</w:t>
      </w:r>
      <w:r>
        <w:rPr>
          <w:rFonts w:hint="eastAsia" w:ascii="宋体" w:hAnsi="宋体" w:cs="宋体"/>
          <w:sz w:val="24"/>
          <w:u w:val="single"/>
        </w:rPr>
        <w:t>开工前三天</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(4)发包人提供图纸的数量：</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1.6.2承包人提供的文件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(1)除专用合同条款第4.1.10(1)目约定的由承包人提供的设计文件外，本项约定的其他应由承包人提供的文件，包括必要的加工图和大样图，均不是合同计量与支付的依据文件。</w:t>
      </w:r>
    </w:p>
    <w:p>
      <w:pPr>
        <w:wordWrap w:val="0"/>
        <w:topLinePunct/>
        <w:adjustRightInd w:val="0"/>
        <w:snapToGrid w:val="0"/>
        <w:spacing w:line="360" w:lineRule="auto"/>
        <w:ind w:firstLine="602" w:firstLineChars="250"/>
        <w:rPr>
          <w:rFonts w:ascii="宋体" w:hAnsi="宋体" w:cs="宋体"/>
          <w:sz w:val="24"/>
        </w:rPr>
      </w:pPr>
      <w:r>
        <w:rPr>
          <w:rFonts w:hint="eastAsia" w:ascii="宋体" w:hAnsi="宋体" w:cs="宋体"/>
          <w:sz w:val="24"/>
        </w:rPr>
        <w:t>由承包人提供的文件范围：</w:t>
      </w:r>
      <w:r>
        <w:rPr>
          <w:rFonts w:hint="eastAsia" w:ascii="宋体" w:hAnsi="宋体" w:cs="宋体"/>
          <w:sz w:val="24"/>
          <w:u w:val="single"/>
        </w:rPr>
        <w:t>需要时按发包人及监理人要求</w:t>
      </w:r>
      <w:r>
        <w:rPr>
          <w:rFonts w:hint="eastAsia" w:ascii="宋体" w:hAnsi="宋体" w:cs="宋体"/>
          <w:sz w:val="24"/>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(2)承包人提供文件的期限：</w:t>
      </w:r>
      <w:r>
        <w:rPr>
          <w:rFonts w:hint="eastAsia" w:ascii="宋体" w:hAnsi="宋体" w:cs="宋体"/>
          <w:sz w:val="24"/>
          <w:u w:val="single"/>
        </w:rPr>
        <w:t>按发包人及监理人要求</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(3)承包人提供文件的数量：</w:t>
      </w:r>
      <w:r>
        <w:rPr>
          <w:rFonts w:hint="eastAsia" w:ascii="宋体" w:hAnsi="宋体" w:cs="宋体"/>
          <w:sz w:val="24"/>
          <w:u w:val="single"/>
        </w:rPr>
        <w:t>按发包人及监理人要求</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(4)监理人批复承包人提供文件的期限：</w:t>
      </w:r>
      <w:r>
        <w:rPr>
          <w:rFonts w:hint="eastAsia" w:ascii="宋体" w:hAnsi="宋体" w:cs="宋体"/>
          <w:sz w:val="24"/>
          <w:u w:val="single"/>
        </w:rPr>
        <w:t>收到承包人提供的文件后7天内</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 xml:space="preserve"> (5)其他约定：</w:t>
      </w:r>
      <w:r>
        <w:rPr>
          <w:rFonts w:hint="eastAsia" w:ascii="宋体" w:hAnsi="宋体" w:cs="宋体"/>
          <w:sz w:val="24"/>
          <w:u w:val="single"/>
        </w:rPr>
        <w:t xml:space="preserve"> /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1.6.3图纸的修改</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监理人应当按照合同条款第1.6.1(2)目约定的有合同约束力的图纸供应计划，签发图纸修改图给承包人。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1.7联络</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1.7.2联络来往函件的送达和接收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(1)联络来往信函的送达期限：合同约定了发出期限的，送达期限为合同约定的发出期限后的24小时内；合同约定了通知、提供或者报送期限的，通知、提供或者报送期限即为送达期限。</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(2)发包人指定的接收地点：</w:t>
      </w:r>
      <w:r>
        <w:rPr>
          <w:rFonts w:hint="eastAsia" w:ascii="宋体" w:hAnsi="宋体" w:cs="宋体"/>
          <w:sz w:val="24"/>
          <w:u w:val="single"/>
        </w:rPr>
        <w:t>本工程现场发包人代表办公室</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(3)发包人指定的接收人为：</w:t>
      </w:r>
      <w:r>
        <w:rPr>
          <w:rFonts w:hint="eastAsia" w:ascii="宋体" w:hAnsi="宋体" w:cs="宋体"/>
          <w:sz w:val="24"/>
          <w:u w:val="single"/>
        </w:rPr>
        <w:t>发包人代表</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(4)监理人指定的接收地点：</w:t>
      </w:r>
      <w:r>
        <w:rPr>
          <w:rFonts w:hint="eastAsia" w:ascii="宋体" w:hAnsi="宋体" w:cs="宋体"/>
          <w:sz w:val="24"/>
          <w:u w:val="single"/>
        </w:rPr>
        <w:t>本工程现场总监代表办公室</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(5)监理人指定的接收人为：</w:t>
      </w:r>
      <w:r>
        <w:rPr>
          <w:rFonts w:hint="eastAsia" w:ascii="宋体" w:hAnsi="宋体" w:cs="宋体"/>
          <w:sz w:val="24"/>
          <w:u w:val="single"/>
        </w:rPr>
        <w:t>总监或总监代表</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2.发包人义务</w:t>
      </w:r>
    </w:p>
    <w:p>
      <w:pPr>
        <w:wordWrap w:val="0"/>
        <w:topLinePunct/>
        <w:adjustRightInd w:val="0"/>
        <w:snapToGrid w:val="0"/>
        <w:spacing w:line="360" w:lineRule="auto"/>
        <w:ind w:firstLine="241" w:firstLineChars="100"/>
        <w:rPr>
          <w:rFonts w:ascii="宋体" w:hAnsi="宋体" w:cs="宋体"/>
          <w:b/>
          <w:bCs/>
          <w:sz w:val="24"/>
        </w:rPr>
      </w:pPr>
      <w:r>
        <w:rPr>
          <w:rFonts w:hint="eastAsia" w:ascii="宋体" w:hAnsi="宋体" w:cs="宋体"/>
          <w:b/>
          <w:bCs/>
          <w:sz w:val="24"/>
        </w:rPr>
        <w:t>2.3提供施工场地</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施工场地应当在监理人发出的开工通知中载明的开工日期前</w:t>
      </w:r>
      <w:r>
        <w:rPr>
          <w:rFonts w:hint="eastAsia" w:ascii="宋体" w:hAnsi="宋体" w:cs="宋体"/>
          <w:sz w:val="24"/>
          <w:u w:val="single"/>
        </w:rPr>
        <w:t xml:space="preserve"> 3 </w:t>
      </w:r>
      <w:r>
        <w:rPr>
          <w:rFonts w:hint="eastAsia" w:ascii="宋体" w:hAnsi="宋体" w:cs="宋体"/>
          <w:sz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2.5组织设计交底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2.8其他义务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(1)按有关规定及时办理工程质量监督手续。</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(2)根据建设行政主管部门和(或)城市建设档案管理机构的规定，收集、整理、立卷、归档工程资料，并按规定时间向建设行政主管部门或者城市建设档案管理机构移交规定的工程档案。</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(4)发包人应当履行合同约定的其他义务以及下述义务：</w:t>
      </w:r>
      <w:r>
        <w:rPr>
          <w:rFonts w:hint="eastAsia" w:ascii="宋体" w:hAnsi="宋体" w:cs="宋体"/>
          <w:sz w:val="24"/>
          <w:u w:val="single"/>
        </w:rPr>
        <w:t xml:space="preserve">                           </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3.监理人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3.1监理人的职责和权力</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3.1.1须经发包人批准行使的权力：</w:t>
      </w:r>
      <w:r>
        <w:rPr>
          <w:rFonts w:hint="eastAsia" w:ascii="宋体" w:hAnsi="宋体" w:cs="宋体"/>
          <w:sz w:val="24"/>
          <w:u w:val="single"/>
        </w:rPr>
        <w:t xml:space="preserve"> 涉及本工程分包、变更、费用、质量、工期的事项及监理合同中须发包人批准才能行使的监理人的权力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3.3监理人员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3.3.4总监理工程师不应将第3.5款约定应由总监理工程师作出确定的权力授权或者委托给其他监理人员。</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3.4监理人的指示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3.4.4除通用合同条款已有的专门约定外，承包人只能从总监理工程师或按第3.3.1项授权的监理人员处取得指示，发包人应当通过监理人向承包人发出指示。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3.6监理人的宽恕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监理人或者发包人就承包人对合同约定的任何责任和义务的某种违约行为的宽恕，不影响监理人和发包人在此后的任何时间严格按合同约定处理承包人的</w:t>
      </w:r>
      <w:r>
        <w:rPr>
          <w:rFonts w:hint="eastAsia" w:ascii="宋体" w:hAnsi="宋体" w:cs="宋体"/>
          <w:sz w:val="24"/>
          <w:lang w:eastAsia="zh-CN"/>
        </w:rPr>
        <w:t>其他</w:t>
      </w:r>
      <w:r>
        <w:rPr>
          <w:rFonts w:hint="eastAsia" w:ascii="宋体" w:hAnsi="宋体" w:cs="宋体"/>
          <w:sz w:val="24"/>
        </w:rPr>
        <w:t>违约行为，也不意味发包人放弃合同约定的发包人与上述违约有关的任何权利和赔偿要求。</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4.承包人</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4.1承包人的一般义务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4.1.8为他人提供方便</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承包人应当对在施工场地或者附近实施与合同工程有关的其他工作的独立承包人履行管理、协调、配合、照管和服务义务，由此发生的费用被认为已经包括在承包人的签约合同价(磋商总报价)中，具体工作内容和要求包括：</w:t>
      </w:r>
      <w:r>
        <w:rPr>
          <w:rFonts w:hint="eastAsia" w:ascii="宋体" w:hAnsi="宋体" w:cs="宋体"/>
          <w:sz w:val="24"/>
          <w:u w:val="single"/>
        </w:rPr>
        <w:t>根据施工过程中实际情况由发包人和监理人指派并审批</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(2)承包人还应按监理人指示为独立承包人以外的他人在施工场地或者附近实施与合同工程有关的其他工作提供可能的条件，可能发生费用由监理人按第3.5款商定或者确定。</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4.1.10其他义务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磋商总报价)中。由承包人承担的施工图设计或与工程配套的设计工作内容：</w:t>
      </w:r>
      <w:r>
        <w:rPr>
          <w:rFonts w:hint="eastAsia" w:ascii="宋体" w:hAnsi="宋体" w:cs="宋体"/>
          <w:sz w:val="24"/>
          <w:u w:val="single"/>
        </w:rPr>
        <w:t>需要时发包人与承包人另行约定</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(2)承包人应履行合同约定的其他义务以及下述义务：</w:t>
      </w:r>
      <w:r>
        <w:rPr>
          <w:rFonts w:hint="eastAsia" w:ascii="宋体" w:hAnsi="宋体" w:cs="宋体"/>
          <w:sz w:val="24"/>
          <w:u w:val="single"/>
        </w:rPr>
        <w:t>需要时发包人与承包人另行约定</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4.2履约担保</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4.2.1履约担保的格式和金额</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hint="eastAsia" w:ascii="宋体" w:hAnsi="宋体" w:cs="宋体"/>
          <w:sz w:val="24"/>
          <w:u w:val="single"/>
        </w:rPr>
        <w:t xml:space="preserve"> / </w:t>
      </w:r>
      <w:r>
        <w:rPr>
          <w:rFonts w:hint="eastAsia" w:ascii="宋体" w:hAnsi="宋体" w:cs="宋体"/>
          <w:sz w:val="24"/>
        </w:rPr>
        <w:t>。履约担保是本合同的附件。</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4.2.2履约担保的有效期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4.2.3履约担保的退还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履约担保应在监理人向承包人颁发(出具)工程接收证书之日后28天内退还给承包人。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发包人不承担承包人与履约担保有关的任何利息或</w:t>
      </w:r>
      <w:r>
        <w:rPr>
          <w:rFonts w:hint="eastAsia" w:ascii="宋体" w:hAnsi="宋体" w:cs="宋体"/>
          <w:sz w:val="24"/>
          <w:lang w:eastAsia="zh-CN"/>
        </w:rPr>
        <w:t>其他类似的</w:t>
      </w:r>
      <w:r>
        <w:rPr>
          <w:rFonts w:hint="eastAsia" w:ascii="宋体" w:hAnsi="宋体" w:cs="宋体"/>
          <w:sz w:val="24"/>
        </w:rPr>
        <w:t>费用或者收益。</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4.2.4通知义务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4.3分包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4.3.2发包人同意承包人分包的非主体、非关键性工作见磋商响应函附录。除通用合同条款第4.3款的约定外，分包还应遵循以下约定：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(3)在相关分包合同签订并报送有关建设行政主管部门备案后7天内，承包人应当将一份副本提交给监理人，承包人应保障分包工作不得再次分包。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 (5)未经发包人和监理人审批同意的分包工程和分包人，发包人有权拒绝验收分包工程和支付相应款项，由此引起的发包人费用增加和(或)延误的工期由发包人承担。</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4.5承包人项目经理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4.5.5</w:t>
      </w:r>
      <w:r>
        <w:rPr>
          <w:rFonts w:hint="eastAsia" w:ascii="宋体" w:hAnsi="宋体" w:cs="宋体"/>
          <w:sz w:val="24"/>
          <w:u w:val="single"/>
        </w:rPr>
        <w:t>项目经理及管理班子人员名单（包括项目副经理、技术负责人、预算员、施工员、安全员等）及其专业资格证书复印件作为合同附件，其组成人员在本工程实施过程中应坚守岗位，不得另外承担</w:t>
      </w:r>
      <w:r>
        <w:rPr>
          <w:rFonts w:hint="eastAsia" w:ascii="宋体" w:hAnsi="宋体" w:cs="宋体"/>
          <w:sz w:val="24"/>
          <w:u w:val="single"/>
          <w:lang w:eastAsia="zh-CN"/>
        </w:rPr>
        <w:t>其他</w:t>
      </w:r>
      <w:r>
        <w:rPr>
          <w:rFonts w:hint="eastAsia" w:ascii="宋体" w:hAnsi="宋体" w:cs="宋体"/>
          <w:sz w:val="24"/>
          <w:u w:val="single"/>
        </w:rPr>
        <w:t>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u w:val="single"/>
        </w:rPr>
        <w:t>本条未提到的项目经理</w:t>
      </w:r>
      <w:r>
        <w:rPr>
          <w:rFonts w:hint="eastAsia" w:ascii="宋体" w:hAnsi="宋体" w:cs="宋体"/>
          <w:sz w:val="24"/>
          <w:u w:val="single"/>
          <w:lang w:eastAsia="zh-CN"/>
        </w:rPr>
        <w:t>其他</w:t>
      </w:r>
      <w:r>
        <w:rPr>
          <w:rFonts w:hint="eastAsia" w:ascii="宋体" w:hAnsi="宋体" w:cs="宋体"/>
          <w:sz w:val="24"/>
          <w:u w:val="single"/>
        </w:rPr>
        <w:t>权利和义务执行合同通用条款</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b w:val="0"/>
          <w:bCs w:val="0"/>
          <w:szCs w:val="24"/>
        </w:rPr>
      </w:pPr>
      <w:r>
        <w:rPr>
          <w:rFonts w:hint="eastAsia" w:ascii="宋体" w:hAnsi="宋体" w:cs="宋体"/>
          <w:b w:val="0"/>
          <w:bCs w:val="0"/>
          <w:szCs w:val="24"/>
        </w:rPr>
        <w:t>4.11不利物质条件</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4.11.1不利物质条件的范围：</w:t>
      </w:r>
      <w:r>
        <w:rPr>
          <w:rFonts w:hint="eastAsia" w:ascii="宋体" w:hAnsi="宋体" w:cs="宋体"/>
          <w:sz w:val="24"/>
          <w:u w:val="single"/>
        </w:rPr>
        <w:t>不利物质条件指承包人在施工场地遇到的不可预见的自然物质条件、非自然的物质障碍和污染物，包括地下和水文条件，但不包括气候条件。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4.11.3</w:t>
      </w:r>
      <w:r>
        <w:rPr>
          <w:rFonts w:hint="eastAsia" w:ascii="宋体" w:hAnsi="宋体" w:cs="宋体"/>
          <w:sz w:val="24"/>
          <w:u w:val="single"/>
        </w:rPr>
        <w:t>在不利物质条件发生之前，监理人已经指示承包人有可能发生，但承包人未能及时采取有效措施，而导致的损失和后果均由承包人承担。</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5.材料和工程设备</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5.1承包人提供的材料和工程设备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承包人负责提供的材料和工程设备，技术标准和要求中有规定的必须优于或等同于技术标准和要求中的规定。</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承包人负责提供的主要材料和工程设备必须经发包人和承包人共同考察，经发包人确定材料品牌、规格后方可投入工程。</w:t>
      </w:r>
    </w:p>
    <w:p>
      <w:pPr>
        <w:wordWrap w:val="0"/>
        <w:topLinePunct/>
        <w:adjustRightInd w:val="0"/>
        <w:snapToGrid w:val="0"/>
        <w:spacing w:line="360" w:lineRule="auto"/>
        <w:ind w:firstLine="469" w:firstLineChars="195"/>
        <w:rPr>
          <w:rFonts w:ascii="宋体" w:hAnsi="宋体" w:cs="宋体"/>
          <w:sz w:val="24"/>
        </w:rPr>
      </w:pPr>
      <w:r>
        <w:rPr>
          <w:rFonts w:hint="eastAsia" w:ascii="宋体" w:hAnsi="宋体" w:cs="宋体"/>
          <w:sz w:val="24"/>
        </w:rPr>
        <w:t>5.1.2承包人将由其提供的材料和工程设备的供货人及品种、规格、数量和供货时间等报送监理人审批的期限：</w:t>
      </w:r>
      <w:r>
        <w:rPr>
          <w:rFonts w:hint="eastAsia" w:ascii="宋体" w:hAnsi="宋体" w:cs="宋体"/>
          <w:sz w:val="24"/>
          <w:u w:val="single"/>
        </w:rPr>
        <w:t>相关分部分项工程开始施工前7天报送监理人审批。</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5.2发包人提供的材料和工程设备</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5.2.1发包人负责提供的材料和工程设备的名称、规格、数量、价格、交货方式、交货地点和计划交货日期等见合同附件三“发包人提供的材料和工程设备一览表”。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5.2.3由发包人提供的材料和工程设备验收后，由承包人负责接收、运输和保管。</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6.施工设备和临时设施</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6.1承包人提供的施工设备和临时设施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6.1.2发包人承担修建临时设施的费用的范围：</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需要发包人办理申请手续和承担相关费用的临时占地：</w:t>
      </w:r>
      <w:r>
        <w:rPr>
          <w:rFonts w:hint="eastAsia" w:ascii="宋体" w:hAnsi="宋体" w:cs="宋体"/>
          <w:sz w:val="24"/>
          <w:u w:val="single"/>
        </w:rPr>
        <w:t xml:space="preserve"> 无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6.2发包人提供的施工设备和临时设施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发包人提供的施工设备和临时设施：</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发包人提供的施工设备和临时设施的运行、维护、拆除、清运费用的承担人：</w:t>
      </w:r>
      <w:r>
        <w:rPr>
          <w:rFonts w:hint="eastAsia" w:ascii="宋体" w:hAnsi="宋体" w:cs="宋体"/>
          <w:sz w:val="24"/>
          <w:u w:val="single"/>
        </w:rPr>
        <w:t xml:space="preserve"> /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6.4施工设备和临时设施专用于合同工程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6.4.1除为专用合同条款第4.1.8项约定的其他独立承包人和监理人指示的他人提供条件外，承包人运入施工场地的所有施工设备以及在施工场地建设的临时设施仅限于用于合同工程。</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7.交通运输</w:t>
      </w:r>
    </w:p>
    <w:p>
      <w:pPr>
        <w:wordWrap w:val="0"/>
        <w:topLinePunct/>
        <w:adjustRightInd w:val="0"/>
        <w:snapToGrid w:val="0"/>
        <w:spacing w:line="360" w:lineRule="auto"/>
        <w:ind w:firstLine="241" w:firstLineChars="100"/>
        <w:rPr>
          <w:rFonts w:ascii="宋体" w:hAnsi="宋体" w:cs="宋体"/>
          <w:b/>
          <w:bCs/>
          <w:sz w:val="24"/>
        </w:rPr>
      </w:pPr>
      <w:r>
        <w:rPr>
          <w:rFonts w:hint="eastAsia" w:ascii="宋体" w:hAnsi="宋体" w:cs="宋体"/>
          <w:b/>
          <w:bCs/>
          <w:sz w:val="24"/>
        </w:rPr>
        <w:t>7.1道路通行权和场外设施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取得道路通行权、场外设施修建权的办理人：</w:t>
      </w:r>
      <w:r>
        <w:rPr>
          <w:rFonts w:hint="eastAsia" w:ascii="宋体" w:hAnsi="宋体" w:cs="宋体"/>
          <w:sz w:val="24"/>
          <w:u w:val="single"/>
        </w:rPr>
        <w:t xml:space="preserve"> 承包人 </w:t>
      </w:r>
      <w:r>
        <w:rPr>
          <w:rFonts w:hint="eastAsia" w:ascii="宋体" w:hAnsi="宋体" w:cs="宋体"/>
          <w:sz w:val="24"/>
        </w:rPr>
        <w:t>，其相关费用由承包人承担。</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7.2场内施工道路</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7.2.1施工所需的场内临时道路和交通设施的修建、维护、养护和管理人：</w:t>
      </w:r>
      <w:r>
        <w:rPr>
          <w:rFonts w:hint="eastAsia" w:ascii="宋体" w:hAnsi="宋体" w:cs="宋体"/>
          <w:sz w:val="24"/>
          <w:u w:val="single"/>
        </w:rPr>
        <w:t xml:space="preserve"> 承包人 </w:t>
      </w:r>
      <w:r>
        <w:rPr>
          <w:rFonts w:hint="eastAsia" w:ascii="宋体" w:hAnsi="宋体" w:cs="宋体"/>
          <w:sz w:val="24"/>
        </w:rPr>
        <w:t>，相关费用由</w:t>
      </w:r>
      <w:r>
        <w:rPr>
          <w:rFonts w:hint="eastAsia" w:ascii="宋体" w:hAnsi="宋体" w:cs="宋体"/>
          <w:sz w:val="24"/>
          <w:u w:val="single"/>
        </w:rPr>
        <w:t xml:space="preserve"> 承包人 </w:t>
      </w:r>
      <w:r>
        <w:rPr>
          <w:rFonts w:hint="eastAsia" w:ascii="宋体" w:hAnsi="宋体" w:cs="宋体"/>
          <w:sz w:val="24"/>
        </w:rPr>
        <w:t>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7.2.2发包人和监理人有权无偿使用承包人修建的临时道路和交通设施，不需要</w:t>
      </w:r>
      <w:r>
        <w:rPr>
          <w:rFonts w:hint="eastAsia" w:ascii="宋体" w:hAnsi="宋体" w:cs="宋体"/>
          <w:sz w:val="24"/>
          <w:lang w:eastAsia="zh-CN"/>
        </w:rPr>
        <w:t>缴纳</w:t>
      </w:r>
      <w:r>
        <w:rPr>
          <w:rFonts w:hint="eastAsia" w:ascii="宋体" w:hAnsi="宋体" w:cs="宋体"/>
          <w:sz w:val="24"/>
        </w:rPr>
        <w:t>任何费用。</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7.4超大件和超重件的运输</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运输超大件或超重件所需的道路和桥梁临时加固改造等费用的承担人：</w:t>
      </w:r>
      <w:r>
        <w:rPr>
          <w:rFonts w:hint="eastAsia" w:ascii="宋体" w:hAnsi="宋体" w:cs="宋体"/>
          <w:sz w:val="24"/>
          <w:u w:val="single"/>
        </w:rPr>
        <w:t xml:space="preserve"> 承包人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8.测量放线</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8.1施工控制网</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8.1.1发包人通过监理人提供测量基准点、基准线和水准点及其书面资料的期限：</w:t>
      </w:r>
      <w:r>
        <w:rPr>
          <w:rFonts w:hint="eastAsia" w:ascii="宋体" w:hAnsi="宋体" w:cs="宋体"/>
          <w:sz w:val="24"/>
          <w:u w:val="single"/>
        </w:rPr>
        <w:t xml:space="preserve"> 开工前7天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承包人测设施工控制网的要求：</w:t>
      </w:r>
      <w:r>
        <w:rPr>
          <w:rFonts w:hint="eastAsia" w:ascii="宋体" w:hAnsi="宋体" w:cs="宋体"/>
          <w:sz w:val="24"/>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承包人将施工控制网资料报送监理人审批的期限：</w:t>
      </w:r>
      <w:r>
        <w:rPr>
          <w:rFonts w:hint="eastAsia" w:ascii="宋体" w:hAnsi="宋体" w:cs="宋体"/>
          <w:sz w:val="24"/>
          <w:u w:val="single"/>
        </w:rPr>
        <w:t xml:space="preserve"> 开工前3天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9.施工安全、治安保卫和环境保护</w:t>
      </w:r>
    </w:p>
    <w:p>
      <w:pPr>
        <w:pStyle w:val="5"/>
        <w:keepNext w:val="0"/>
        <w:keepLines w:val="0"/>
        <w:wordWrap w:val="0"/>
        <w:topLinePunct/>
        <w:adjustRightInd w:val="0"/>
        <w:snapToGrid w:val="0"/>
        <w:ind w:firstLine="482" w:firstLineChars="200"/>
        <w:rPr>
          <w:rFonts w:ascii="宋体" w:hAnsi="宋体" w:cs="宋体"/>
          <w:szCs w:val="24"/>
        </w:rPr>
      </w:pPr>
      <w:r>
        <w:rPr>
          <w:rFonts w:hint="eastAsia" w:ascii="宋体" w:hAnsi="宋体" w:cs="宋体"/>
          <w:szCs w:val="24"/>
          <w:u w:val="single"/>
        </w:rPr>
        <w:t>因承包人原因施工过程中出现的一切质量、安全、人身伤亡等一切事故，均由承包人承担负责</w:t>
      </w:r>
      <w:r>
        <w:rPr>
          <w:rFonts w:hint="eastAsia" w:ascii="宋体" w:hAnsi="宋体" w:cs="宋体"/>
          <w:szCs w:val="24"/>
        </w:rPr>
        <w:t xml:space="preserve">。   </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9.2承包人的施工安全责任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9.2.1承包人向监理人报送施工安全措施计划的期限：</w:t>
      </w:r>
      <w:r>
        <w:rPr>
          <w:rFonts w:hint="eastAsia" w:ascii="宋体" w:hAnsi="宋体" w:cs="宋体"/>
          <w:sz w:val="24"/>
          <w:u w:val="single"/>
        </w:rPr>
        <w:t xml:space="preserve"> 签订施工合同后7天内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监理人收到承包人报送的施工安全措施计划后应当在</w:t>
      </w:r>
      <w:r>
        <w:rPr>
          <w:rFonts w:hint="eastAsia" w:ascii="宋体" w:hAnsi="宋体" w:cs="宋体"/>
          <w:sz w:val="24"/>
          <w:u w:val="single"/>
        </w:rPr>
        <w:t xml:space="preserve"> 3 </w:t>
      </w:r>
      <w:r>
        <w:rPr>
          <w:rFonts w:hint="eastAsia" w:ascii="宋体" w:hAnsi="宋体" w:cs="宋体"/>
          <w:sz w:val="24"/>
        </w:rPr>
        <w:t>天内给予批复。</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9.3治安保卫</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9.3.1承包人应当负责统一管理施工场地的治安保卫事项，履行合同工程的治安保卫职责。</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9.3.3施工场地治安管理计划和突发治安事件紧急预案的编制责任人：</w:t>
      </w:r>
      <w:r>
        <w:rPr>
          <w:rFonts w:hint="eastAsia" w:ascii="宋体" w:hAnsi="宋体" w:cs="宋体"/>
          <w:sz w:val="24"/>
          <w:u w:val="single"/>
        </w:rPr>
        <w:t xml:space="preserve"> 承包人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9.4环境保护</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9.4.2施工环保措施计划报送监理人审批的时间：</w:t>
      </w:r>
      <w:r>
        <w:rPr>
          <w:rFonts w:hint="eastAsia" w:ascii="宋体" w:hAnsi="宋体" w:cs="宋体"/>
          <w:sz w:val="24"/>
          <w:u w:val="single"/>
        </w:rPr>
        <w:t xml:space="preserve"> 签订施工合同后7天内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监理人收到承包人报送的施工环保措施计划后应当在</w:t>
      </w:r>
      <w:r>
        <w:rPr>
          <w:rFonts w:hint="eastAsia" w:ascii="宋体" w:hAnsi="宋体" w:cs="宋体"/>
          <w:sz w:val="24"/>
          <w:u w:val="single"/>
        </w:rPr>
        <w:t xml:space="preserve"> 3 </w:t>
      </w:r>
      <w:r>
        <w:rPr>
          <w:rFonts w:hint="eastAsia" w:ascii="宋体" w:hAnsi="宋体" w:cs="宋体"/>
          <w:sz w:val="24"/>
        </w:rPr>
        <w:t>天内给予批复。</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10.进度计划</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10.1合同进度计划</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cs="宋体"/>
          <w:sz w:val="24"/>
        </w:rPr>
        <w:t>，施工进度计划中还应载明要求发包人组织设计人进行阶段性工程设计交底的时间。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(2)监理人批复或对施工进度计划和施工方案说明提出修改意见的期限：自监理人收到承包人报送的相关进度计划和施工方案说明后14天内。</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(3)承包人编制分阶段或分项施工进度计划和施工方案说明的内容：</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承包人报送分阶段或分项施工进度计划和施工方案说明的期限：</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 w:val="24"/>
          <w:u w:val="single"/>
        </w:rPr>
        <w:t xml:space="preserve">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10.2合同进度计划的修订</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(1)承包人报送修订合同进度计划申请报告和相关资料的期限：</w:t>
      </w:r>
      <w:r>
        <w:rPr>
          <w:rFonts w:hint="eastAsia" w:ascii="宋体" w:hAnsi="宋体" w:cs="宋体"/>
          <w:sz w:val="24"/>
          <w:u w:val="single"/>
        </w:rPr>
        <w:t xml:space="preserve"> 实际进度发生滞后的当月25日前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(2)监理人批复修订合同进度计划申请报告的期限：</w:t>
      </w:r>
      <w:r>
        <w:rPr>
          <w:rFonts w:hint="eastAsia" w:ascii="宋体" w:hAnsi="宋体" w:cs="宋体"/>
          <w:sz w:val="24"/>
          <w:u w:val="single"/>
        </w:rPr>
        <w:t xml:space="preserve"> 收到修订合同进度计划申请报告后2天内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(3)监理人批复修订合同进度计划的期限：</w:t>
      </w:r>
      <w:r>
        <w:rPr>
          <w:rFonts w:hint="eastAsia" w:ascii="宋体" w:hAnsi="宋体" w:cs="宋体"/>
          <w:sz w:val="24"/>
          <w:u w:val="single"/>
        </w:rPr>
        <w:t xml:space="preserve"> 收到修订合同进度计划后3天内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11.开工和竣工</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11.3发包人的工期延误</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(7)因发包人原因不能按照监理人发出的开工通知中载明的开工日期开工。除发包人原因延期开工外，发包人造成工期延误的其他原因还包括：</w:t>
      </w:r>
      <w:r>
        <w:rPr>
          <w:rFonts w:hint="eastAsia" w:ascii="宋体" w:hAnsi="宋体" w:cs="宋体"/>
          <w:sz w:val="24"/>
          <w:u w:val="single"/>
        </w:rPr>
        <w:t xml:space="preserve"> / </w:t>
      </w:r>
      <w:r>
        <w:rPr>
          <w:rFonts w:hint="eastAsia" w:ascii="宋体" w:hAnsi="宋体" w:cs="宋体"/>
          <w:sz w:val="24"/>
        </w:rPr>
        <w:t>等延误承包人关键线路工作的情况。</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11.4异常恶劣的气候条件</w:t>
      </w:r>
    </w:p>
    <w:p>
      <w:pPr>
        <w:wordWrap w:val="0"/>
        <w:topLinePunct/>
        <w:adjustRightInd w:val="0"/>
        <w:snapToGrid w:val="0"/>
        <w:spacing w:line="360" w:lineRule="auto"/>
        <w:rPr>
          <w:rFonts w:ascii="宋体" w:hAnsi="宋体" w:cs="宋体"/>
          <w:sz w:val="24"/>
        </w:rPr>
      </w:pPr>
      <w:r>
        <w:rPr>
          <w:rFonts w:hint="eastAsia" w:ascii="宋体" w:hAnsi="宋体" w:cs="宋体"/>
          <w:sz w:val="24"/>
        </w:rPr>
        <w:t>异常恶劣的气候条件的范围和标准：</w:t>
      </w:r>
      <w:r>
        <w:rPr>
          <w:rFonts w:hint="eastAsia" w:ascii="宋体" w:hAnsi="宋体" w:cs="宋体"/>
          <w:sz w:val="24"/>
          <w:u w:val="single"/>
        </w:rPr>
        <w:t xml:space="preserve"> 项目所在地20年以上一遇的罕见气候现象（包括温度、降水、降雪、风等）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11.5承包人的工期延误</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逾期竣工违约金的计算标准：</w:t>
      </w:r>
      <w:r>
        <w:rPr>
          <w:rFonts w:hint="eastAsia" w:ascii="宋体" w:hAnsi="宋体" w:cs="宋体"/>
          <w:sz w:val="24"/>
          <w:u w:val="single"/>
        </w:rPr>
        <w:t xml:space="preserve"> </w:t>
      </w:r>
      <w:r>
        <w:rPr>
          <w:rFonts w:hint="eastAsia" w:ascii="宋体" w:hAnsi="宋体" w:cs="宋体"/>
          <w:b/>
          <w:sz w:val="24"/>
          <w:u w:val="single"/>
        </w:rPr>
        <w:t>工期每误期一天支付违约金500元</w:t>
      </w:r>
      <w:r>
        <w:rPr>
          <w:rFonts w:hint="eastAsia" w:ascii="宋体" w:hAnsi="宋体" w:cs="宋体"/>
          <w:sz w:val="24"/>
          <w:u w:val="single"/>
        </w:rPr>
        <w:t xml:space="preserve"> </w:t>
      </w:r>
      <w:r>
        <w:rPr>
          <w:rFonts w:hint="eastAsia" w:ascii="宋体" w:hAnsi="宋体" w:cs="宋体"/>
          <w:b/>
          <w:sz w:val="24"/>
        </w:rPr>
        <w:t>。</w:t>
      </w:r>
      <w:r>
        <w:rPr>
          <w:rFonts w:hint="eastAsia" w:ascii="宋体" w:hAnsi="宋体" w:cs="宋体"/>
          <w:sz w:val="24"/>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逾期竣工违约金的计算方法：</w:t>
      </w:r>
      <w:r>
        <w:rPr>
          <w:rFonts w:hint="eastAsia" w:ascii="宋体" w:hAnsi="宋体" w:cs="宋体"/>
          <w:sz w:val="24"/>
          <w:u w:val="single"/>
        </w:rPr>
        <w:t xml:space="preserve"> </w:t>
      </w:r>
      <w:r>
        <w:rPr>
          <w:rFonts w:hint="eastAsia" w:ascii="宋体" w:hAnsi="宋体" w:cs="宋体"/>
          <w:b/>
          <w:sz w:val="24"/>
          <w:u w:val="single"/>
        </w:rPr>
        <w:t>工期每误期一天支付违约金500元</w:t>
      </w:r>
      <w:r>
        <w:rPr>
          <w:rFonts w:hint="eastAsia" w:ascii="宋体" w:hAnsi="宋体" w:cs="宋体"/>
          <w:sz w:val="24"/>
          <w:u w:val="single"/>
        </w:rPr>
        <w:t xml:space="preserve"> </w:t>
      </w:r>
      <w:r>
        <w:rPr>
          <w:rFonts w:hint="eastAsia" w:ascii="宋体" w:hAnsi="宋体" w:cs="宋体"/>
          <w:b/>
          <w:sz w:val="24"/>
        </w:rPr>
        <w:t>。</w:t>
      </w:r>
      <w:r>
        <w:rPr>
          <w:rFonts w:hint="eastAsia" w:ascii="宋体" w:hAnsi="宋体" w:cs="宋体"/>
          <w:sz w:val="24"/>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逾期竣工违约金的限额：</w:t>
      </w:r>
      <w:r>
        <w:rPr>
          <w:rFonts w:hint="eastAsia" w:ascii="宋体" w:hAnsi="宋体" w:cs="宋体"/>
          <w:sz w:val="24"/>
          <w:u w:val="single"/>
        </w:rPr>
        <w:t xml:space="preserve"> </w:t>
      </w:r>
      <w:r>
        <w:rPr>
          <w:rFonts w:hint="eastAsia" w:ascii="宋体" w:hAnsi="宋体" w:cs="宋体"/>
          <w:b/>
          <w:sz w:val="24"/>
          <w:u w:val="single"/>
        </w:rPr>
        <w:t>最高赔偿金额不超过签约合同总价的2%</w:t>
      </w:r>
      <w:r>
        <w:rPr>
          <w:rFonts w:hint="eastAsia" w:ascii="宋体" w:hAnsi="宋体" w:cs="宋体"/>
          <w:sz w:val="24"/>
          <w:u w:val="single"/>
        </w:rPr>
        <w:t xml:space="preserve"> </w:t>
      </w:r>
      <w:r>
        <w:rPr>
          <w:rFonts w:hint="eastAsia" w:ascii="宋体" w:hAnsi="宋体" w:cs="宋体"/>
          <w:b/>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11.6工期提前</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提前竣工的奖励办法：</w:t>
      </w:r>
      <w:r>
        <w:rPr>
          <w:rFonts w:hint="eastAsia" w:ascii="宋体" w:hAnsi="宋体" w:cs="宋体"/>
          <w:sz w:val="24"/>
          <w:u w:val="single"/>
        </w:rPr>
        <w:t xml:space="preserve"> 无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12.暂停施工</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12.1承包人暂停施工的责任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(5)承包人承担暂停施工责任的其他情形：</w:t>
      </w:r>
      <w:r>
        <w:rPr>
          <w:rFonts w:hint="eastAsia" w:ascii="宋体" w:hAnsi="宋体" w:cs="宋体"/>
          <w:sz w:val="24"/>
          <w:u w:val="single"/>
        </w:rPr>
        <w:t xml:space="preserve"> 无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12.4暂停施工后的复工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13.工程质量</w:t>
      </w:r>
    </w:p>
    <w:p>
      <w:pPr>
        <w:wordWrap w:val="0"/>
        <w:topLinePunct/>
        <w:adjustRightInd w:val="0"/>
        <w:snapToGrid w:val="0"/>
        <w:spacing w:line="360" w:lineRule="auto"/>
        <w:ind w:firstLine="241" w:firstLineChars="100"/>
        <w:rPr>
          <w:rFonts w:ascii="宋体" w:hAnsi="宋体" w:cs="宋体"/>
          <w:b/>
          <w:bCs/>
          <w:sz w:val="24"/>
        </w:rPr>
      </w:pPr>
      <w:r>
        <w:rPr>
          <w:rFonts w:hint="eastAsia" w:ascii="宋体" w:hAnsi="宋体" w:cs="宋体"/>
          <w:b/>
          <w:bCs/>
          <w:sz w:val="24"/>
        </w:rPr>
        <w:t>13.1工程质量要求</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13.1.2</w:t>
      </w:r>
      <w:r>
        <w:rPr>
          <w:rFonts w:hint="eastAsia" w:ascii="宋体" w:hAnsi="宋体" w:cs="宋体"/>
          <w:sz w:val="24"/>
          <w:u w:val="single"/>
        </w:rPr>
        <w:t xml:space="preserve"> </w:t>
      </w:r>
      <w:r>
        <w:rPr>
          <w:rFonts w:hint="eastAsia" w:ascii="宋体" w:hAnsi="宋体" w:cs="宋体"/>
          <w:b/>
          <w:sz w:val="24"/>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13.2承包人的质量管理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13.2.1承包人向监理人提交工程质量保证措施文件的期限：</w:t>
      </w:r>
      <w:r>
        <w:rPr>
          <w:rFonts w:hint="eastAsia" w:ascii="宋体" w:hAnsi="宋体" w:cs="宋体"/>
          <w:sz w:val="24"/>
          <w:u w:val="single"/>
        </w:rPr>
        <w:t xml:space="preserve"> 签订施工合同后7天内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监理人审批工程质量保证措施文件的期限：</w:t>
      </w:r>
      <w:r>
        <w:rPr>
          <w:rFonts w:hint="eastAsia" w:ascii="宋体" w:hAnsi="宋体" w:cs="宋体"/>
          <w:sz w:val="24"/>
          <w:u w:val="single"/>
        </w:rPr>
        <w:t xml:space="preserve"> 收到承包人报送的工程质量保证措施文件后3天内给予批复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 xml:space="preserve">13.3承包人的质量检查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承包人向监理人报送工程质量报表的期限：</w:t>
      </w:r>
      <w:r>
        <w:rPr>
          <w:rFonts w:hint="eastAsia" w:ascii="宋体" w:hAnsi="宋体" w:cs="宋体"/>
          <w:sz w:val="24"/>
          <w:u w:val="single"/>
        </w:rPr>
        <w:t xml:space="preserve"> 每月25日前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承包人向监理人报送工程质量报表的要求：</w:t>
      </w:r>
      <w:r>
        <w:rPr>
          <w:rFonts w:hint="eastAsia" w:ascii="宋体" w:hAnsi="宋体" w:cs="宋体"/>
          <w:sz w:val="24"/>
          <w:u w:val="single"/>
        </w:rPr>
        <w:t xml:space="preserve"> 按规范及监理人要求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监理人审查工程质量报表的期限：</w:t>
      </w:r>
      <w:r>
        <w:rPr>
          <w:rFonts w:hint="eastAsia" w:ascii="宋体" w:hAnsi="宋体" w:cs="宋体"/>
          <w:sz w:val="24"/>
          <w:u w:val="single"/>
        </w:rPr>
        <w:t xml:space="preserve"> 收到承包人报送的工程质量报表后3天内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13.4监理人的质量检查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承包人应当为监理人的检查和检验提供方便，监理人可以进行察看和查阅施工原始记录的其他地方包括：</w:t>
      </w:r>
      <w:r>
        <w:rPr>
          <w:rFonts w:hint="eastAsia" w:ascii="宋体" w:hAnsi="宋体" w:cs="宋体"/>
          <w:sz w:val="24"/>
          <w:u w:val="single"/>
        </w:rPr>
        <w:t xml:space="preserve"> 不属于承包人的车间或场所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13.5工程隐蔽部位覆盖前的检查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13.5.1监理人对工程隐蔽部位进行检查的期限：</w:t>
      </w:r>
      <w:r>
        <w:rPr>
          <w:rFonts w:hint="eastAsia" w:ascii="宋体" w:hAnsi="宋体" w:cs="宋体"/>
          <w:sz w:val="24"/>
          <w:u w:val="single"/>
        </w:rPr>
        <w:t xml:space="preserve"> 收到承包人的通知后3天内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13.7质量争议</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15.变更</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15.1变更的范围和内容</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应当进行变更的其他情形：</w:t>
      </w:r>
      <w:r>
        <w:rPr>
          <w:rFonts w:hint="eastAsia" w:ascii="宋体" w:hAnsi="宋体" w:cs="宋体"/>
          <w:sz w:val="24"/>
          <w:u w:val="single"/>
        </w:rPr>
        <w:t xml:space="preserve"> 发包方与承包方根据实际情况另行约定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15.3变更程序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15.3.2变更估价</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(1)承包人提交变更报价书的期限：</w:t>
      </w:r>
      <w:r>
        <w:rPr>
          <w:rFonts w:hint="eastAsia" w:ascii="宋体" w:hAnsi="宋体" w:cs="宋体"/>
          <w:sz w:val="24"/>
          <w:u w:val="single"/>
        </w:rPr>
        <w:t xml:space="preserve"> 按政府工程变更报批程序办理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(3)监理人商定或确定变更价格的期限：</w:t>
      </w:r>
      <w:r>
        <w:rPr>
          <w:rFonts w:hint="eastAsia" w:ascii="宋体" w:hAnsi="宋体" w:cs="宋体"/>
          <w:sz w:val="24"/>
          <w:u w:val="single"/>
        </w:rPr>
        <w:t xml:space="preserve"> 按政府工程变更报批程序办理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(4)收到变更指示后，如承包人未在规定的期限内提交变更报价书的，监理人可自行决定是否调整合同价款以及如果监理人决定调整合同价款时，相应调整的具体金额。</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15.4变更的估价原则</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15.4.5合同协议书约定采用单价合同形式时，因非承包人原因引起已标价工程量清单中列明的工程量发生增减，按政府工程变更报批程序办理。</w:t>
      </w:r>
    </w:p>
    <w:p>
      <w:pPr>
        <w:wordWrap w:val="0"/>
        <w:topLinePunct/>
        <w:adjustRightInd w:val="0"/>
        <w:snapToGrid w:val="0"/>
        <w:spacing w:line="360" w:lineRule="auto"/>
        <w:ind w:firstLine="466" w:firstLineChars="194"/>
        <w:rPr>
          <w:rFonts w:ascii="宋体" w:hAnsi="宋体" w:cs="宋体"/>
          <w:sz w:val="24"/>
        </w:rPr>
      </w:pPr>
      <w:r>
        <w:rPr>
          <w:rFonts w:hint="eastAsia" w:ascii="宋体" w:hAnsi="宋体" w:cs="宋体"/>
          <w:sz w:val="24"/>
        </w:rPr>
        <w:t>15.4.6因变更引起价格调整的其他处理方式：</w:t>
      </w:r>
      <w:r>
        <w:rPr>
          <w:rFonts w:hint="eastAsia" w:ascii="宋体" w:hAnsi="宋体" w:cs="宋体"/>
          <w:b/>
          <w:sz w:val="24"/>
          <w:u w:val="single"/>
        </w:rPr>
        <w:t xml:space="preserve"> 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5%的比率、根据相关规定通过磋商等方式确定该新增项目的合同价款；未招标的工程项目按照不低于5%的下浮率、根据相关规定通过招标或者磋商等方式确定该新增项目的合同价款 </w:t>
      </w:r>
      <w:r>
        <w:rPr>
          <w:rFonts w:hint="eastAsia" w:ascii="宋体" w:hAnsi="宋体" w:cs="宋体"/>
          <w:b/>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15.5承包人的合理化建议</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15.5.2对承包人提出合理化建议的奖励方法：</w:t>
      </w:r>
      <w:r>
        <w:rPr>
          <w:rFonts w:hint="eastAsia" w:ascii="宋体" w:hAnsi="宋体" w:cs="宋体"/>
          <w:sz w:val="24"/>
          <w:u w:val="single"/>
        </w:rPr>
        <w:t xml:space="preserve"> 无 </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15.8暂估价</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磋商总报价)中：</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(1)在任何招标工作启动前，承包人应当提前至少</w:t>
      </w:r>
      <w:r>
        <w:rPr>
          <w:rFonts w:hint="eastAsia" w:ascii="宋体" w:hAnsi="宋体" w:cs="宋体"/>
          <w:sz w:val="24"/>
          <w:u w:val="single"/>
        </w:rPr>
        <w:t xml:space="preserve"> 7 </w:t>
      </w:r>
      <w:r>
        <w:rPr>
          <w:rFonts w:hint="eastAsia" w:ascii="宋体" w:hAnsi="宋体" w:cs="宋体"/>
          <w:sz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或)标底以及采购控制价和(或)标底编制原则，发包人应当在监理人收到承包人报送的招标工作计划后</w:t>
      </w:r>
      <w:r>
        <w:rPr>
          <w:rFonts w:hint="eastAsia" w:ascii="宋体" w:hAnsi="宋体" w:cs="宋体"/>
          <w:sz w:val="24"/>
          <w:u w:val="single"/>
        </w:rPr>
        <w:t xml:space="preserve"> 3 </w:t>
      </w:r>
      <w:r>
        <w:rPr>
          <w:rFonts w:hint="eastAsia" w:ascii="宋体" w:hAnsi="宋体" w:cs="宋体"/>
          <w:sz w:val="24"/>
        </w:rPr>
        <w:t>天内给予批准或者提出修改意见。承包人应当严格按照经过发包人批准的招标工作计划开展招标工作。</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(2)承包人应当在发出招标公告(或者资格预审公告或者投标邀请书)、资格预审文件和竞争性磋商文件前至少</w:t>
      </w:r>
      <w:r>
        <w:rPr>
          <w:rFonts w:hint="eastAsia" w:ascii="宋体" w:hAnsi="宋体" w:cs="宋体"/>
          <w:sz w:val="24"/>
          <w:u w:val="single"/>
        </w:rPr>
        <w:t xml:space="preserve"> 7 </w:t>
      </w:r>
      <w:r>
        <w:rPr>
          <w:rFonts w:hint="eastAsia" w:ascii="宋体" w:hAnsi="宋体" w:cs="宋体"/>
          <w:sz w:val="24"/>
        </w:rPr>
        <w:t>天，分别将相关文件通过监理人报请发包人审批，发包人应当在监理人收到承包人报送的相关文件后</w:t>
      </w:r>
      <w:r>
        <w:rPr>
          <w:rFonts w:hint="eastAsia" w:ascii="宋体" w:hAnsi="宋体" w:cs="宋体"/>
          <w:sz w:val="24"/>
          <w:u w:val="single"/>
        </w:rPr>
        <w:t xml:space="preserve"> 3 </w:t>
      </w:r>
      <w:r>
        <w:rPr>
          <w:rFonts w:hint="eastAsia" w:ascii="宋体" w:hAnsi="宋体" w:cs="宋体"/>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(3)如果发、承包任何一方委派评标代表，评标委员会应当由七人以上单数构成。除发包人或者承包人自愿放弃委派评标代表的权利外，采购人评标代表应当分别由发包人和承包人等额委派。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设有采购控制价的，承包人应当在竞争性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竞争性磋商文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(7)承包人与专业分包人或者专项供应商订立合同前</w:t>
      </w:r>
      <w:r>
        <w:rPr>
          <w:rFonts w:hint="eastAsia" w:ascii="宋体" w:hAnsi="宋体" w:cs="宋体"/>
          <w:sz w:val="24"/>
          <w:u w:val="single"/>
        </w:rPr>
        <w:t xml:space="preserve"> 7 </w:t>
      </w:r>
      <w:r>
        <w:rPr>
          <w:rFonts w:hint="eastAsia" w:ascii="宋体" w:hAnsi="宋体" w:cs="宋体"/>
          <w:sz w:val="24"/>
        </w:rPr>
        <w:t>天，应当将准备用于正式签订的合同文件通过监理人报发包人审核，发包人应当在监理人收到相关文件后</w:t>
      </w:r>
      <w:r>
        <w:rPr>
          <w:rFonts w:hint="eastAsia" w:ascii="宋体" w:hAnsi="宋体" w:cs="宋体"/>
          <w:sz w:val="24"/>
          <w:u w:val="single"/>
        </w:rPr>
        <w:t xml:space="preserve"> 3 </w:t>
      </w:r>
      <w:r>
        <w:rPr>
          <w:rFonts w:hint="eastAsia" w:ascii="宋体" w:hAnsi="宋体" w:cs="宋体"/>
          <w:sz w:val="24"/>
        </w:rPr>
        <w:t>天内给予批准或者提出修改意见，承包人应当按照发包人批准的合同文件签订相关合同，合同订立后</w:t>
      </w:r>
      <w:r>
        <w:rPr>
          <w:rFonts w:hint="eastAsia" w:ascii="宋体" w:hAnsi="宋体" w:cs="宋体"/>
          <w:sz w:val="24"/>
          <w:u w:val="single"/>
        </w:rPr>
        <w:t xml:space="preserve"> 3 </w:t>
      </w:r>
      <w:r>
        <w:rPr>
          <w:rFonts w:hint="eastAsia" w:ascii="宋体" w:hAnsi="宋体" w:cs="宋体"/>
          <w:sz w:val="24"/>
        </w:rPr>
        <w:t>天内，承包人应当将其中的两份副本报送监理人，其中一份由监理人报发包人留存。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(8)发包人对承包人报送文件进行审批或提出的修改意见应当合理，并符合现行有关法律法规的规定。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15.8.2发包人在工程量清单中给定暂估价的材料和工程设备不属于依法必须招标的范围或未达到规定的规模标准的，按照下列约定：</w:t>
      </w:r>
      <w:r>
        <w:rPr>
          <w:rFonts w:hint="eastAsia" w:ascii="宋体" w:hAnsi="宋体" w:cs="宋体"/>
          <w:sz w:val="24"/>
          <w:u w:val="single"/>
        </w:rPr>
        <w:t xml:space="preserve"> / </w:t>
      </w:r>
    </w:p>
    <w:p>
      <w:pPr>
        <w:wordWrap w:val="0"/>
        <w:topLinePunct/>
        <w:adjustRightInd w:val="0"/>
        <w:snapToGrid w:val="0"/>
        <w:spacing w:line="360" w:lineRule="auto"/>
        <w:ind w:firstLine="482" w:firstLineChars="200"/>
        <w:rPr>
          <w:rFonts w:ascii="宋体" w:hAnsi="宋体" w:cs="宋体"/>
          <w:b/>
          <w:sz w:val="24"/>
          <w:u w:val="single"/>
        </w:rPr>
      </w:pPr>
      <w:r>
        <w:rPr>
          <w:rFonts w:hint="eastAsia" w:ascii="宋体" w:hAnsi="宋体" w:cs="宋体"/>
          <w:sz w:val="24"/>
        </w:rPr>
        <w:t>15.8.3发包人在工程量清单中给定暂估价的专业工程不属于依法必须招标的范围或者未达到依法必须招标的规模标准的，按照下列约定：</w:t>
      </w:r>
      <w:r>
        <w:rPr>
          <w:rFonts w:hint="eastAsia" w:ascii="宋体" w:hAnsi="宋体" w:cs="宋体"/>
          <w:b/>
          <w:sz w:val="24"/>
          <w:u w:val="single"/>
        </w:rPr>
        <w:t xml:space="preserve"> / </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16.价格调整</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16.1物价波动引起的价格调整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物价波动引起的价格调整方法：</w:t>
      </w:r>
      <w:r>
        <w:rPr>
          <w:rFonts w:hint="eastAsia" w:ascii="宋体" w:hAnsi="宋体" w:cs="宋体"/>
          <w:b/>
          <w:sz w:val="24"/>
          <w:u w:val="single"/>
        </w:rPr>
        <w:t xml:space="preserve"> 不调整 </w:t>
      </w:r>
      <w:r>
        <w:rPr>
          <w:rFonts w:hint="eastAsia" w:ascii="宋体" w:hAnsi="宋体" w:cs="宋体"/>
          <w:b/>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17.计量与支付</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17.1计量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17.1.2计量方法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工程量计算规则执行国家标准《公路工程工程量清单计价规范》(GB50500—2008)或其适用的修订版本。除合同另有约定外，承包人实际完成的工程量按约定的工程量计算规则和有合同约束力的图纸进行计量。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17.1.3计量周期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(1)本合同的计量周期为月，每月</w:t>
      </w:r>
      <w:r>
        <w:rPr>
          <w:rFonts w:hint="eastAsia" w:ascii="宋体" w:hAnsi="宋体" w:cs="宋体"/>
          <w:sz w:val="24"/>
          <w:u w:val="single"/>
        </w:rPr>
        <w:t xml:space="preserve"> 26 </w:t>
      </w:r>
      <w:r>
        <w:rPr>
          <w:rFonts w:hint="eastAsia" w:ascii="宋体" w:hAnsi="宋体" w:cs="宋体"/>
          <w:sz w:val="24"/>
        </w:rPr>
        <w:t>日为当月计量截止日期(不含当日)和下月计量起始日期(含当日)。</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t>执行</w:t>
      </w:r>
      <w:r>
        <w:rPr>
          <w:rFonts w:hint="eastAsia" w:ascii="宋体" w:hAnsi="宋体" w:cs="宋体"/>
          <w:sz w:val="24"/>
        </w:rPr>
        <w:t>通用合同条款本项约定的单价子目计量。总价子目计量方法按专用合同条款第 17.1.5项总价子目的计量——</w:t>
      </w:r>
      <w:r>
        <w:rPr>
          <w:rFonts w:hint="eastAsia" w:ascii="宋体" w:hAnsi="宋体" w:cs="宋体"/>
          <w:sz w:val="24"/>
          <w:u w:val="single"/>
        </w:rPr>
        <w:t xml:space="preserve"> 按实际完成工程量计量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17.1.5总价子目的计量一按实际完成工程量计量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(1)总价子目的价格调整方法：</w:t>
      </w:r>
      <w:r>
        <w:rPr>
          <w:rFonts w:hint="eastAsia" w:ascii="宋体" w:hAnsi="宋体" w:cs="宋体"/>
          <w:sz w:val="24"/>
          <w:u w:val="single"/>
        </w:rPr>
        <w:t xml:space="preserve"> 不调整 </w:t>
      </w:r>
      <w:r>
        <w:rPr>
          <w:rFonts w:hint="eastAsia" w:ascii="宋体" w:hAnsi="宋体" w:cs="宋体"/>
          <w:sz w:val="24"/>
        </w:rPr>
        <w:t>。总价子目的计量和支付应以总价为基础，对承包人实际完成的工程量进行计量，是进行工程目标管理和控制进度款支付的依据。</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(4)监理人应在收到承包人提交的工程量报表后的7天内进行复核，监理人未在约定时间内复核的，承包人提交的工程量报表中的工程量视为承包人实际完成的工程量，据此计算工程价款。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(5)除按照第15条约定的变更外，在竣工结算时总价子目的工程量不应当重新计量，签约合同价所基于的工程量即是用于竣工结算的最终工程量。</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17.2预付款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17.2.1预付款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(1)预付款额度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分部分项工程部分的预付款额度：</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措施项目部分预付款额度：</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其中：安全文明施工费用预付额度：</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(2)预付办法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预付款预付办法：</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预付款的支付时间：</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发包人逾期支付合同约定的预付款，除承担通用合同条款第22.2款约定的违约责任外，还应向承包人支付按专用合同条款第17.3.3(2)目约定的标准和方法计算的逾期付款违约金。</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17.2.2预付款保函</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预付款保函的金额与预付款金额相同。预付款保函的提交时间：</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17.2.3预付款的扣回与还清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预付款的扣回办法：</w:t>
      </w:r>
      <w:r>
        <w:rPr>
          <w:rFonts w:hint="eastAsia" w:ascii="宋体" w:hAnsi="宋体" w:cs="宋体"/>
          <w:sz w:val="24"/>
          <w:u w:val="single"/>
        </w:rPr>
        <w:t xml:space="preserve"> 无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17.2.4预付款保函的格式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承包人应当按照专用合同条款第17.2.2项约定的金额和时间以及发包人在本工程竞争性磋商文件中规定的或者其他经过发包人事先认可的格式向发包人递交一份无条件兑付的和不可撤销的预付款保函。</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17.2.5预付款保函的有效期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预付款保函的有效期应当自预付款支付给承包人之日起至发包人签认的进度付款证书说明预付款已完全扣清之日止。</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17.2.6发包人的通知义务</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不管保函条款中如何约定，发包人根据担保提出索赔或兑现要求之前，均应通知承包人并说明导致此类索赔或兑现的原因，但此类通知不应理解为是在任何意义上寻求承包人的同意。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17.2.7预付款保函的退还</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预付款保函应在发包人签认的进度付款证书说明预付款已完全扣清之日后14天内退还给承包人。发包人不承担承包人与预付款保函有关的任何利息或</w:t>
      </w:r>
      <w:r>
        <w:rPr>
          <w:rFonts w:hint="eastAsia" w:ascii="宋体" w:hAnsi="宋体" w:cs="宋体"/>
          <w:sz w:val="24"/>
          <w:lang w:eastAsia="zh-CN"/>
        </w:rPr>
        <w:t>其他类似的</w:t>
      </w:r>
      <w:r>
        <w:rPr>
          <w:rFonts w:hint="eastAsia" w:ascii="宋体" w:hAnsi="宋体" w:cs="宋体"/>
          <w:sz w:val="24"/>
        </w:rPr>
        <w:t>费用或者收益。</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17.3工程进度付款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17.3.2进度付款申请单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进度付款申请单的份数：</w:t>
      </w:r>
      <w:r>
        <w:rPr>
          <w:rFonts w:hint="eastAsia" w:ascii="宋体" w:hAnsi="宋体" w:cs="宋体"/>
          <w:sz w:val="24"/>
          <w:u w:val="single"/>
        </w:rPr>
        <w:t xml:space="preserve"> 五份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进度付款申请单的内容：</w:t>
      </w:r>
      <w:r>
        <w:rPr>
          <w:rFonts w:hint="eastAsia" w:ascii="宋体" w:hAnsi="宋体" w:cs="宋体"/>
          <w:sz w:val="24"/>
          <w:u w:val="single"/>
        </w:rPr>
        <w:t xml:space="preserve"> 按监理人统一要求办理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17.3.3进度付款证书和支付时间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逾期付款违约金的计算标准为</w:t>
      </w:r>
      <w:r>
        <w:rPr>
          <w:rFonts w:hint="eastAsia" w:ascii="宋体" w:hAnsi="宋体" w:cs="宋体"/>
          <w:sz w:val="24"/>
          <w:u w:val="single"/>
        </w:rPr>
        <w:t xml:space="preserve"> 无逾期付款违约金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逾期付款违约金的计算方法为</w:t>
      </w:r>
      <w:r>
        <w:rPr>
          <w:rFonts w:hint="eastAsia" w:ascii="宋体" w:hAnsi="宋体" w:cs="宋体"/>
          <w:sz w:val="24"/>
          <w:u w:val="single"/>
        </w:rPr>
        <w:t xml:space="preserve"> /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 xml:space="preserve"> (4)进度付款涉及政府性资金的支付方法：</w:t>
      </w:r>
    </w:p>
    <w:p>
      <w:pPr>
        <w:wordWrap w:val="0"/>
        <w:topLinePunct/>
        <w:adjustRightInd w:val="0"/>
        <w:snapToGrid w:val="0"/>
        <w:spacing w:line="360" w:lineRule="auto"/>
        <w:ind w:firstLine="474" w:firstLineChars="200"/>
        <w:jc w:val="left"/>
        <w:rPr>
          <w:rFonts w:ascii="宋体" w:hAnsi="宋体" w:cs="宋体"/>
          <w:b/>
          <w:spacing w:val="-2"/>
          <w:sz w:val="24"/>
          <w:highlight w:val="none"/>
          <w:u w:val="single"/>
        </w:rPr>
      </w:pPr>
      <w:r>
        <w:rPr>
          <w:rFonts w:hint="eastAsia" w:ascii="宋体" w:hAnsi="宋体" w:cs="宋体"/>
          <w:b/>
          <w:spacing w:val="-2"/>
          <w:sz w:val="24"/>
          <w:highlight w:val="none"/>
          <w:u w:val="single"/>
          <w:lang w:eastAsia="zh-CN"/>
        </w:rPr>
        <w:t>本工程无预付款，工程审计验收合格后付至审定价款的30%，剩余70%，三年内无息付清。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17.3.5临时付款证书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17.4质量保证金</w:t>
      </w:r>
    </w:p>
    <w:p>
      <w:pPr>
        <w:wordWrap w:val="0"/>
        <w:topLinePunct/>
        <w:adjustRightInd w:val="0"/>
        <w:snapToGrid w:val="0"/>
        <w:spacing w:line="360" w:lineRule="auto"/>
        <w:ind w:firstLine="482" w:firstLineChars="200"/>
        <w:jc w:val="left"/>
        <w:rPr>
          <w:rFonts w:ascii="宋体" w:hAnsi="宋体" w:cs="宋体"/>
          <w:sz w:val="24"/>
        </w:rPr>
      </w:pPr>
      <w:r>
        <w:rPr>
          <w:rFonts w:hint="eastAsia" w:ascii="宋体" w:hAnsi="宋体" w:cs="宋体"/>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17.5竣工结算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17.5.1竣工付款申请单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承包人提交竣工付款申请单的份数：</w:t>
      </w:r>
      <w:r>
        <w:rPr>
          <w:rFonts w:hint="eastAsia" w:ascii="宋体" w:hAnsi="宋体" w:cs="宋体"/>
          <w:sz w:val="24"/>
          <w:u w:val="single"/>
        </w:rPr>
        <w:t xml:space="preserve"> 五份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 xml:space="preserve"> 竣工验收合格后28天内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竣工付款申请单的内容：</w:t>
      </w:r>
      <w:r>
        <w:rPr>
          <w:rFonts w:hint="eastAsia" w:ascii="宋体" w:hAnsi="宋体" w:cs="宋体"/>
          <w:sz w:val="24"/>
          <w:u w:val="single"/>
        </w:rPr>
        <w:t xml:space="preserve"> 竣工结算合同总价、已支付的工程价款、应扣留的质量保证金、应支付的竣工付款金额等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17.6最终结清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17.6.1最终结清申请单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承包人提交最终结清申请单的份数：</w:t>
      </w:r>
      <w:r>
        <w:rPr>
          <w:rFonts w:hint="eastAsia" w:ascii="宋体" w:hAnsi="宋体" w:cs="宋体"/>
          <w:sz w:val="24"/>
          <w:u w:val="single"/>
        </w:rPr>
        <w:t xml:space="preserve"> 五份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承包人提交最终结清申请单的期限：</w:t>
      </w:r>
      <w:r>
        <w:rPr>
          <w:rFonts w:hint="eastAsia" w:ascii="宋体" w:hAnsi="宋体" w:cs="宋体"/>
          <w:sz w:val="24"/>
          <w:u w:val="single"/>
        </w:rPr>
        <w:t xml:space="preserve"> 质保期终止证书签发后14天内 </w:t>
      </w:r>
      <w:r>
        <w:rPr>
          <w:rFonts w:hint="eastAsia" w:ascii="宋体" w:hAnsi="宋体" w:cs="宋体"/>
          <w:sz w:val="24"/>
        </w:rPr>
        <w:t>。</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18.竣工验收</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18.2竣工验收申请报告</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(2)承包人负责整理和提交的竣工验收资料应当符合工程所在地建设行政主管部门和(或)城市建设档案管理机构有关施工资料的要求，具体内容包括：</w:t>
      </w:r>
      <w:r>
        <w:rPr>
          <w:rFonts w:hint="eastAsia" w:ascii="宋体" w:hAnsi="宋体" w:cs="宋体"/>
          <w:sz w:val="24"/>
          <w:u w:val="single"/>
        </w:rPr>
        <w:t xml:space="preserve"> 按工程所在地建设行政主管部门和(或)城市建设档案管理机构对竣工验收资料内容的规定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竣工验收资料的份数：</w:t>
      </w:r>
      <w:r>
        <w:rPr>
          <w:rFonts w:hint="eastAsia" w:ascii="宋体" w:hAnsi="宋体" w:cs="宋体"/>
          <w:sz w:val="24"/>
          <w:u w:val="single"/>
        </w:rPr>
        <w:t xml:space="preserve"> 按工程所在地建设行政主管部门和(或)城市建设档案管理机构的规定及发包人要求</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竣工验收资料的费用支付方式：</w:t>
      </w:r>
      <w:r>
        <w:rPr>
          <w:rFonts w:hint="eastAsia" w:ascii="宋体" w:hAnsi="宋体" w:cs="宋体"/>
          <w:sz w:val="24"/>
          <w:u w:val="single"/>
        </w:rPr>
        <w:t xml:space="preserve"> 由承包人自行承担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18.3验收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18.3.5经验收合格的工程，实际竣工日期为承包人按照第18.2款提交竣工验收申请报告或按照本款重新提交竣工验收申请报告的日期(以两者中时间在后者为准)。</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18.5施工期运行</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18.5.1需要施工期运行的单位工程或设备安装工程：</w:t>
      </w:r>
      <w:r>
        <w:rPr>
          <w:rFonts w:hint="eastAsia" w:ascii="宋体" w:hAnsi="宋体" w:cs="宋体"/>
          <w:sz w:val="24"/>
          <w:u w:val="single"/>
        </w:rPr>
        <w:t xml:space="preserve"> 根据实际情况按发包人要求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18.6试运行</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18.6.1工程及工程设备试运行的组织与费用承担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（1）工程设备安装具备单机无负荷试运行条件，由承包人组织试运行，费用由承包人承担。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（2）工程设备安装具备无负荷联动试运行条件，由发包人组织试运行，费用由发包人承担。</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（3）投料试运行应在工程竣工验收后由发包人负责，如发包人要求在工程竣工验收前进行或需要承包人配合时，应征得承包人同意，另行签订补充协议。</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18.7竣工清场</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18.7.1监理人颁发(出具)工程接收证书后，承包人负责按照通用合同条款本项约定的要求对施工场地进行清理并承担相关费用，直至监理人检验合格为止。</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18.8施工队伍的撤离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质保期满时，承包人可以继续在施工场地保留的人员和施工设备以及最终撤离的期限：</w:t>
      </w:r>
      <w:r>
        <w:rPr>
          <w:rFonts w:hint="eastAsia" w:ascii="宋体" w:hAnsi="宋体" w:cs="宋体"/>
          <w:sz w:val="24"/>
          <w:u w:val="single"/>
        </w:rPr>
        <w:t xml:space="preserve"> 质保期满时，承包人的人员和施工设备应全部撤离施工场地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18.9中间验收</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本工程需要进行中间验收的部位如下：</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 w:val="24"/>
          <w:u w:val="single"/>
        </w:rPr>
        <w:t xml:space="preserve"> 监理人要求的 </w:t>
      </w:r>
      <w:r>
        <w:rPr>
          <w:rFonts w:hint="eastAsia" w:ascii="宋体" w:hAnsi="宋体" w:cs="宋体"/>
          <w:sz w:val="24"/>
        </w:rPr>
        <w:t>期限内进行修改后重新验收。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经监理人验收后工程质量符合约定的验收标准，但验收24小时后监理人仍不在验收记录上签字的，视为监理人已经认可验收记录，承包人可继续施工。</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19.缺陷责任与保修责任</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19.7保修责任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(1)工程质量保修范围：</w:t>
      </w:r>
      <w:r>
        <w:rPr>
          <w:rFonts w:hint="eastAsia" w:ascii="宋体" w:hAnsi="宋体" w:cs="宋体"/>
          <w:sz w:val="24"/>
          <w:u w:val="single"/>
        </w:rPr>
        <w:t xml:space="preserve"> 详见质量保修书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(2)工程质量保修期限：</w:t>
      </w:r>
      <w:r>
        <w:rPr>
          <w:rFonts w:hint="eastAsia" w:ascii="宋体" w:hAnsi="宋体" w:cs="宋体"/>
          <w:sz w:val="24"/>
          <w:u w:val="single"/>
        </w:rPr>
        <w:t xml:space="preserve"> 详见质量保修书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(3)工程质量保修责任：</w:t>
      </w:r>
      <w:r>
        <w:rPr>
          <w:rFonts w:hint="eastAsia" w:ascii="宋体" w:hAnsi="宋体" w:cs="宋体"/>
          <w:sz w:val="24"/>
          <w:u w:val="single"/>
        </w:rPr>
        <w:t xml:space="preserve"> 详见质量保修书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20.保险</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20.1工程保险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本工程</w:t>
      </w:r>
      <w:r>
        <w:rPr>
          <w:rFonts w:hint="eastAsia" w:ascii="宋体" w:hAnsi="宋体" w:cs="宋体"/>
          <w:sz w:val="24"/>
          <w:u w:val="single"/>
        </w:rPr>
        <w:t xml:space="preserve">       </w:t>
      </w:r>
      <w:r>
        <w:rPr>
          <w:rFonts w:hint="eastAsia" w:ascii="宋体" w:hAnsi="宋体" w:cs="宋体"/>
          <w:sz w:val="24"/>
        </w:rPr>
        <w:t>工程保险。投保工程保险时，险种为：</w:t>
      </w:r>
      <w:r>
        <w:rPr>
          <w:rFonts w:hint="eastAsia" w:ascii="宋体" w:hAnsi="宋体" w:cs="宋体"/>
          <w:sz w:val="24"/>
          <w:u w:val="single"/>
        </w:rPr>
        <w:t xml:space="preserve">          </w:t>
      </w:r>
      <w:r>
        <w:rPr>
          <w:rFonts w:hint="eastAsia" w:ascii="宋体" w:hAnsi="宋体" w:cs="宋体"/>
          <w:sz w:val="24"/>
        </w:rPr>
        <w:t>，并符合以下约定。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(1)投保人：</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(2)投保内容：</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(3)保险费率：由投保人与合同双方同意的保险人商定。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(4)保险金额：</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(5)保险期限：</w:t>
      </w:r>
      <w:r>
        <w:rPr>
          <w:rFonts w:hint="eastAsia" w:ascii="宋体" w:hAnsi="宋体" w:cs="宋体"/>
          <w:sz w:val="24"/>
          <w:u w:val="single"/>
        </w:rPr>
        <w:t xml:space="preserve">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20.4第三者责任险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20.4.2保险金额：</w:t>
      </w:r>
      <w:r>
        <w:rPr>
          <w:rFonts w:hint="eastAsia" w:ascii="宋体" w:hAnsi="宋体" w:cs="宋体"/>
          <w:sz w:val="24"/>
          <w:u w:val="single"/>
        </w:rPr>
        <w:t xml:space="preserve">                               </w:t>
      </w:r>
      <w:r>
        <w:rPr>
          <w:rFonts w:hint="eastAsia" w:ascii="宋体" w:hAnsi="宋体" w:cs="宋体"/>
          <w:sz w:val="24"/>
        </w:rPr>
        <w:t>，保险费率由承包人与发包人同意的保险人商定，相关保险费由</w:t>
      </w:r>
      <w:r>
        <w:rPr>
          <w:rFonts w:hint="eastAsia" w:ascii="宋体" w:hAnsi="宋体" w:cs="宋体"/>
          <w:sz w:val="24"/>
          <w:u w:val="single"/>
        </w:rPr>
        <w:t xml:space="preserve">       </w:t>
      </w:r>
      <w:r>
        <w:rPr>
          <w:rFonts w:hint="eastAsia" w:ascii="宋体" w:hAnsi="宋体" w:cs="宋体"/>
          <w:sz w:val="24"/>
        </w:rPr>
        <w:t>承担。</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20.5其他保险</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承包人应为其施工设备、进场材料和工程设备等办理的保险：</w:t>
      </w:r>
      <w:r>
        <w:rPr>
          <w:rFonts w:hint="eastAsia" w:ascii="宋体" w:hAnsi="宋体" w:cs="宋体"/>
          <w:sz w:val="24"/>
          <w:u w:val="single"/>
        </w:rPr>
        <w:t xml:space="preserve">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20.6对各项保险的一般要求</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20.6.1保险凭证</w:t>
      </w:r>
    </w:p>
    <w:p>
      <w:pPr>
        <w:wordWrap w:val="0"/>
        <w:topLinePunct/>
        <w:adjustRightInd w:val="0"/>
        <w:snapToGrid w:val="0"/>
        <w:spacing w:line="360" w:lineRule="auto"/>
        <w:rPr>
          <w:rFonts w:ascii="宋体" w:hAnsi="宋体" w:cs="宋体"/>
          <w:sz w:val="24"/>
        </w:rPr>
      </w:pPr>
      <w:r>
        <w:rPr>
          <w:rFonts w:hint="eastAsia" w:ascii="宋体" w:hAnsi="宋体" w:cs="宋体"/>
          <w:sz w:val="24"/>
        </w:rPr>
        <w:t>承包人向发包人提交各项保险生效的证据和保险单副本的期限：</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20.6.4保险金不足的补偿</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保险金不足以补偿损失时，承包人和发包人负责补偿的责任分摊：</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21.不可抗力</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21.1不可抗力的确认</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21.1.1通用合同条款第21.1.1项约定的不可抗力以外的其他情形：</w:t>
      </w:r>
      <w:r>
        <w:rPr>
          <w:rFonts w:hint="eastAsia" w:ascii="宋体" w:hAnsi="宋体" w:cs="宋体"/>
          <w:sz w:val="24"/>
          <w:u w:val="single"/>
        </w:rPr>
        <w:t xml:space="preserve"> 按国家有关部门认定的标准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不可抗力的等级范围约定：</w:t>
      </w:r>
      <w:r>
        <w:rPr>
          <w:rFonts w:hint="eastAsia" w:ascii="宋体" w:hAnsi="宋体" w:cs="宋体"/>
          <w:sz w:val="24"/>
          <w:u w:val="single"/>
        </w:rPr>
        <w:t xml:space="preserve"> 发包人与承包人另行协商约定 </w:t>
      </w:r>
      <w:r>
        <w:rPr>
          <w:rFonts w:hint="eastAsia" w:ascii="宋体" w:hAnsi="宋体" w:cs="宋体"/>
          <w:sz w:val="24"/>
        </w:rPr>
        <w:t xml:space="preserve">。 </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21.3不可抗力后果及其处理</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21.3.1不可抗力造成损害的责任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不可抗力导致的人员伤亡、财产损失、费用增加和(或)工期延误等后果，由合同双方按通用合同条款第21.3.1项约定的原则承担。</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24.争议的解决</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24.1争议的解决方式</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因本合同引起的或与本合同有关的任何争议，合同双方友好协商不成、不愿提请争议组评审或者不愿接受争议评审组意见的，选择下列第</w:t>
      </w:r>
      <w:r>
        <w:rPr>
          <w:rFonts w:hint="eastAsia" w:ascii="宋体" w:hAnsi="宋体" w:cs="宋体"/>
          <w:sz w:val="24"/>
          <w:u w:val="single"/>
        </w:rPr>
        <w:t xml:space="preserve"> 贰 </w:t>
      </w:r>
      <w:r>
        <w:rPr>
          <w:rFonts w:hint="eastAsia" w:ascii="宋体" w:hAnsi="宋体" w:cs="宋体"/>
          <w:sz w:val="24"/>
        </w:rPr>
        <w:t>种方式解决：</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u w:val="single"/>
        </w:rPr>
        <w:t>（壹）</w:t>
      </w:r>
      <w:r>
        <w:rPr>
          <w:rFonts w:hint="eastAsia" w:ascii="宋体" w:hAnsi="宋体" w:cs="宋体"/>
          <w:sz w:val="24"/>
        </w:rPr>
        <w:t>提请</w:t>
      </w:r>
      <w:r>
        <w:rPr>
          <w:rFonts w:hint="eastAsia" w:ascii="宋体" w:hAnsi="宋体" w:cs="宋体"/>
          <w:sz w:val="24"/>
          <w:u w:val="single"/>
        </w:rPr>
        <w:t xml:space="preserve"> 济宁市 </w:t>
      </w:r>
      <w:r>
        <w:rPr>
          <w:rFonts w:hint="eastAsia" w:ascii="宋体" w:hAnsi="宋体" w:cs="宋体"/>
          <w:sz w:val="24"/>
        </w:rPr>
        <w:t>仲裁委员会按照该会仲裁规则进行仲裁，仲裁裁决是终局的，对合同双方均有约束力。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u w:val="single"/>
        </w:rPr>
        <w:t>（贰）</w:t>
      </w:r>
      <w:r>
        <w:rPr>
          <w:rFonts w:hint="eastAsia" w:ascii="宋体" w:hAnsi="宋体" w:cs="宋体"/>
          <w:sz w:val="24"/>
        </w:rPr>
        <w:t>向有管辖权的人民法院提起诉讼。</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24.2争议评审</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24.2.4争议评审组邀请合同双方代表人和有关人员举行调查会的期限：</w:t>
      </w:r>
      <w:r>
        <w:rPr>
          <w:rFonts w:hint="eastAsia" w:ascii="宋体" w:hAnsi="宋体" w:cs="宋体"/>
          <w:sz w:val="24"/>
          <w:u w:val="single"/>
        </w:rPr>
        <w:t xml:space="preserve"> 争议评审组在收到合同双方报告后的14天内 </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24.2.5争议评审组在调查会后作出争议评审意见的期限：</w:t>
      </w:r>
      <w:r>
        <w:rPr>
          <w:rFonts w:hint="eastAsia" w:ascii="宋体" w:hAnsi="宋体" w:cs="宋体"/>
          <w:sz w:val="24"/>
          <w:u w:val="single"/>
        </w:rPr>
        <w:t xml:space="preserve"> 在调查会结束后的14天内 </w:t>
      </w:r>
      <w:r>
        <w:rPr>
          <w:rFonts w:hint="eastAsia" w:ascii="宋体" w:hAnsi="宋体" w:cs="宋体"/>
          <w:sz w:val="24"/>
        </w:rPr>
        <w:t>。</w:t>
      </w:r>
    </w:p>
    <w:p>
      <w:pPr>
        <w:pStyle w:val="5"/>
        <w:keepNext w:val="0"/>
        <w:keepLines w:val="0"/>
        <w:wordWrap w:val="0"/>
        <w:topLinePunct/>
        <w:adjustRightInd w:val="0"/>
        <w:snapToGrid w:val="0"/>
        <w:ind w:firstLine="241" w:firstLineChars="100"/>
        <w:rPr>
          <w:rFonts w:ascii="宋体" w:hAnsi="宋体" w:cs="宋体"/>
          <w:szCs w:val="24"/>
        </w:rPr>
      </w:pPr>
      <w:r>
        <w:rPr>
          <w:rFonts w:hint="eastAsia" w:ascii="宋体" w:hAnsi="宋体" w:cs="宋体"/>
          <w:szCs w:val="24"/>
        </w:rPr>
        <w:t>25. 补充条款</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25.1</w:t>
      </w:r>
      <w:r>
        <w:rPr>
          <w:rFonts w:hint="eastAsia" w:ascii="宋体" w:hAnsi="宋体" w:cs="宋体"/>
          <w:sz w:val="24"/>
          <w:u w:val="single"/>
        </w:rPr>
        <w:t xml:space="preserve"> 施工期间的安全问题、地方关系、个体关系、与周边关系的协调由中标单位自行处理，费用由承包人承担</w:t>
      </w:r>
      <w:r>
        <w:rPr>
          <w:rFonts w:hint="eastAsia" w:ascii="宋体" w:hAnsi="宋体" w:cs="宋体"/>
          <w:sz w:val="24"/>
        </w:rPr>
        <w:t>。</w:t>
      </w:r>
    </w:p>
    <w:p>
      <w:pPr>
        <w:wordWrap w:val="0"/>
        <w:topLinePunct/>
        <w:adjustRightInd w:val="0"/>
        <w:snapToGrid w:val="0"/>
        <w:spacing w:line="360" w:lineRule="auto"/>
        <w:ind w:firstLine="482" w:firstLineChars="200"/>
        <w:rPr>
          <w:rFonts w:ascii="宋体" w:hAnsi="宋体" w:cs="宋体"/>
          <w:bCs/>
          <w:sz w:val="24"/>
        </w:rPr>
      </w:pPr>
      <w:r>
        <w:rPr>
          <w:rFonts w:hint="eastAsia" w:ascii="宋体" w:hAnsi="宋体" w:cs="宋体"/>
          <w:bCs/>
          <w:sz w:val="24"/>
        </w:rPr>
        <w:t>25.2承包人应根据现场实际情况，制定有效安全防范、防护措施，安设醒目安全标志、警戒线，并安排专人负责。任何因承包人原因引起的交通、生产等安全问题均由承包人负责。</w:t>
      </w:r>
    </w:p>
    <w:p>
      <w:pPr>
        <w:wordWrap w:val="0"/>
        <w:topLinePunct/>
        <w:adjustRightInd w:val="0"/>
        <w:snapToGrid w:val="0"/>
        <w:spacing w:line="360" w:lineRule="auto"/>
        <w:ind w:firstLine="482" w:firstLineChars="200"/>
        <w:rPr>
          <w:rFonts w:ascii="宋体" w:hAnsi="宋体" w:cs="宋体"/>
          <w:bCs/>
          <w:sz w:val="24"/>
        </w:rPr>
      </w:pPr>
      <w:r>
        <w:rPr>
          <w:rFonts w:hint="eastAsia" w:ascii="宋体" w:hAnsi="宋体" w:cs="宋体"/>
          <w:bCs/>
          <w:sz w:val="24"/>
        </w:rPr>
        <w:t>25.3承包人应严格治安管理及现场管理，任何因承包人原因造成的扰民纠纷及其他纠纷均由承包人负责。</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bCs/>
          <w:sz w:val="24"/>
        </w:rPr>
        <w:t>25.4</w:t>
      </w:r>
      <w:r>
        <w:rPr>
          <w:rFonts w:hint="eastAsia" w:ascii="宋体" w:hAnsi="宋体" w:cs="宋体"/>
          <w:bCs/>
          <w:sz w:val="24"/>
          <w:lang w:val="en-GB"/>
        </w:rPr>
        <w:t>承包人应及时支付工程材料款及民工工资等款项，任何因承包人原因给发包人带来的任何负面及不良影响，均由承包人承担全部责任。</w:t>
      </w: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rPr>
          <w:rFonts w:ascii="宋体" w:hAnsi="宋体" w:cs="宋体"/>
          <w:sz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pStyle w:val="5"/>
        <w:keepNext w:val="0"/>
        <w:keepLines w:val="0"/>
        <w:wordWrap w:val="0"/>
        <w:topLinePunct/>
        <w:adjustRightInd w:val="0"/>
        <w:snapToGrid w:val="0"/>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pStyle w:val="2"/>
      </w:pPr>
    </w:p>
    <w:p>
      <w:pPr>
        <w:pStyle w:val="2"/>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附件一：承包人提供的材料和工程设备一览表</w:t>
      </w:r>
    </w:p>
    <w:p>
      <w:pPr>
        <w:wordWrap w:val="0"/>
        <w:topLinePunct/>
        <w:adjustRightInd w:val="0"/>
        <w:snapToGrid w:val="0"/>
        <w:spacing w:line="360" w:lineRule="auto"/>
        <w:jc w:val="center"/>
        <w:rPr>
          <w:rFonts w:ascii="宋体" w:hAnsi="宋体" w:cs="宋体"/>
          <w:b/>
          <w:sz w:val="24"/>
        </w:rPr>
      </w:pPr>
    </w:p>
    <w:p>
      <w:pPr>
        <w:wordWrap w:val="0"/>
        <w:topLinePunct/>
        <w:adjustRightInd w:val="0"/>
        <w:snapToGrid w:val="0"/>
        <w:spacing w:line="360" w:lineRule="auto"/>
        <w:jc w:val="center"/>
        <w:rPr>
          <w:rFonts w:ascii="宋体" w:hAnsi="宋体" w:cs="宋体"/>
          <w:b/>
          <w:sz w:val="24"/>
        </w:rPr>
      </w:pPr>
      <w:r>
        <w:rPr>
          <w:rFonts w:hint="eastAsia" w:ascii="宋体" w:hAnsi="宋体" w:cs="宋体"/>
          <w:b/>
          <w:sz w:val="24"/>
        </w:rPr>
        <w:t>承包人提供的材料和工程设备一览表</w:t>
      </w:r>
    </w:p>
    <w:p>
      <w:pPr>
        <w:wordWrap w:val="0"/>
        <w:topLinePunct/>
        <w:adjustRightInd w:val="0"/>
        <w:snapToGrid w:val="0"/>
        <w:spacing w:line="360" w:lineRule="auto"/>
        <w:rPr>
          <w:rFonts w:ascii="宋体" w:hAnsi="宋体" w:cs="宋体"/>
          <w:sz w:val="24"/>
        </w:rPr>
      </w:pPr>
    </w:p>
    <w:tbl>
      <w:tblPr>
        <w:tblStyle w:val="2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序号</w:t>
            </w:r>
          </w:p>
        </w:tc>
        <w:tc>
          <w:tcPr>
            <w:tcW w:w="143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材料设备</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名   称</w:t>
            </w:r>
          </w:p>
        </w:tc>
        <w:tc>
          <w:tcPr>
            <w:tcW w:w="1233"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规格</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型号</w:t>
            </w:r>
          </w:p>
        </w:tc>
        <w:tc>
          <w:tcPr>
            <w:tcW w:w="822"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位</w:t>
            </w:r>
          </w:p>
        </w:tc>
        <w:tc>
          <w:tcPr>
            <w:tcW w:w="73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数</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量</w:t>
            </w:r>
          </w:p>
        </w:tc>
        <w:tc>
          <w:tcPr>
            <w:tcW w:w="69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价</w:t>
            </w:r>
          </w:p>
        </w:tc>
        <w:tc>
          <w:tcPr>
            <w:tcW w:w="1028"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方式</w:t>
            </w:r>
          </w:p>
        </w:tc>
        <w:tc>
          <w:tcPr>
            <w:tcW w:w="102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地点</w:t>
            </w:r>
          </w:p>
        </w:tc>
        <w:tc>
          <w:tcPr>
            <w:tcW w:w="1028"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计划</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时间</w:t>
            </w:r>
          </w:p>
        </w:tc>
        <w:tc>
          <w:tcPr>
            <w:tcW w:w="822"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hAnsi="宋体" w:cs="宋体"/>
                <w:bCs/>
                <w:sz w:val="24"/>
              </w:rPr>
            </w:pPr>
          </w:p>
        </w:tc>
        <w:tc>
          <w:tcPr>
            <w:tcW w:w="1439" w:type="dxa"/>
          </w:tcPr>
          <w:p>
            <w:pPr>
              <w:wordWrap w:val="0"/>
              <w:topLinePunct/>
              <w:adjustRightInd w:val="0"/>
              <w:spacing w:line="360" w:lineRule="auto"/>
              <w:jc w:val="center"/>
              <w:rPr>
                <w:rFonts w:ascii="宋体" w:hAnsi="宋体" w:cs="宋体"/>
                <w:bCs/>
                <w:sz w:val="24"/>
              </w:rPr>
            </w:pPr>
          </w:p>
        </w:tc>
        <w:tc>
          <w:tcPr>
            <w:tcW w:w="1233"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c>
          <w:tcPr>
            <w:tcW w:w="739" w:type="dxa"/>
          </w:tcPr>
          <w:p>
            <w:pPr>
              <w:wordWrap w:val="0"/>
              <w:topLinePunct/>
              <w:adjustRightInd w:val="0"/>
              <w:spacing w:line="360" w:lineRule="auto"/>
              <w:jc w:val="center"/>
              <w:rPr>
                <w:rFonts w:ascii="宋体" w:hAnsi="宋体" w:cs="宋体"/>
                <w:bCs/>
                <w:sz w:val="24"/>
              </w:rPr>
            </w:pPr>
          </w:p>
        </w:tc>
        <w:tc>
          <w:tcPr>
            <w:tcW w:w="699"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1027" w:type="dxa"/>
          </w:tcPr>
          <w:p>
            <w:pPr>
              <w:wordWrap w:val="0"/>
              <w:topLinePunct/>
              <w:adjustRightInd w:val="0"/>
              <w:spacing w:line="360" w:lineRule="auto"/>
              <w:jc w:val="center"/>
              <w:rPr>
                <w:rFonts w:ascii="宋体" w:hAnsi="宋体" w:cs="宋体"/>
                <w:bCs/>
                <w:sz w:val="24"/>
              </w:rPr>
            </w:pPr>
          </w:p>
        </w:tc>
        <w:tc>
          <w:tcPr>
            <w:tcW w:w="1028" w:type="dxa"/>
          </w:tcPr>
          <w:p>
            <w:pPr>
              <w:wordWrap w:val="0"/>
              <w:topLinePunct/>
              <w:adjustRightInd w:val="0"/>
              <w:spacing w:line="360" w:lineRule="auto"/>
              <w:jc w:val="center"/>
              <w:rPr>
                <w:rFonts w:ascii="宋体" w:hAnsi="宋体" w:cs="宋体"/>
                <w:bCs/>
                <w:sz w:val="24"/>
              </w:rPr>
            </w:pPr>
          </w:p>
        </w:tc>
        <w:tc>
          <w:tcPr>
            <w:tcW w:w="822" w:type="dxa"/>
          </w:tcPr>
          <w:p>
            <w:pPr>
              <w:wordWrap w:val="0"/>
              <w:topLinePunct/>
              <w:adjustRightInd w:val="0"/>
              <w:spacing w:line="360" w:lineRule="auto"/>
              <w:jc w:val="center"/>
              <w:rPr>
                <w:rFonts w:ascii="宋体" w:hAnsi="宋体" w:cs="宋体"/>
                <w:bCs/>
                <w:sz w:val="24"/>
              </w:rPr>
            </w:pPr>
          </w:p>
        </w:tc>
      </w:tr>
    </w:tbl>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附件二：发包人提供的材料和工程设备一览表</w:t>
      </w:r>
    </w:p>
    <w:p>
      <w:pPr>
        <w:wordWrap w:val="0"/>
        <w:topLinePunct/>
        <w:adjustRightInd w:val="0"/>
        <w:snapToGrid w:val="0"/>
        <w:spacing w:line="360" w:lineRule="auto"/>
        <w:rPr>
          <w:rFonts w:ascii="宋体" w:hAnsi="宋体" w:cs="宋体"/>
          <w:sz w:val="24"/>
        </w:rPr>
      </w:pPr>
    </w:p>
    <w:p>
      <w:pPr>
        <w:wordWrap w:val="0"/>
        <w:topLinePunct/>
        <w:adjustRightInd w:val="0"/>
        <w:snapToGrid w:val="0"/>
        <w:spacing w:line="360" w:lineRule="auto"/>
        <w:jc w:val="center"/>
        <w:rPr>
          <w:rFonts w:ascii="宋体" w:hAnsi="宋体" w:cs="宋体"/>
          <w:b/>
          <w:sz w:val="24"/>
        </w:rPr>
      </w:pPr>
      <w:r>
        <w:rPr>
          <w:rFonts w:hint="eastAsia" w:ascii="宋体" w:hAnsi="宋体" w:cs="宋体"/>
          <w:b/>
          <w:sz w:val="24"/>
        </w:rPr>
        <w:t>发包人提供的材料和工程设备一览表</w:t>
      </w:r>
    </w:p>
    <w:p>
      <w:pPr>
        <w:wordWrap w:val="0"/>
        <w:topLinePunct/>
        <w:adjustRightInd w:val="0"/>
        <w:snapToGrid w:val="0"/>
        <w:spacing w:line="360" w:lineRule="auto"/>
        <w:jc w:val="center"/>
        <w:rPr>
          <w:rFonts w:ascii="宋体" w:hAnsi="宋体" w:cs="宋体"/>
          <w:b/>
          <w:sz w:val="24"/>
        </w:rPr>
      </w:pPr>
    </w:p>
    <w:tbl>
      <w:tblPr>
        <w:tblStyle w:val="2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序号</w:t>
            </w:r>
          </w:p>
        </w:tc>
        <w:tc>
          <w:tcPr>
            <w:tcW w:w="1353"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材料设备</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名   称</w:t>
            </w:r>
          </w:p>
        </w:tc>
        <w:tc>
          <w:tcPr>
            <w:tcW w:w="1189"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规格</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型号</w:t>
            </w:r>
          </w:p>
        </w:tc>
        <w:tc>
          <w:tcPr>
            <w:tcW w:w="706"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位</w:t>
            </w:r>
          </w:p>
        </w:tc>
        <w:tc>
          <w:tcPr>
            <w:tcW w:w="70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数</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量</w:t>
            </w:r>
          </w:p>
        </w:tc>
        <w:tc>
          <w:tcPr>
            <w:tcW w:w="706"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单</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价</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方式</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地点</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计划</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交货</w:t>
            </w:r>
          </w:p>
          <w:p>
            <w:pPr>
              <w:wordWrap w:val="0"/>
              <w:topLinePunct/>
              <w:adjustRightInd w:val="0"/>
              <w:spacing w:line="360" w:lineRule="auto"/>
              <w:jc w:val="center"/>
              <w:rPr>
                <w:rFonts w:ascii="宋体" w:hAnsi="宋体" w:cs="宋体"/>
                <w:bCs/>
                <w:sz w:val="24"/>
              </w:rPr>
            </w:pPr>
            <w:r>
              <w:rPr>
                <w:rFonts w:hint="eastAsia" w:ascii="宋体" w:hAnsi="宋体" w:cs="宋体"/>
                <w:bCs/>
                <w:sz w:val="24"/>
              </w:rPr>
              <w:t>时间</w:t>
            </w:r>
          </w:p>
        </w:tc>
        <w:tc>
          <w:tcPr>
            <w:tcW w:w="1037" w:type="dxa"/>
            <w:vAlign w:val="center"/>
          </w:tcPr>
          <w:p>
            <w:pPr>
              <w:wordWrap w:val="0"/>
              <w:topLinePunct/>
              <w:adjustRightInd w:val="0"/>
              <w:spacing w:line="360" w:lineRule="auto"/>
              <w:jc w:val="center"/>
              <w:rPr>
                <w:rFonts w:ascii="宋体" w:hAnsi="宋体" w:cs="宋体"/>
                <w:bCs/>
                <w:sz w:val="24"/>
              </w:rPr>
            </w:pPr>
            <w:r>
              <w:rPr>
                <w:rFonts w:hint="eastAsia" w:ascii="宋体" w:hAnsi="宋体" w:cs="宋体"/>
                <w:bCs/>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Pr>
          <w:p>
            <w:pPr>
              <w:wordWrap w:val="0"/>
              <w:topLinePunct/>
              <w:adjustRightInd w:val="0"/>
              <w:spacing w:line="360" w:lineRule="auto"/>
              <w:jc w:val="center"/>
              <w:rPr>
                <w:rFonts w:ascii="宋体" w:hAnsi="宋体" w:cs="宋体"/>
                <w:bCs/>
                <w:sz w:val="24"/>
              </w:rPr>
            </w:pPr>
          </w:p>
        </w:tc>
        <w:tc>
          <w:tcPr>
            <w:tcW w:w="1353" w:type="dxa"/>
          </w:tcPr>
          <w:p>
            <w:pPr>
              <w:wordWrap w:val="0"/>
              <w:topLinePunct/>
              <w:adjustRightInd w:val="0"/>
              <w:spacing w:line="360" w:lineRule="auto"/>
              <w:jc w:val="center"/>
              <w:rPr>
                <w:rFonts w:ascii="宋体" w:hAnsi="宋体" w:cs="宋体"/>
                <w:bCs/>
                <w:sz w:val="24"/>
              </w:rPr>
            </w:pPr>
          </w:p>
        </w:tc>
        <w:tc>
          <w:tcPr>
            <w:tcW w:w="1189"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707" w:type="dxa"/>
          </w:tcPr>
          <w:p>
            <w:pPr>
              <w:wordWrap w:val="0"/>
              <w:topLinePunct/>
              <w:adjustRightInd w:val="0"/>
              <w:spacing w:line="360" w:lineRule="auto"/>
              <w:jc w:val="center"/>
              <w:rPr>
                <w:rFonts w:ascii="宋体" w:hAnsi="宋体" w:cs="宋体"/>
                <w:bCs/>
                <w:sz w:val="24"/>
              </w:rPr>
            </w:pPr>
          </w:p>
        </w:tc>
        <w:tc>
          <w:tcPr>
            <w:tcW w:w="706"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c>
          <w:tcPr>
            <w:tcW w:w="1037" w:type="dxa"/>
          </w:tcPr>
          <w:p>
            <w:pPr>
              <w:wordWrap w:val="0"/>
              <w:topLinePunct/>
              <w:adjustRightInd w:val="0"/>
              <w:spacing w:line="360" w:lineRule="auto"/>
              <w:jc w:val="center"/>
              <w:rPr>
                <w:rFonts w:ascii="宋体" w:hAnsi="宋体" w:cs="宋体"/>
                <w:bCs/>
                <w:sz w:val="24"/>
              </w:rPr>
            </w:pPr>
          </w:p>
        </w:tc>
      </w:tr>
    </w:tbl>
    <w:p>
      <w:pPr>
        <w:wordWrap w:val="0"/>
        <w:topLinePunct/>
        <w:adjustRightInd w:val="0"/>
        <w:snapToGrid w:val="0"/>
        <w:spacing w:line="360" w:lineRule="auto"/>
        <w:ind w:firstLine="482" w:firstLineChars="200"/>
        <w:rPr>
          <w:rFonts w:ascii="宋体" w:hAnsi="宋体" w:cs="宋体"/>
          <w:sz w:val="24"/>
        </w:rPr>
      </w:pP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备注：除合同另有约定外，本表所列发包人供应材料和工程设备的数量不考虑施工损耗，施工损耗被认为已经包括在承包人的投标价格中。</w:t>
      </w: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附件三：工程质量保修书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w:t>
      </w:r>
      <w:r>
        <w:rPr>
          <w:rFonts w:hint="eastAsia" w:ascii="宋体" w:hAnsi="宋体" w:cs="宋体"/>
          <w:sz w:val="24"/>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r>
        <w:rPr>
          <w:rFonts w:hint="eastAsia" w:ascii="宋体" w:hAnsi="宋体" w:cs="宋体"/>
          <w:sz w:val="24"/>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（工程全称）签订工程质量保修书。</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一、工程质量保修范围和内容</w:t>
      </w:r>
    </w:p>
    <w:p>
      <w:pPr>
        <w:wordWrap w:val="0"/>
        <w:topLinePunct/>
        <w:adjustRightInd w:val="0"/>
        <w:snapToGrid w:val="0"/>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wordWrap w:val="0"/>
        <w:topLinePunct/>
        <w:adjustRightInd w:val="0"/>
        <w:snapToGrid w:val="0"/>
        <w:spacing w:line="360" w:lineRule="auto"/>
        <w:ind w:firstLine="420"/>
        <w:rPr>
          <w:rFonts w:ascii="宋体" w:hAnsi="宋体" w:cs="宋体"/>
          <w:b/>
          <w:sz w:val="24"/>
        </w:rPr>
      </w:pPr>
      <w:r>
        <w:rPr>
          <w:rFonts w:hint="eastAsia" w:ascii="宋体" w:hAnsi="宋体" w:cs="宋体"/>
          <w:sz w:val="24"/>
        </w:rPr>
        <w:t>具体保修的内容，双方约定如下：</w:t>
      </w:r>
      <w:r>
        <w:rPr>
          <w:rFonts w:hint="eastAsia" w:ascii="宋体" w:hAnsi="宋体" w:cs="宋体"/>
          <w:sz w:val="24"/>
          <w:u w:val="single"/>
        </w:rPr>
        <w:t xml:space="preserve">                                  </w:t>
      </w:r>
      <w:r>
        <w:rPr>
          <w:rFonts w:hint="eastAsia" w:ascii="宋体" w:hAnsi="宋体" w:cs="宋体"/>
          <w:b/>
          <w:sz w:val="24"/>
        </w:rPr>
        <w:t>　　</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二、质量保修期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双方根据《建设工程质量管理条例》及有关规定，约定工程的质量保修期如下：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1．地基基础工程和主体结构工程为设计文件规定的工程合理使用年限；</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 xml:space="preserve"> 五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二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二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二 </w:t>
      </w:r>
      <w:r>
        <w:rPr>
          <w:rFonts w:hint="eastAsia" w:ascii="宋体" w:hAnsi="宋体" w:cs="宋体"/>
          <w:sz w:val="24"/>
        </w:rPr>
        <w:t>个采暖期、供冷期；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二 </w:t>
      </w:r>
      <w:r>
        <w:rPr>
          <w:rFonts w:hint="eastAsia" w:ascii="宋体" w:hAnsi="宋体" w:cs="宋体"/>
          <w:sz w:val="24"/>
        </w:rPr>
        <w:t>年；</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rPr>
          <w:rFonts w:ascii="宋体" w:hAnsi="宋体" w:cs="宋体"/>
          <w:sz w:val="24"/>
        </w:rPr>
      </w:pPr>
      <w:r>
        <w:rPr>
          <w:rFonts w:hint="eastAsia" w:ascii="宋体" w:hAnsi="宋体" w:cs="宋体"/>
          <w:sz w:val="24"/>
        </w:rPr>
        <w:t>　　质量保修期自工程竣工验收合格之日起计算。</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三、质保期</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工程质保期为</w:t>
      </w:r>
      <w:r>
        <w:rPr>
          <w:rFonts w:hint="eastAsia" w:ascii="宋体" w:hAnsi="宋体" w:cs="宋体"/>
          <w:sz w:val="24"/>
          <w:u w:val="single"/>
        </w:rPr>
        <w:t xml:space="preserve"> </w:t>
      </w:r>
      <w:r>
        <w:rPr>
          <w:rFonts w:hint="eastAsia" w:ascii="宋体" w:hAnsi="宋体" w:cs="宋体"/>
          <w:sz w:val="24"/>
          <w:u w:val="single"/>
          <w:lang w:val="en-US" w:eastAsia="zh-CN"/>
        </w:rPr>
        <w:t>36</w:t>
      </w:r>
      <w:r>
        <w:rPr>
          <w:rFonts w:hint="eastAsia" w:ascii="宋体" w:hAnsi="宋体" w:cs="宋体"/>
          <w:sz w:val="24"/>
          <w:u w:val="single"/>
        </w:rPr>
        <w:t xml:space="preserve"> </w:t>
      </w:r>
      <w:r>
        <w:rPr>
          <w:rFonts w:hint="eastAsia" w:ascii="宋体" w:hAnsi="宋体" w:cs="宋体"/>
          <w:sz w:val="24"/>
        </w:rPr>
        <w:t>个月，质保期自工程竣工验收合格之日起计算。单位工程先于全部工程进行验收，单位工程质保期自单位工程验收合格之日起算。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质保期终止后，发包人应退还剩余的质量保证金。</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四、质量保修责任</w:t>
      </w:r>
    </w:p>
    <w:p>
      <w:pPr>
        <w:wordWrap w:val="0"/>
        <w:topLinePunct/>
        <w:adjustRightInd w:val="0"/>
        <w:snapToGrid w:val="0"/>
        <w:spacing w:line="360" w:lineRule="auto"/>
        <w:ind w:firstLine="493"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wordWrap w:val="0"/>
        <w:topLinePunct/>
        <w:adjustRightInd w:val="0"/>
        <w:snapToGrid w:val="0"/>
        <w:spacing w:line="360" w:lineRule="auto"/>
        <w:ind w:firstLine="493"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wordWrap w:val="0"/>
        <w:topLinePunct/>
        <w:adjustRightInd w:val="0"/>
        <w:snapToGrid w:val="0"/>
        <w:spacing w:line="360" w:lineRule="auto"/>
        <w:ind w:firstLine="493"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ordWrap w:val="0"/>
        <w:topLinePunct/>
        <w:adjustRightInd w:val="0"/>
        <w:snapToGrid w:val="0"/>
        <w:spacing w:line="360" w:lineRule="auto"/>
        <w:ind w:firstLine="120" w:firstLineChars="50"/>
        <w:rPr>
          <w:rFonts w:ascii="宋体" w:hAnsi="宋体" w:cs="宋体"/>
          <w:sz w:val="24"/>
        </w:rPr>
      </w:pPr>
      <w:r>
        <w:rPr>
          <w:rFonts w:hint="eastAsia" w:ascii="宋体" w:hAnsi="宋体" w:cs="宋体"/>
          <w:sz w:val="24"/>
        </w:rPr>
        <w:t>4．质量保修完成后，由发包人组织验收。</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五、保修费用</w:t>
      </w:r>
    </w:p>
    <w:p>
      <w:pPr>
        <w:wordWrap w:val="0"/>
        <w:topLinePunct/>
        <w:adjustRightInd w:val="0"/>
        <w:snapToGrid w:val="0"/>
        <w:spacing w:line="360" w:lineRule="auto"/>
        <w:rPr>
          <w:rFonts w:ascii="宋体" w:hAnsi="宋体" w:cs="宋体"/>
          <w:sz w:val="24"/>
        </w:rPr>
      </w:pPr>
      <w:r>
        <w:rPr>
          <w:rFonts w:hint="eastAsia" w:ascii="宋体" w:hAnsi="宋体" w:cs="宋体"/>
          <w:sz w:val="24"/>
        </w:rPr>
        <w:t>　　保修费用由造成质量缺陷的责任方承担。</w:t>
      </w:r>
    </w:p>
    <w:p>
      <w:pPr>
        <w:wordWrap w:val="0"/>
        <w:topLinePunct/>
        <w:adjustRightInd w:val="0"/>
        <w:snapToGrid w:val="0"/>
        <w:spacing w:line="360" w:lineRule="auto"/>
        <w:rPr>
          <w:rFonts w:ascii="宋体" w:hAnsi="宋体" w:cs="宋体"/>
          <w:sz w:val="24"/>
        </w:rPr>
      </w:pPr>
      <w:r>
        <w:rPr>
          <w:rFonts w:hint="eastAsia" w:ascii="宋体" w:hAnsi="宋体" w:cs="宋体"/>
          <w:b/>
          <w:bCs/>
          <w:sz w:val="24"/>
        </w:rPr>
        <w:t>六、双方约定的其他工程质量保修事项：</w:t>
      </w:r>
      <w:r>
        <w:rPr>
          <w:rFonts w:hint="eastAsia" w:ascii="宋体" w:hAnsi="宋体" w:cs="宋体"/>
          <w:sz w:val="24"/>
          <w:u w:val="single"/>
        </w:rPr>
        <w:t xml:space="preserve">                                   </w:t>
      </w:r>
      <w:r>
        <w:rPr>
          <w:rFonts w:hint="eastAsia" w:ascii="宋体" w:hAnsi="宋体" w:cs="宋体"/>
          <w:sz w:val="24"/>
        </w:rPr>
        <w:t>。</w:t>
      </w:r>
    </w:p>
    <w:p>
      <w:pPr>
        <w:wordWrap w:val="0"/>
        <w:topLinePunct/>
        <w:adjustRightInd w:val="0"/>
        <w:snapToGrid w:val="0"/>
        <w:spacing w:line="360" w:lineRule="auto"/>
        <w:ind w:firstLine="457"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wordWrap w:val="0"/>
        <w:topLinePunct/>
        <w:adjustRightInd w:val="0"/>
        <w:snapToGrid w:val="0"/>
        <w:spacing w:line="360" w:lineRule="auto"/>
        <w:ind w:firstLine="420"/>
        <w:rPr>
          <w:rFonts w:ascii="宋体" w:hAnsi="宋体" w:cs="宋体"/>
          <w:sz w:val="24"/>
        </w:rPr>
      </w:pPr>
    </w:p>
    <w:p>
      <w:pPr>
        <w:wordWrap w:val="0"/>
        <w:topLinePunct/>
        <w:adjustRightInd w:val="0"/>
        <w:snapToGrid w:val="0"/>
        <w:spacing w:line="36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w:t>
      </w:r>
      <w:r>
        <w:rPr>
          <w:rFonts w:hint="eastAsia" w:ascii="宋体" w:hAnsi="宋体" w:cs="宋体"/>
          <w:sz w:val="24"/>
        </w:rPr>
        <w:t xml:space="preserve">           承包人(公章)：</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地  址：</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wordWrap w:val="0"/>
        <w:topLinePunct/>
        <w:adjustRightInd w:val="0"/>
        <w:snapToGrid w:val="0"/>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Pr>
        <w:rPr>
          <w:rFonts w:ascii="宋体" w:hAnsi="宋体" w:cs="宋体"/>
          <w:sz w:val="24"/>
        </w:rPr>
      </w:pPr>
    </w:p>
    <w:p>
      <w:pPr>
        <w:pStyle w:val="2"/>
        <w:rPr>
          <w:rFonts w:ascii="宋体" w:hAnsi="宋体" w:cs="宋体"/>
          <w:szCs w:val="24"/>
        </w:rPr>
      </w:pPr>
    </w:p>
    <w:p/>
    <w:p>
      <w:pPr>
        <w:pStyle w:val="2"/>
      </w:pPr>
    </w:p>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hint="eastAsia" w:ascii="宋体" w:hAnsi="宋体" w:cs="宋体"/>
          <w:szCs w:val="24"/>
        </w:rPr>
      </w:pPr>
    </w:p>
    <w:p>
      <w:pPr>
        <w:pStyle w:val="5"/>
        <w:keepNext w:val="0"/>
        <w:keepLines w:val="0"/>
        <w:wordWrap w:val="0"/>
        <w:topLinePunct/>
        <w:adjustRightInd w:val="0"/>
        <w:snapToGrid w:val="0"/>
        <w:rPr>
          <w:rFonts w:ascii="宋体" w:hAnsi="宋体" w:cs="宋体"/>
          <w:szCs w:val="24"/>
        </w:rPr>
      </w:pPr>
      <w:r>
        <w:rPr>
          <w:rFonts w:hint="eastAsia" w:ascii="宋体" w:hAnsi="宋体" w:cs="宋体"/>
          <w:szCs w:val="24"/>
        </w:rPr>
        <w:t>附件四：廉政责任书格式</w:t>
      </w:r>
    </w:p>
    <w:p>
      <w:pPr>
        <w:wordWrap w:val="0"/>
        <w:topLinePunct/>
        <w:adjustRightInd w:val="0"/>
        <w:snapToGrid w:val="0"/>
        <w:spacing w:line="360" w:lineRule="auto"/>
        <w:ind w:firstLine="482" w:firstLineChars="200"/>
        <w:jc w:val="center"/>
        <w:rPr>
          <w:rFonts w:ascii="宋体" w:hAnsi="宋体" w:cs="宋体"/>
          <w:b/>
          <w:bCs/>
          <w:sz w:val="24"/>
        </w:rPr>
      </w:pPr>
      <w:r>
        <w:rPr>
          <w:rFonts w:hint="eastAsia" w:ascii="宋体" w:hAnsi="宋体" w:cs="宋体"/>
          <w:b/>
          <w:bCs/>
          <w:sz w:val="24"/>
        </w:rPr>
        <w:t>建设工程廉政责任书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承包人：</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一、双方的责任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1.1应严格遵守国家关于建设工程的有关法律、法规，相关政策，以及廉政建设的各项规定。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1.2严格执行建设工程合同文件，自觉按合同办事。</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二、发包人责任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发包人的领导和从事该建设工程项目的工作人员，在工程建设的事前、事中、事后应遵守以下规定：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2.1不得向承包人和相关单位索要或接受回扣、礼金、有价证券、贵重物品和好处费、感谢费等。</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2.2不得在承包人和相关单位报销任何应由发包人或个人支付的费用。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2.3不得要求、暗示或接受承包人和相关单位为个人装修住房、婚丧嫁娶、配偶子女的工作安排以及出国(境)、旅游等提供方便。</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2.4不得参加有可能影响公正执行公务的承包人和相关单位的宴请、健身、娱乐等活动。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2.5不得向承包人和相关单位介绍或为配偶、子女、亲属参与同发包人工程建设管理合同有关的业务活动；不得以任何理由要求承包人和相关单位使用某种产品、材料和设备。</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三、承包人责任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应与发包人保持正常的业务交往，按照有关法律法规和程序开展业务工作，严格执行工程建设的有关方针、政策，执行工程建设强制性标准，并遵守以下规定：</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3.1不得以任何理由向发包人及其工作人员索要、接受或赠送礼金、有价证券、贵重物品及回扣、好处费、感谢费等。</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3.2不得以任何理由为发包人和相关单位报销应由对方或个人支付的费用。</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3.3不得接受或暗示为发包人、相关单位或个人装修住房、婚丧嫁娶、配偶子女的工作安排以及出国(境)、旅游等提供方便。</w:t>
      </w:r>
    </w:p>
    <w:p>
      <w:pPr>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3.4不得以任何理由为发包人、相关单位或个人组织有可能影响公正执行公务的宴请、健身、娱乐等活动。</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四、违约责任</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4.1发包人工作人员有违反本责任书第一、二条责任行为的，依据有关法律、法规给予处理；涉嫌犯罪的，移交司法机关追究刑事责任；给承包人单位造成经济损失的，应予以赔偿。</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4.2承包人工作人员有违反本责任书第一、三条责任行为的，依据有关法律法规处理；涉嫌犯罪的，移交司法机关追究刑事责任；给发包人单位造成经济损失的，应予以赔偿。</w:t>
      </w:r>
    </w:p>
    <w:p>
      <w:pPr>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4.3本责任书作为建设工程合同的组成部分，与建设工程合同具有同等法律效力。经双方签署后立即生效。</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五、责任书有效期</w:t>
      </w:r>
    </w:p>
    <w:p>
      <w:pPr>
        <w:wordWrap w:val="0"/>
        <w:topLinePunct/>
        <w:adjustRightInd w:val="0"/>
        <w:snapToGrid w:val="0"/>
        <w:spacing w:line="360" w:lineRule="auto"/>
        <w:ind w:firstLine="482" w:firstLineChars="200"/>
        <w:rPr>
          <w:rFonts w:ascii="宋体" w:hAnsi="宋体" w:cs="宋体"/>
          <w:b/>
          <w:bCs/>
          <w:sz w:val="24"/>
        </w:rPr>
      </w:pPr>
      <w:r>
        <w:rPr>
          <w:rFonts w:hint="eastAsia" w:ascii="宋体" w:hAnsi="宋体" w:cs="宋体"/>
          <w:sz w:val="24"/>
        </w:rPr>
        <w:t>本责任书的有效期为双方签署之日起至该工程项目竣工验收合格时止。</w:t>
      </w:r>
    </w:p>
    <w:p>
      <w:pPr>
        <w:wordWrap w:val="0"/>
        <w:topLinePunct/>
        <w:adjustRightInd w:val="0"/>
        <w:snapToGrid w:val="0"/>
        <w:spacing w:line="360" w:lineRule="auto"/>
        <w:rPr>
          <w:rFonts w:ascii="宋体" w:hAnsi="宋体" w:cs="宋体"/>
          <w:b/>
          <w:bCs/>
          <w:sz w:val="24"/>
        </w:rPr>
      </w:pPr>
      <w:r>
        <w:rPr>
          <w:rFonts w:hint="eastAsia" w:ascii="宋体" w:hAnsi="宋体" w:cs="宋体"/>
          <w:b/>
          <w:bCs/>
          <w:sz w:val="24"/>
        </w:rPr>
        <w:t>六、责任书份数</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本责任书一式二份，发包人承包人各执一份，具有同等效力。</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w:t>
      </w:r>
      <w:r>
        <w:rPr>
          <w:rFonts w:hint="eastAsia" w:ascii="宋体" w:hAnsi="宋体" w:cs="宋体"/>
          <w:sz w:val="24"/>
        </w:rPr>
        <w:t>(公章)    承包人：</w:t>
      </w:r>
      <w:r>
        <w:rPr>
          <w:rFonts w:hint="eastAsia" w:ascii="宋体" w:hAnsi="宋体" w:cs="宋体"/>
          <w:sz w:val="24"/>
          <w:u w:val="single"/>
        </w:rPr>
        <w:t xml:space="preserve">                     </w:t>
      </w:r>
      <w:r>
        <w:rPr>
          <w:rFonts w:hint="eastAsia" w:ascii="宋体" w:hAnsi="宋体" w:cs="宋体"/>
          <w:sz w:val="24"/>
        </w:rPr>
        <w:t xml:space="preserve"> (公章)</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法定地址：</w:t>
      </w:r>
      <w:r>
        <w:rPr>
          <w:rFonts w:hint="eastAsia" w:ascii="宋体" w:hAnsi="宋体" w:cs="宋体"/>
          <w:sz w:val="24"/>
          <w:u w:val="single"/>
        </w:rPr>
        <w:t xml:space="preserve">                   </w:t>
      </w:r>
      <w:r>
        <w:rPr>
          <w:rFonts w:hint="eastAsia" w:ascii="宋体" w:hAnsi="宋体" w:cs="宋体"/>
          <w:sz w:val="24"/>
        </w:rPr>
        <w:t xml:space="preserve">          法定地址：</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法定代表人或其                         法定代表人或其</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    委托代理人：</w:t>
      </w:r>
      <w:r>
        <w:rPr>
          <w:rFonts w:hint="eastAsia" w:ascii="宋体" w:hAnsi="宋体" w:cs="宋体"/>
          <w:sz w:val="24"/>
          <w:u w:val="single"/>
        </w:rPr>
        <w:t xml:space="preserve">                 </w:t>
      </w:r>
      <w:r>
        <w:rPr>
          <w:rFonts w:hint="eastAsia" w:ascii="宋体" w:hAnsi="宋体" w:cs="宋体"/>
          <w:sz w:val="24"/>
        </w:rPr>
        <w:t xml:space="preserve"> (签字)</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传真：　</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lang w:eastAsia="zh-CN"/>
        </w:rPr>
        <w:t>账号</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账号</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pStyle w:val="3"/>
        <w:keepNext w:val="0"/>
        <w:keepLines w:val="0"/>
        <w:wordWrap w:val="0"/>
        <w:topLinePunct/>
        <w:adjustRightInd w:val="0"/>
        <w:snapToGrid w:val="0"/>
        <w:spacing w:before="0" w:after="0" w:line="360" w:lineRule="auto"/>
        <w:jc w:val="both"/>
        <w:rPr>
          <w:rFonts w:ascii="宋体" w:hAnsi="宋体" w:cs="宋体"/>
          <w:sz w:val="24"/>
          <w:szCs w:val="24"/>
        </w:rPr>
      </w:pPr>
    </w:p>
    <w:p>
      <w:pPr>
        <w:rPr>
          <w:rFonts w:hint="eastAsia"/>
        </w:rPr>
      </w:pPr>
      <w:bookmarkStart w:id="38" w:name="_Toc6387"/>
      <w:bookmarkStart w:id="39" w:name="_Toc17660"/>
    </w:p>
    <w:p>
      <w:pPr>
        <w:pStyle w:val="2"/>
        <w:rPr>
          <w:rFonts w:hint="eastAsia"/>
        </w:rPr>
      </w:pPr>
    </w:p>
    <w:p>
      <w:pPr>
        <w:pStyle w:val="2"/>
        <w:rPr>
          <w:rFonts w:hint="eastAsia"/>
        </w:rPr>
      </w:pPr>
    </w:p>
    <w:p>
      <w:pPr>
        <w:pStyle w:val="3"/>
        <w:jc w:val="center"/>
        <w:rPr>
          <w:rFonts w:hint="eastAsia"/>
        </w:rPr>
      </w:pPr>
      <w:r>
        <w:rPr>
          <w:rFonts w:hint="eastAsia"/>
        </w:rPr>
        <w:t>第六部分  响应文件格式</w:t>
      </w:r>
      <w:bookmarkEnd w:id="38"/>
      <w:bookmarkEnd w:id="39"/>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default" w:ascii="宋体" w:hAnsi="宋体" w:eastAsia="宋体"/>
          <w:bCs/>
          <w:sz w:val="21"/>
          <w:szCs w:val="21"/>
          <w:lang w:val="en-US" w:eastAsia="zh-CN"/>
        </w:rPr>
      </w:pPr>
      <w:r>
        <w:rPr>
          <w:rFonts w:hint="eastAsia" w:ascii="宋体" w:hAnsi="宋体"/>
          <w:bCs/>
          <w:sz w:val="21"/>
          <w:szCs w:val="21"/>
          <w:lang w:val="en-US" w:eastAsia="zh-CN"/>
        </w:rPr>
        <w:t xml:space="preserve">                                                                                    </w:t>
      </w:r>
      <w:r>
        <w:rPr>
          <w:rFonts w:hint="eastAsia" w:ascii="宋体" w:hAnsi="宋体"/>
          <w:bCs/>
          <w:color w:val="FF0000"/>
          <w:sz w:val="21"/>
          <w:szCs w:val="21"/>
          <w:highlight w:val="none"/>
          <w:lang w:val="en-US" w:eastAsia="zh-CN"/>
        </w:rPr>
        <w:t xml:space="preserve"> 正/副</w:t>
      </w:r>
      <w:r>
        <w:rPr>
          <w:rFonts w:hint="eastAsia" w:ascii="宋体" w:hAnsi="宋体"/>
          <w:bCs/>
          <w:sz w:val="21"/>
          <w:szCs w:val="21"/>
          <w:lang w:val="en-US" w:eastAsia="zh-CN"/>
        </w:rPr>
        <w:t>本</w:t>
      </w:r>
    </w:p>
    <w:p>
      <w:pPr>
        <w:rPr>
          <w:rFonts w:hint="eastAsia"/>
        </w:rPr>
      </w:pPr>
    </w:p>
    <w:p>
      <w:pPr>
        <w:spacing w:line="360" w:lineRule="auto"/>
        <w:jc w:val="center"/>
        <w:rPr>
          <w:rFonts w:hint="eastAsia" w:ascii="宋体" w:hAnsi="宋体" w:cs="宋体"/>
          <w:b/>
          <w:kern w:val="16"/>
          <w:sz w:val="44"/>
          <w:szCs w:val="44"/>
        </w:rPr>
      </w:pPr>
      <w:r>
        <w:rPr>
          <w:rFonts w:hint="eastAsia" w:ascii="宋体" w:hAnsi="宋体" w:cs="宋体"/>
          <w:b/>
          <w:kern w:val="16"/>
          <w:sz w:val="44"/>
          <w:szCs w:val="44"/>
          <w:lang w:eastAsia="zh-CN"/>
        </w:rPr>
        <w:t>邹城市千泉街道郭庄社区线路改造工程</w:t>
      </w:r>
    </w:p>
    <w:p>
      <w:pPr>
        <w:spacing w:line="360" w:lineRule="auto"/>
        <w:jc w:val="center"/>
        <w:rPr>
          <w:b/>
          <w:sz w:val="36"/>
          <w:szCs w:val="36"/>
        </w:rPr>
      </w:pPr>
    </w:p>
    <w:p>
      <w:pPr>
        <w:spacing w:line="360" w:lineRule="auto"/>
        <w:jc w:val="center"/>
        <w:rPr>
          <w:rFonts w:hint="eastAsia"/>
          <w:b/>
          <w:sz w:val="36"/>
          <w:szCs w:val="36"/>
        </w:rPr>
      </w:pPr>
    </w:p>
    <w:p>
      <w:pPr>
        <w:spacing w:line="360" w:lineRule="auto"/>
        <w:jc w:val="center"/>
        <w:rPr>
          <w:b/>
          <w:sz w:val="36"/>
          <w:szCs w:val="36"/>
        </w:rPr>
      </w:pPr>
    </w:p>
    <w:p>
      <w:pPr>
        <w:spacing w:line="360" w:lineRule="auto"/>
        <w:jc w:val="center"/>
        <w:rPr>
          <w:rFonts w:hint="eastAsia" w:cs="宋体"/>
          <w:b/>
          <w:sz w:val="84"/>
          <w:szCs w:val="84"/>
        </w:rPr>
      </w:pPr>
      <w:r>
        <w:rPr>
          <w:rFonts w:hint="eastAsia" w:cs="宋体"/>
          <w:b/>
          <w:sz w:val="84"/>
          <w:szCs w:val="84"/>
        </w:rPr>
        <w:t>响应文件</w:t>
      </w:r>
    </w:p>
    <w:p>
      <w:pPr>
        <w:pStyle w:val="2"/>
        <w:ind w:firstLine="3374" w:firstLineChars="1400"/>
        <w:jc w:val="both"/>
        <w:rPr>
          <w:rFonts w:hint="default" w:eastAsia="宋体"/>
          <w:b/>
          <w:bCs/>
          <w:lang w:val="en-US" w:eastAsia="zh-CN"/>
        </w:rPr>
      </w:pPr>
      <w:r>
        <w:rPr>
          <w:rFonts w:hint="eastAsia"/>
          <w:b/>
          <w:bCs/>
          <w:lang w:val="en-US" w:eastAsia="zh-CN"/>
        </w:rPr>
        <w:t>项目编号：LZZX-2024-1119</w:t>
      </w:r>
    </w:p>
    <w:p>
      <w:pPr>
        <w:spacing w:line="360" w:lineRule="auto"/>
        <w:jc w:val="center"/>
        <w:rPr>
          <w:sz w:val="28"/>
          <w:szCs w:val="28"/>
        </w:rPr>
      </w:pPr>
    </w:p>
    <w:p>
      <w:pPr>
        <w:spacing w:line="360" w:lineRule="auto"/>
        <w:jc w:val="center"/>
        <w:rPr>
          <w:sz w:val="28"/>
          <w:szCs w:val="28"/>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1967" w:firstLineChars="700"/>
        <w:rPr>
          <w:rFonts w:ascii="宋体" w:hAnsi="宋体" w:cs="宋体"/>
          <w:sz w:val="24"/>
        </w:rPr>
      </w:pPr>
      <w:r>
        <w:rPr>
          <w:rFonts w:hint="eastAsia" w:cs="宋体"/>
          <w:sz w:val="28"/>
          <w:szCs w:val="28"/>
        </w:rPr>
        <w:t xml:space="preserve">  </w:t>
      </w: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360" w:lineRule="auto"/>
        <w:ind w:firstLine="482" w:firstLineChars="200"/>
        <w:rPr>
          <w:rFonts w:ascii="宋体" w:hAnsi="宋体" w:cs="宋体"/>
          <w:sz w:val="24"/>
        </w:rPr>
      </w:pPr>
    </w:p>
    <w:p>
      <w:pPr>
        <w:spacing w:line="360" w:lineRule="auto"/>
        <w:ind w:firstLine="2169" w:firstLineChars="9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center"/>
        <w:rPr>
          <w:rFonts w:ascii="宋体" w:hAnsi="宋体" w:cs="宋体"/>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92" w:firstLineChars="1200"/>
        <w:rPr>
          <w:rFonts w:hint="eastAsia" w:ascii="宋体" w:hAnsi="宋体" w:cs="宋体"/>
          <w:b/>
          <w:sz w:val="28"/>
          <w:szCs w:val="28"/>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0"/>
        <w:snapToGrid w:val="0"/>
        <w:spacing w:line="360" w:lineRule="auto"/>
        <w:jc w:val="center"/>
        <w:rPr>
          <w:rFonts w:hint="eastAsia" w:ascii="宋体" w:hAnsi="宋体" w:cs="宋体"/>
          <w:b/>
          <w:color w:val="000000"/>
          <w:sz w:val="30"/>
          <w:szCs w:val="30"/>
        </w:rPr>
      </w:pPr>
    </w:p>
    <w:p>
      <w:pPr>
        <w:pStyle w:val="20"/>
        <w:snapToGrid w:val="0"/>
        <w:spacing w:line="360" w:lineRule="auto"/>
        <w:jc w:val="center"/>
        <w:rPr>
          <w:rFonts w:hint="eastAsia" w:ascii="宋体" w:hAnsi="宋体" w:cs="宋体"/>
          <w:b/>
          <w:color w:val="000000"/>
          <w:sz w:val="30"/>
          <w:szCs w:val="30"/>
        </w:rPr>
      </w:pPr>
    </w:p>
    <w:p>
      <w:pPr>
        <w:pStyle w:val="20"/>
        <w:snapToGrid w:val="0"/>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目    录</w:t>
      </w:r>
    </w:p>
    <w:p>
      <w:pPr>
        <w:pStyle w:val="11"/>
        <w:spacing w:before="70" w:line="480" w:lineRule="auto"/>
        <w:ind w:left="632"/>
        <w:rPr>
          <w:rFonts w:hint="eastAsia" w:hAnsi="宋体" w:eastAsia="宋体" w:cs="宋体"/>
          <w:sz w:val="24"/>
          <w:szCs w:val="24"/>
        </w:rPr>
      </w:pP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一、磋商响应函</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二、法定代表人身份证明</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三、法定代表人授权委托书</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四、初次报价表</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五、初次报价的已标价工程量清单</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六、施工组织设计</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七、项目管理机构</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八、资格审查资料</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九、建设工程扬尘治理工作承诺书</w:t>
      </w:r>
    </w:p>
    <w:p>
      <w:pPr>
        <w:pStyle w:val="11"/>
        <w:spacing w:before="70" w:line="480" w:lineRule="auto"/>
        <w:ind w:left="632"/>
        <w:rPr>
          <w:rFonts w:hint="eastAsia" w:hAnsi="宋体" w:eastAsia="宋体" w:cs="宋体"/>
          <w:sz w:val="24"/>
          <w:szCs w:val="24"/>
        </w:rPr>
      </w:pPr>
      <w:r>
        <w:rPr>
          <w:rFonts w:hint="eastAsia" w:hAnsi="宋体" w:eastAsia="宋体" w:cs="宋体"/>
          <w:sz w:val="24"/>
          <w:szCs w:val="24"/>
        </w:rPr>
        <w:t>十、其他资料</w:t>
      </w:r>
    </w:p>
    <w:p>
      <w:pPr>
        <w:pStyle w:val="2"/>
        <w:rPr>
          <w:rFonts w:hint="eastAsia"/>
          <w:color w:val="000000"/>
        </w:rPr>
      </w:pPr>
    </w:p>
    <w:p>
      <w:pPr>
        <w:pStyle w:val="4"/>
        <w:jc w:val="center"/>
        <w:rPr>
          <w:rFonts w:hint="eastAsia" w:ascii="宋体" w:hAnsi="宋体" w:eastAsia="宋体"/>
          <w:color w:val="000000"/>
          <w:sz w:val="24"/>
        </w:rPr>
      </w:pPr>
      <w:r>
        <w:rPr>
          <w:rFonts w:hint="eastAsia" w:ascii="宋体" w:hAnsi="宋体" w:eastAsia="宋体"/>
          <w:color w:val="000000"/>
          <w:sz w:val="24"/>
        </w:rPr>
        <w:br w:type="page"/>
      </w:r>
      <w:r>
        <w:rPr>
          <w:rFonts w:hint="eastAsia" w:ascii="宋体" w:hAnsi="宋体" w:eastAsia="宋体"/>
          <w:color w:val="000000"/>
          <w:sz w:val="24"/>
        </w:rPr>
        <w:t>一、磋商响应函</w:t>
      </w:r>
    </w:p>
    <w:p>
      <w:pPr>
        <w:spacing w:line="360" w:lineRule="auto"/>
        <w:rPr>
          <w:rFonts w:hint="eastAsia" w:ascii="宋体" w:hAnsi="宋体"/>
          <w:b/>
          <w:bCs/>
          <w:color w:val="000000"/>
          <w:szCs w:val="21"/>
        </w:rPr>
      </w:pP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经研究，我方决定参加项目编号为</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LZZX-2024-1119</w:t>
      </w:r>
      <w:r>
        <w:rPr>
          <w:rFonts w:hint="eastAsia" w:ascii="宋体" w:hAnsi="宋体" w:cs="宋体"/>
          <w:color w:val="000000"/>
          <w:kern w:val="0"/>
          <w:szCs w:val="21"/>
          <w:u w:val="single"/>
        </w:rPr>
        <w:t xml:space="preserve"> </w:t>
      </w:r>
      <w:r>
        <w:rPr>
          <w:rFonts w:hint="eastAsia" w:ascii="宋体" w:hAnsi="宋体" w:cs="宋体"/>
          <w:color w:val="000000"/>
          <w:kern w:val="0"/>
          <w:szCs w:val="21"/>
        </w:rPr>
        <w:t>的政府采购活动并提交磋商响应文件。为此，我方郑重声明如下:</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1、我方提交的磋商响应文件，正本一份，副本五份。</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3、我方理解，最低报价不是入选成交候选人的唯一条件。</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4、我方愿按《中华人民共和国</w:t>
      </w:r>
      <w:r>
        <w:rPr>
          <w:rFonts w:hint="eastAsia" w:ascii="宋体" w:hAnsi="宋体" w:cs="宋体"/>
          <w:color w:val="000000"/>
          <w:kern w:val="0"/>
          <w:szCs w:val="21"/>
          <w:lang w:val="en-US" w:eastAsia="zh-CN"/>
        </w:rPr>
        <w:t>民法典</w:t>
      </w:r>
      <w:r>
        <w:rPr>
          <w:rFonts w:hint="eastAsia" w:ascii="宋体" w:hAnsi="宋体" w:cs="宋体"/>
          <w:color w:val="000000"/>
          <w:kern w:val="0"/>
          <w:szCs w:val="21"/>
        </w:rPr>
        <w:t>》履行自己的全部责任。</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5、我方已详细检查所有磋商文件、附件以及所提供的参考文件，因模糊和误解产生的一切后果，由我方自负。</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6、我方的磋商响应文件自递交</w:t>
      </w:r>
      <w:r>
        <w:rPr>
          <w:rFonts w:ascii="宋体" w:hAnsi="宋体" w:cs="宋体"/>
          <w:color w:val="000000"/>
          <w:kern w:val="0"/>
          <w:szCs w:val="21"/>
        </w:rPr>
        <w:t>截止之日</w:t>
      </w:r>
      <w:r>
        <w:rPr>
          <w:rFonts w:hint="eastAsia" w:ascii="宋体" w:hAnsi="宋体" w:cs="宋体"/>
          <w:color w:val="000000"/>
          <w:kern w:val="0"/>
          <w:szCs w:val="21"/>
        </w:rPr>
        <w:t>起</w:t>
      </w:r>
      <w:r>
        <w:rPr>
          <w:rFonts w:hint="eastAsia" w:ascii="宋体" w:hAnsi="宋体" w:cs="宋体"/>
          <w:color w:val="000000"/>
          <w:kern w:val="0"/>
          <w:szCs w:val="21"/>
          <w:lang w:val="en-US" w:eastAsia="zh-CN"/>
        </w:rPr>
        <w:t>60</w:t>
      </w:r>
      <w:r>
        <w:rPr>
          <w:rFonts w:hint="eastAsia" w:ascii="宋体" w:hAnsi="宋体" w:cs="宋体"/>
          <w:color w:val="000000"/>
          <w:kern w:val="0"/>
          <w:szCs w:val="21"/>
        </w:rPr>
        <w:t>个日历日内有效。</w:t>
      </w:r>
    </w:p>
    <w:p>
      <w:pPr>
        <w:widowControl/>
        <w:spacing w:line="480" w:lineRule="auto"/>
        <w:ind w:firstLine="422" w:firstLineChars="200"/>
        <w:rPr>
          <w:rFonts w:hint="eastAsia" w:ascii="宋体" w:hAnsi="宋体" w:cs="宋体"/>
          <w:color w:val="000000"/>
          <w:kern w:val="0"/>
          <w:szCs w:val="21"/>
        </w:rPr>
      </w:pPr>
      <w:r>
        <w:rPr>
          <w:rFonts w:hint="eastAsia" w:ascii="宋体" w:hAnsi="宋体" w:cs="宋体"/>
          <w:color w:val="000000"/>
          <w:kern w:val="0"/>
          <w:szCs w:val="21"/>
        </w:rPr>
        <w:t>7、我方同意按文件要求，提交与递交磋商响应文件有关的数据和资料。</w:t>
      </w:r>
    </w:p>
    <w:p>
      <w:pPr>
        <w:widowControl/>
        <w:spacing w:line="480" w:lineRule="auto"/>
        <w:ind w:firstLine="422" w:firstLineChars="200"/>
        <w:rPr>
          <w:rFonts w:hint="eastAsia" w:ascii="宋体" w:hAnsi="宋体" w:cs="宋体"/>
          <w:color w:val="000000"/>
          <w:kern w:val="0"/>
          <w:szCs w:val="21"/>
        </w:rPr>
      </w:pPr>
    </w:p>
    <w:p>
      <w:pPr>
        <w:widowControl/>
        <w:spacing w:line="360" w:lineRule="auto"/>
        <w:ind w:firstLine="422" w:firstLineChars="200"/>
        <w:rPr>
          <w:rFonts w:hint="eastAsia" w:ascii="宋体" w:hAnsi="宋体" w:cs="宋体"/>
          <w:color w:val="000000"/>
          <w:kern w:val="0"/>
          <w:szCs w:val="21"/>
        </w:rPr>
      </w:pPr>
    </w:p>
    <w:p>
      <w:pPr>
        <w:spacing w:line="480" w:lineRule="auto"/>
        <w:ind w:firstLine="422" w:firstLineChars="200"/>
        <w:rPr>
          <w:rFonts w:hint="eastAsia" w:ascii="宋体" w:hAnsi="宋体"/>
          <w:color w:val="000000"/>
          <w:szCs w:val="21"/>
        </w:rPr>
      </w:pPr>
      <w:r>
        <w:rPr>
          <w:rFonts w:hint="eastAsia" w:ascii="宋体" w:hAnsi="宋体"/>
          <w:color w:val="000000"/>
          <w:szCs w:val="21"/>
        </w:rPr>
        <w:t>供应商（盖章）：</w:t>
      </w:r>
    </w:p>
    <w:p>
      <w:pPr>
        <w:spacing w:line="480" w:lineRule="auto"/>
        <w:ind w:firstLine="422" w:firstLineChars="200"/>
        <w:rPr>
          <w:rFonts w:hint="eastAsia" w:ascii="宋体" w:hAnsi="宋体"/>
          <w:color w:val="000000"/>
          <w:szCs w:val="21"/>
        </w:rPr>
      </w:pPr>
      <w:r>
        <w:rPr>
          <w:rFonts w:hint="eastAsia" w:ascii="宋体" w:hAnsi="宋体"/>
          <w:color w:val="000000"/>
          <w:szCs w:val="21"/>
          <w:lang w:eastAsia="zh-CN"/>
        </w:rPr>
        <w:t>法定代表人</w:t>
      </w:r>
      <w:r>
        <w:rPr>
          <w:rFonts w:hint="eastAsia" w:ascii="宋体" w:hAnsi="宋体"/>
          <w:color w:val="000000"/>
          <w:szCs w:val="21"/>
        </w:rPr>
        <w:t>或委托代理人（签字或盖章）：</w:t>
      </w:r>
    </w:p>
    <w:p>
      <w:pPr>
        <w:spacing w:line="480" w:lineRule="auto"/>
        <w:ind w:firstLine="422" w:firstLineChars="200"/>
        <w:rPr>
          <w:rFonts w:ascii="宋体" w:hAnsi="宋体"/>
          <w:bCs/>
          <w:color w:val="000000"/>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9"/>
        <w:spacing w:before="49"/>
        <w:ind w:right="290"/>
        <w:rPr>
          <w:sz w:val="28"/>
          <w:szCs w:val="28"/>
        </w:rPr>
      </w:pPr>
      <w:bookmarkStart w:id="40" w:name="_Toc323641999"/>
      <w:bookmarkStart w:id="41" w:name="_Toc374107067"/>
      <w:bookmarkStart w:id="42" w:name="_Toc300901193"/>
      <w:r>
        <w:rPr>
          <w:rFonts w:hint="eastAsia" w:ascii="宋体" w:hAnsi="宋体" w:eastAsia="宋体"/>
          <w:color w:val="000000"/>
          <w:sz w:val="24"/>
        </w:rPr>
        <w:br w:type="page"/>
      </w:r>
      <w:bookmarkEnd w:id="40"/>
      <w:bookmarkEnd w:id="41"/>
      <w:bookmarkEnd w:id="42"/>
      <w:r>
        <w:rPr>
          <w:rFonts w:hint="eastAsia"/>
          <w:sz w:val="28"/>
          <w:szCs w:val="28"/>
        </w:rPr>
        <w:t>二、法定代表人身份证明</w:t>
      </w:r>
    </w:p>
    <w:p>
      <w:pPr>
        <w:pStyle w:val="11"/>
        <w:ind w:left="0" w:leftChars="0" w:firstLine="415" w:firstLineChars="148"/>
        <w:rPr>
          <w:rFonts w:hAnsi="宋体" w:cs="宋体"/>
          <w:b/>
          <w:sz w:val="28"/>
          <w:szCs w:val="28"/>
        </w:rPr>
      </w:pPr>
    </w:p>
    <w:p>
      <w:pPr>
        <w:pStyle w:val="11"/>
        <w:spacing w:before="5"/>
        <w:rPr>
          <w:rFonts w:hAnsi="宋体" w:cs="宋体"/>
          <w:b/>
          <w:sz w:val="28"/>
          <w:szCs w:val="28"/>
        </w:rPr>
      </w:pPr>
    </w:p>
    <w:p>
      <w:pPr>
        <w:pStyle w:val="11"/>
        <w:tabs>
          <w:tab w:val="left" w:pos="7300"/>
        </w:tabs>
        <w:ind w:left="211" w:leftChars="100" w:firstLine="175" w:firstLineChars="73"/>
        <w:rPr>
          <w:rFonts w:hAnsi="宋体" w:cs="宋体"/>
          <w:sz w:val="24"/>
          <w:szCs w:val="24"/>
        </w:rPr>
      </w:pPr>
      <w:r>
        <w:rPr>
          <w:rFonts w:hint="eastAsia" w:hAnsi="宋体" w:cs="宋体"/>
          <w:sz w:val="24"/>
          <w:szCs w:val="24"/>
        </w:rPr>
        <w:t>供应商名称</w:t>
      </w:r>
      <w:r>
        <w:rPr>
          <w:rFonts w:hint="eastAsia" w:hAnsi="宋体" w:cs="宋体"/>
          <w:w w:val="95"/>
          <w:sz w:val="24"/>
          <w:szCs w:val="24"/>
        </w:rPr>
        <w:t>：</w:t>
      </w:r>
      <w:r>
        <w:rPr>
          <w:rFonts w:hint="eastAsia" w:hAnsi="宋体" w:cs="宋体"/>
          <w:w w:val="95"/>
          <w:sz w:val="24"/>
          <w:szCs w:val="24"/>
          <w:lang w:val="en-US" w:eastAsia="zh-CN"/>
        </w:rPr>
        <w:t xml:space="preserve"> </w:t>
      </w:r>
      <w:r>
        <w:rPr>
          <w:rFonts w:hint="eastAsia" w:hAnsi="宋体" w:cs="宋体"/>
          <w:w w:val="95"/>
          <w:sz w:val="24"/>
          <w:szCs w:val="24"/>
          <w:u w:val="single"/>
        </w:rPr>
        <w:t xml:space="preserve"> </w:t>
      </w:r>
      <w:r>
        <w:rPr>
          <w:rFonts w:hint="eastAsia" w:hAnsi="宋体" w:cs="宋体"/>
          <w:sz w:val="24"/>
          <w:szCs w:val="24"/>
          <w:u w:val="single"/>
        </w:rPr>
        <w:tab/>
      </w:r>
    </w:p>
    <w:p>
      <w:pPr>
        <w:pStyle w:val="11"/>
        <w:spacing w:before="4"/>
        <w:ind w:left="211" w:leftChars="100" w:firstLine="175" w:firstLineChars="73"/>
        <w:rPr>
          <w:rFonts w:hAnsi="宋体" w:cs="宋体"/>
          <w:sz w:val="24"/>
          <w:szCs w:val="24"/>
        </w:rPr>
      </w:pPr>
    </w:p>
    <w:p>
      <w:pPr>
        <w:pStyle w:val="11"/>
        <w:tabs>
          <w:tab w:val="left" w:pos="7195"/>
        </w:tabs>
        <w:spacing w:before="77"/>
        <w:ind w:left="211" w:leftChars="100" w:firstLine="175" w:firstLineChars="73"/>
        <w:rPr>
          <w:rFonts w:hAnsi="宋体" w:cs="宋体"/>
          <w:sz w:val="24"/>
          <w:szCs w:val="24"/>
        </w:rPr>
      </w:pPr>
      <w:r>
        <w:rPr>
          <w:rFonts w:hint="eastAsia" w:hAnsi="宋体" w:cs="宋体"/>
          <w:sz w:val="24"/>
          <w:szCs w:val="24"/>
        </w:rPr>
        <w:t>单位性质</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11"/>
        <w:spacing w:before="4"/>
        <w:ind w:left="211" w:leftChars="100" w:firstLine="175" w:firstLineChars="73"/>
        <w:rPr>
          <w:rFonts w:hAnsi="宋体" w:cs="宋体"/>
          <w:sz w:val="24"/>
          <w:szCs w:val="24"/>
        </w:rPr>
      </w:pPr>
    </w:p>
    <w:p>
      <w:pPr>
        <w:pStyle w:val="11"/>
        <w:tabs>
          <w:tab w:val="left" w:pos="843"/>
          <w:tab w:val="left" w:pos="7195"/>
        </w:tabs>
        <w:spacing w:before="77"/>
        <w:ind w:left="211" w:leftChars="100" w:firstLine="175" w:firstLineChars="73"/>
        <w:rPr>
          <w:rFonts w:hAnsi="宋体" w:cs="宋体"/>
          <w:sz w:val="24"/>
          <w:szCs w:val="24"/>
        </w:rPr>
      </w:pPr>
      <w:r>
        <w:rPr>
          <w:rFonts w:hint="eastAsia" w:hAnsi="宋体" w:cs="宋体"/>
          <w:sz w:val="24"/>
          <w:szCs w:val="24"/>
        </w:rPr>
        <w:t>地</w:t>
      </w:r>
      <w:r>
        <w:rPr>
          <w:rFonts w:hint="eastAsia" w:hAnsi="宋体" w:cs="宋体"/>
          <w:sz w:val="24"/>
          <w:szCs w:val="24"/>
        </w:rPr>
        <w:tab/>
      </w:r>
      <w:r>
        <w:rPr>
          <w:rFonts w:hint="eastAsia" w:hAnsi="宋体" w:cs="宋体"/>
          <w:sz w:val="24"/>
          <w:szCs w:val="24"/>
        </w:rPr>
        <w:t>址</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11"/>
        <w:spacing w:before="6"/>
        <w:ind w:left="211" w:leftChars="100" w:firstLine="175" w:firstLineChars="73"/>
        <w:rPr>
          <w:rFonts w:hAnsi="宋体" w:cs="宋体"/>
          <w:sz w:val="24"/>
          <w:szCs w:val="24"/>
        </w:rPr>
      </w:pPr>
    </w:p>
    <w:p>
      <w:pPr>
        <w:pStyle w:val="11"/>
        <w:tabs>
          <w:tab w:val="left" w:pos="3049"/>
          <w:tab w:val="left" w:pos="4729"/>
          <w:tab w:val="left" w:pos="6409"/>
        </w:tabs>
        <w:spacing w:before="77"/>
        <w:ind w:left="211" w:leftChars="100" w:firstLine="175" w:firstLineChars="73"/>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日</w:t>
      </w:r>
    </w:p>
    <w:p>
      <w:pPr>
        <w:pStyle w:val="11"/>
        <w:spacing w:before="12"/>
        <w:ind w:left="211" w:leftChars="100" w:firstLine="175" w:firstLineChars="73"/>
        <w:rPr>
          <w:rFonts w:hAnsi="宋体" w:cs="宋体"/>
          <w:sz w:val="24"/>
          <w:szCs w:val="24"/>
        </w:rPr>
      </w:pPr>
    </w:p>
    <w:p>
      <w:pPr>
        <w:pStyle w:val="11"/>
        <w:tabs>
          <w:tab w:val="left" w:pos="7195"/>
        </w:tabs>
        <w:ind w:left="211" w:leftChars="100" w:firstLine="175" w:firstLineChars="73"/>
        <w:rPr>
          <w:rFonts w:hAnsi="宋体" w:cs="宋体"/>
          <w:sz w:val="24"/>
          <w:szCs w:val="24"/>
        </w:rPr>
      </w:pPr>
      <w:r>
        <w:rPr>
          <w:rFonts w:hint="eastAsia" w:hAnsi="宋体" w:cs="宋体"/>
          <w:sz w:val="24"/>
          <w:szCs w:val="24"/>
        </w:rPr>
        <w:t>经营期限</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11"/>
        <w:spacing w:before="4"/>
        <w:ind w:left="211" w:leftChars="100" w:firstLine="175" w:firstLineChars="73"/>
        <w:rPr>
          <w:rFonts w:hAnsi="宋体" w:cs="宋体"/>
          <w:sz w:val="24"/>
          <w:szCs w:val="24"/>
        </w:rPr>
      </w:pPr>
    </w:p>
    <w:p>
      <w:pPr>
        <w:pStyle w:val="11"/>
        <w:tabs>
          <w:tab w:val="left" w:pos="843"/>
          <w:tab w:val="left" w:pos="3992"/>
          <w:tab w:val="left" w:pos="5043"/>
          <w:tab w:val="left" w:pos="7195"/>
        </w:tabs>
        <w:spacing w:before="77"/>
        <w:ind w:left="211" w:leftChars="100" w:firstLine="175" w:firstLineChars="73"/>
        <w:rPr>
          <w:rFonts w:hAnsi="宋体" w:cs="宋体"/>
          <w:sz w:val="24"/>
          <w:szCs w:val="24"/>
        </w:rPr>
      </w:pPr>
      <w:r>
        <w:rPr>
          <w:rFonts w:hint="eastAsia" w:hAnsi="宋体" w:cs="宋体"/>
          <w:sz w:val="24"/>
          <w:szCs w:val="24"/>
        </w:rPr>
        <w:t>姓</w:t>
      </w:r>
      <w:r>
        <w:rPr>
          <w:rFonts w:hint="eastAsia" w:hAnsi="宋体" w:cs="宋体"/>
          <w:sz w:val="24"/>
          <w:szCs w:val="24"/>
        </w:rPr>
        <w:tab/>
      </w:r>
      <w:r>
        <w:rPr>
          <w:rFonts w:hint="eastAsia" w:hAnsi="宋体" w:cs="宋体"/>
          <w:sz w:val="24"/>
          <w:szCs w:val="24"/>
        </w:rPr>
        <w:t>名：</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性</w:t>
      </w:r>
      <w:r>
        <w:rPr>
          <w:rFonts w:hint="eastAsia" w:hAnsi="宋体" w:cs="宋体"/>
          <w:sz w:val="24"/>
          <w:szCs w:val="24"/>
        </w:rPr>
        <w:tab/>
      </w:r>
      <w:r>
        <w:rPr>
          <w:rFonts w:hint="eastAsia" w:hAnsi="宋体" w:cs="宋体"/>
          <w:sz w:val="24"/>
          <w:szCs w:val="24"/>
        </w:rPr>
        <w:t>别</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11"/>
        <w:spacing w:before="6"/>
        <w:ind w:left="211" w:leftChars="100" w:firstLine="175" w:firstLineChars="73"/>
        <w:rPr>
          <w:rFonts w:hAnsi="宋体" w:cs="宋体"/>
          <w:sz w:val="24"/>
          <w:szCs w:val="24"/>
        </w:rPr>
      </w:pPr>
    </w:p>
    <w:p>
      <w:pPr>
        <w:pStyle w:val="11"/>
        <w:tabs>
          <w:tab w:val="left" w:pos="843"/>
          <w:tab w:val="left" w:pos="3992"/>
          <w:tab w:val="left" w:pos="5043"/>
          <w:tab w:val="left" w:pos="7195"/>
        </w:tabs>
        <w:spacing w:before="77"/>
        <w:ind w:left="211" w:leftChars="100" w:firstLine="175" w:firstLineChars="73"/>
        <w:rPr>
          <w:rFonts w:hAnsi="宋体" w:cs="宋体"/>
          <w:sz w:val="24"/>
          <w:szCs w:val="24"/>
        </w:rPr>
      </w:pPr>
      <w:r>
        <w:rPr>
          <w:rFonts w:hint="eastAsia" w:hAnsi="宋体" w:cs="宋体"/>
          <w:sz w:val="24"/>
          <w:szCs w:val="24"/>
        </w:rPr>
        <w:t>年</w:t>
      </w:r>
      <w:r>
        <w:rPr>
          <w:rFonts w:hint="eastAsia" w:hAnsi="宋体" w:cs="宋体"/>
          <w:sz w:val="24"/>
          <w:szCs w:val="24"/>
        </w:rPr>
        <w:tab/>
      </w:r>
      <w:r>
        <w:rPr>
          <w:rFonts w:hint="eastAsia" w:hAnsi="宋体" w:cs="宋体"/>
          <w:sz w:val="24"/>
          <w:szCs w:val="24"/>
        </w:rPr>
        <w:t>龄：</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职</w:t>
      </w:r>
      <w:r>
        <w:rPr>
          <w:rFonts w:hint="eastAsia" w:hAnsi="宋体" w:cs="宋体"/>
          <w:sz w:val="24"/>
          <w:szCs w:val="24"/>
        </w:rPr>
        <w:tab/>
      </w:r>
      <w:r>
        <w:rPr>
          <w:rFonts w:hint="eastAsia" w:hAnsi="宋体" w:cs="宋体"/>
          <w:sz w:val="24"/>
          <w:szCs w:val="24"/>
        </w:rPr>
        <w:t>务</w:t>
      </w:r>
      <w:r>
        <w:rPr>
          <w:rFonts w:hint="eastAsia" w:hAnsi="宋体" w:cs="宋体"/>
          <w:w w:val="95"/>
          <w:sz w:val="24"/>
          <w:szCs w:val="24"/>
        </w:rPr>
        <w:t>：</w:t>
      </w:r>
      <w:r>
        <w:rPr>
          <w:rFonts w:hint="eastAsia" w:hAnsi="宋体" w:cs="宋体"/>
          <w:w w:val="95"/>
          <w:sz w:val="24"/>
          <w:szCs w:val="24"/>
          <w:u w:val="single"/>
        </w:rPr>
        <w:t xml:space="preserve"> </w:t>
      </w:r>
      <w:r>
        <w:rPr>
          <w:rFonts w:hint="eastAsia" w:hAnsi="宋体" w:cs="宋体"/>
          <w:sz w:val="24"/>
          <w:szCs w:val="24"/>
          <w:u w:val="single"/>
        </w:rPr>
        <w:tab/>
      </w:r>
    </w:p>
    <w:p>
      <w:pPr>
        <w:pStyle w:val="11"/>
        <w:spacing w:before="4"/>
        <w:ind w:left="211" w:leftChars="100" w:firstLine="175" w:firstLineChars="73"/>
        <w:rPr>
          <w:rFonts w:hAnsi="宋体" w:cs="宋体"/>
          <w:sz w:val="24"/>
          <w:szCs w:val="24"/>
        </w:rPr>
      </w:pPr>
    </w:p>
    <w:p>
      <w:pPr>
        <w:pStyle w:val="11"/>
        <w:tabs>
          <w:tab w:val="left" w:pos="5569"/>
        </w:tabs>
        <w:spacing w:before="76" w:line="446" w:lineRule="auto"/>
        <w:ind w:left="211" w:leftChars="100" w:right="1856" w:firstLine="175" w:firstLineChars="73"/>
        <w:rPr>
          <w:rFonts w:hAnsi="宋体" w:cs="宋体"/>
          <w:sz w:val="24"/>
          <w:szCs w:val="24"/>
        </w:rPr>
      </w:pPr>
      <w:r>
        <w:rPr>
          <w:rFonts w:hint="eastAsia" w:hAnsi="宋体" w:cs="宋体"/>
          <w:sz w:val="24"/>
          <w:szCs w:val="24"/>
        </w:rPr>
        <w:t>系</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rPr>
        <w:t>（供应商名称）的法定代表人</w:t>
      </w:r>
      <w:r>
        <w:rPr>
          <w:rFonts w:hint="eastAsia" w:hAnsi="宋体" w:cs="宋体"/>
          <w:spacing w:val="-10"/>
          <w:sz w:val="24"/>
          <w:szCs w:val="24"/>
        </w:rPr>
        <w:t>。</w:t>
      </w:r>
      <w:r>
        <w:rPr>
          <w:rFonts w:hint="eastAsia" w:hAnsi="宋体" w:cs="宋体"/>
          <w:sz w:val="24"/>
          <w:szCs w:val="24"/>
        </w:rPr>
        <w:t>特此证明。</w:t>
      </w:r>
    </w:p>
    <w:p>
      <w:pPr>
        <w:pStyle w:val="11"/>
        <w:ind w:left="211" w:leftChars="100" w:firstLine="204" w:firstLineChars="73"/>
        <w:rPr>
          <w:rFonts w:hAnsi="宋体" w:cs="宋体"/>
          <w:sz w:val="28"/>
          <w:szCs w:val="28"/>
        </w:rPr>
      </w:pPr>
    </w:p>
    <w:p>
      <w:pPr>
        <w:pStyle w:val="11"/>
        <w:tabs>
          <w:tab w:val="left" w:pos="5569"/>
        </w:tabs>
        <w:spacing w:before="76" w:line="446" w:lineRule="auto"/>
        <w:ind w:right="1856" w:firstLine="4820" w:firstLineChars="2000"/>
        <w:rPr>
          <w:rFonts w:hint="eastAsia" w:hAnsi="宋体" w:cs="宋体"/>
          <w:sz w:val="24"/>
          <w:szCs w:val="24"/>
        </w:rPr>
      </w:pPr>
      <w:r>
        <w:rPr>
          <w:rFonts w:hint="eastAsia" w:hAnsi="宋体" w:cs="宋体"/>
          <w:sz w:val="24"/>
          <w:szCs w:val="24"/>
        </w:rPr>
        <w:t>供应商：</w:t>
      </w:r>
      <w:r>
        <w:rPr>
          <w:rFonts w:hint="eastAsia" w:hAnsi="宋体" w:cs="宋体"/>
          <w:sz w:val="24"/>
          <w:szCs w:val="24"/>
          <w:lang w:val="en-US" w:eastAsia="zh-CN"/>
        </w:rPr>
        <w:t xml:space="preserve">           </w:t>
      </w:r>
      <w:r>
        <w:rPr>
          <w:rFonts w:hint="eastAsia" w:hAnsi="宋体" w:cs="宋体"/>
          <w:sz w:val="24"/>
          <w:szCs w:val="24"/>
        </w:rPr>
        <w:t>（盖单位章）</w:t>
      </w:r>
    </w:p>
    <w:p>
      <w:pPr>
        <w:pStyle w:val="11"/>
        <w:tabs>
          <w:tab w:val="left" w:pos="5569"/>
        </w:tabs>
        <w:spacing w:before="76" w:line="446" w:lineRule="auto"/>
        <w:ind w:left="212" w:right="1856" w:firstLine="4579" w:firstLineChars="1900"/>
        <w:rPr>
          <w:rFonts w:hint="eastAsia" w:hAnsi="宋体" w:cs="宋体"/>
          <w:sz w:val="24"/>
          <w:szCs w:val="24"/>
        </w:rPr>
      </w:pPr>
      <w:r>
        <w:rPr>
          <w:rFonts w:hint="eastAsia" w:hAnsi="宋体" w:cs="宋体"/>
          <w:sz w:val="24"/>
          <w:szCs w:val="24"/>
        </w:rPr>
        <w:t xml:space="preserve"> 年 月 日</w:t>
      </w:r>
    </w:p>
    <w:p>
      <w:pPr>
        <w:pStyle w:val="11"/>
        <w:tabs>
          <w:tab w:val="left" w:pos="5569"/>
        </w:tabs>
        <w:spacing w:before="76" w:line="446" w:lineRule="auto"/>
        <w:ind w:left="212" w:right="1856"/>
        <w:rPr>
          <w:rFonts w:hint="eastAsia" w:hAnsi="宋体" w:cs="宋体"/>
          <w:sz w:val="24"/>
          <w:szCs w:val="24"/>
        </w:rPr>
        <w:sectPr>
          <w:headerReference r:id="rId12" w:type="first"/>
          <w:headerReference r:id="rId11" w:type="default"/>
          <w:pgSz w:w="11905" w:h="16838"/>
          <w:pgMar w:top="850" w:right="850" w:bottom="850" w:left="850" w:header="850" w:footer="992" w:gutter="0"/>
          <w:cols w:space="0" w:num="1"/>
          <w:titlePg/>
          <w:rtlGutter w:val="1"/>
          <w:docGrid w:type="linesAndChars" w:linePitch="291" w:charSpace="409"/>
        </w:sectPr>
      </w:pPr>
    </w:p>
    <w:p>
      <w:pPr>
        <w:pStyle w:val="10"/>
        <w:spacing w:before="59"/>
        <w:ind w:left="0" w:right="292"/>
        <w:jc w:val="center"/>
        <w:rPr>
          <w:sz w:val="28"/>
          <w:szCs w:val="28"/>
        </w:rPr>
      </w:pPr>
      <w:r>
        <w:rPr>
          <w:rFonts w:hint="eastAsia"/>
          <w:sz w:val="28"/>
          <w:szCs w:val="28"/>
        </w:rPr>
        <w:t>三、法定代表人授权委托书</w:t>
      </w:r>
    </w:p>
    <w:p>
      <w:pPr>
        <w:pStyle w:val="11"/>
        <w:rPr>
          <w:rFonts w:hAnsi="宋体" w:cs="宋体"/>
          <w:b/>
          <w:sz w:val="28"/>
          <w:szCs w:val="28"/>
        </w:rPr>
      </w:pPr>
    </w:p>
    <w:p>
      <w:pPr>
        <w:pStyle w:val="11"/>
        <w:spacing w:before="5"/>
        <w:rPr>
          <w:rFonts w:hAnsi="宋体" w:cs="宋体"/>
          <w:b/>
          <w:sz w:val="28"/>
          <w:szCs w:val="28"/>
        </w:rPr>
      </w:pPr>
    </w:p>
    <w:p>
      <w:pPr>
        <w:spacing w:line="360" w:lineRule="auto"/>
        <w:ind w:left="420" w:leftChars="200"/>
        <w:rPr>
          <w:rFonts w:hint="default" w:ascii="宋体" w:hAnsi="宋体" w:cs="宋体"/>
          <w:sz w:val="24"/>
        </w:rPr>
      </w:pPr>
      <w:r>
        <w:rPr>
          <w:rFonts w:ascii="宋体" w:hAnsi="宋体" w:cs="宋体"/>
          <w:sz w:val="24"/>
          <w:u w:val="single"/>
        </w:rPr>
        <w:t xml:space="preserve">         （响应供应商全称）             </w:t>
      </w:r>
      <w:r>
        <w:rPr>
          <w:rFonts w:ascii="宋体" w:hAnsi="宋体" w:cs="宋体"/>
          <w:sz w:val="24"/>
        </w:rPr>
        <w:t>法定代表人身份证号</w:t>
      </w:r>
      <w:r>
        <w:rPr>
          <w:rFonts w:ascii="宋体" w:hAnsi="宋体" w:cs="宋体"/>
          <w:sz w:val="24"/>
          <w:u w:val="single"/>
        </w:rPr>
        <w:t>：</w:t>
      </w:r>
      <w:r>
        <w:rPr>
          <w:rFonts w:hint="eastAsia" w:ascii="宋体" w:hAnsi="宋体" w:cs="宋体"/>
          <w:sz w:val="24"/>
          <w:u w:val="single"/>
          <w:lang w:val="en-US" w:eastAsia="zh-CN"/>
        </w:rPr>
        <w:t xml:space="preserve">         </w:t>
      </w:r>
      <w:r>
        <w:rPr>
          <w:rFonts w:ascii="宋体" w:hAnsi="宋体" w:cs="宋体"/>
          <w:sz w:val="24"/>
        </w:rPr>
        <w:t>授权</w:t>
      </w:r>
      <w:r>
        <w:rPr>
          <w:rFonts w:ascii="宋体" w:hAnsi="宋体" w:cs="宋体"/>
          <w:sz w:val="24"/>
          <w:u w:val="single"/>
        </w:rPr>
        <w:t xml:space="preserve">        （被授权人姓名）</w:t>
      </w:r>
      <w:r>
        <w:rPr>
          <w:rFonts w:ascii="宋体" w:hAnsi="宋体" w:cs="宋体"/>
          <w:sz w:val="24"/>
        </w:rPr>
        <w:t>身份证号：</w:t>
      </w:r>
      <w:r>
        <w:rPr>
          <w:rFonts w:hint="eastAsia" w:ascii="宋体" w:hAnsi="宋体" w:cs="宋体"/>
          <w:sz w:val="24"/>
          <w:u w:val="single"/>
          <w:lang w:val="en-US" w:eastAsia="zh-CN"/>
        </w:rPr>
        <w:t xml:space="preserve">            </w:t>
      </w:r>
      <w:r>
        <w:rPr>
          <w:rFonts w:ascii="宋体" w:hAnsi="宋体" w:cs="宋体"/>
          <w:sz w:val="24"/>
        </w:rPr>
        <w:t>为响应供应商代表，代表本公司参加你方组织的项目（项目编号:</w:t>
      </w:r>
      <w:r>
        <w:rPr>
          <w:rFonts w:hint="eastAsia" w:ascii="宋体" w:hAnsi="宋体" w:cs="宋体"/>
          <w:sz w:val="24"/>
          <w:u w:val="single"/>
          <w:lang w:val="en-US" w:eastAsia="zh-CN"/>
        </w:rPr>
        <w:t xml:space="preserve">       </w:t>
      </w:r>
      <w:r>
        <w:rPr>
          <w:rFonts w:ascii="宋体" w:hAnsi="宋体" w:cs="宋体"/>
          <w:sz w:val="24"/>
        </w:rPr>
        <w:t>）磋商活动，全权代表本公司处理磋商过程的一切事宜，包括但不限于：磋商、签约等。响应供应商代表在磋商过程中所签署的一切文件和处理与之有关的一切事务，本公司均予以认可并对此承担责任。响应供应商授权代表无转委权。特此授权。</w:t>
      </w:r>
    </w:p>
    <w:p>
      <w:pPr>
        <w:spacing w:line="560" w:lineRule="exact"/>
        <w:ind w:firstLine="480" w:firstLineChars="200"/>
        <w:rPr>
          <w:rFonts w:hint="default" w:ascii="宋体" w:hAnsi="宋体" w:cs="宋体"/>
          <w:sz w:val="24"/>
        </w:rPr>
      </w:pPr>
      <w:r>
        <w:rPr>
          <w:rFonts w:ascii="宋体" w:hAnsi="宋体" w:cs="宋体"/>
          <w:sz w:val="24"/>
        </w:rPr>
        <w:t>本授权书自出具之日起生效。</w:t>
      </w:r>
    </w:p>
    <w:p>
      <w:pPr>
        <w:spacing w:line="560" w:lineRule="exact"/>
        <w:rPr>
          <w:rFonts w:hint="default" w:ascii="宋体" w:hAnsi="宋体" w:cs="宋体"/>
          <w:sz w:val="24"/>
        </w:rPr>
      </w:pPr>
      <w:r>
        <w:rPr>
          <w:rFonts w:hint="default" w:ascii="宋体" w:hAnsi="宋体" w:cs="宋体"/>
          <w:b/>
          <w:sz w:val="24"/>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257175</wp:posOffset>
                </wp:positionV>
                <wp:extent cx="2533650" cy="1386840"/>
                <wp:effectExtent l="4445" t="4445" r="14605" b="18415"/>
                <wp:wrapSquare wrapText="bothSides"/>
                <wp:docPr id="1027" name="圆角矩形 1027"/>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bodyPr vert="horz" anchor="t" anchorCtr="0"/>
                    </wps:wsp>
                  </a:graphicData>
                </a:graphic>
              </wp:anchor>
            </w:drawing>
          </mc:Choice>
          <mc:Fallback>
            <w:pict>
              <v:roundrect id="_x0000_s1026" o:spid="_x0000_s1026" o:spt="2" style="position:absolute;left:0pt;margin-left:0pt;margin-top:20.25pt;height:109.2pt;width:199.5pt;mso-wrap-distance-bottom:0pt;mso-wrap-distance-left:9pt;mso-wrap-distance-right:9pt;mso-wrap-distance-top:0pt;z-index:-251653120;mso-width-relative:page;mso-height-relative:page;" fillcolor="#FFFFFF" filled="t" stroked="t" coordsize="21600,21600" arcsize="0.166666666666667" o:gfxdata="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xyMkdYAAAAHAQAADwAAAAAAAAABACAA&#10;AAAiAAAAZHJzL2Rvd25yZXYueG1sUEsBAhQAFAAAAAgAh07iQG7tWTBIAgAAogQAAA4AAAAAAAAA&#10;AQAgAAAAJQEAAGRycy9lMm9Eb2MueG1sUEsFBgAAAAAGAAYAWQEAAN8FAAAAAA==&#10;">
                <v:fill on="t" opacity="0f" focussize="0,0"/>
                <v:stroke color="#000000" joinstyle="round" dashstyle="dashDot"/>
                <v:imagedata o:title=""/>
                <o:lock v:ext="edit" aspectratio="f"/>
                <w10:wrap type="square"/>
              </v:roundrect>
            </w:pict>
          </mc:Fallback>
        </mc:AlternateContent>
      </w:r>
      <w:r>
        <w:rPr>
          <w:rFonts w:hint="default" w:ascii="宋体" w:hAnsi="宋体" w:cs="宋体"/>
          <w:sz w:val="24"/>
        </w:rPr>
        <mc:AlternateContent>
          <mc:Choice Requires="wps">
            <w:drawing>
              <wp:anchor distT="0" distB="0" distL="114300" distR="114300" simplePos="0" relativeHeight="251664384"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1028" name="圆角矩形 1028"/>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bodyPr vert="horz" anchor="t" anchorCtr="0"/>
                    </wps:wsp>
                  </a:graphicData>
                </a:graphic>
              </wp:anchor>
            </w:drawing>
          </mc:Choice>
          <mc:Fallback>
            <w:pict>
              <v:roundrect id="_x0000_s1026" o:spid="_x0000_s1026" o:spt="2" style="position:absolute;left:0pt;margin-left:241.5pt;margin-top:16pt;height:109.2pt;width:199.5pt;mso-wrap-distance-bottom:0pt;mso-wrap-distance-left:9pt;mso-wrap-distance-right:9pt;mso-wrap-distance-top:0pt;z-index:-251652096;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FffYAAAACgEAAA8AAAAAAAAAAQAg&#10;AAAAIgAAAGRycy9kb3ducmV2LnhtbFBLAQIUABQAAAAIAIdO4kCLvzorRwIAAKIEAAAOAAAAAAAA&#10;AAEAIAAAACcBAABkcnMvZTJvRG9jLnhtbFBLBQYAAAAABgAGAFkBAADgBQAAAAA=&#10;">
                <v:fill on="t" opacity="0f" focussize="0,0"/>
                <v:stroke color="#000000" joinstyle="round" dashstyle="dashDot"/>
                <v:imagedata o:title=""/>
                <o:lock v:ext="edit" aspectratio="f"/>
                <w10:wrap type="square"/>
              </v:roundrect>
            </w:pict>
          </mc:Fallback>
        </mc:AlternateContent>
      </w:r>
    </w:p>
    <w:p>
      <w:pPr>
        <w:spacing w:line="560" w:lineRule="exact"/>
        <w:rPr>
          <w:rFonts w:hint="default" w:ascii="宋体" w:hAnsi="宋体" w:cs="宋体"/>
          <w:sz w:val="24"/>
        </w:rPr>
      </w:pPr>
      <w:r>
        <w:rPr>
          <w:rFonts w:hint="default"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747395</wp:posOffset>
                </wp:positionH>
                <wp:positionV relativeFrom="paragraph">
                  <wp:posOffset>265430</wp:posOffset>
                </wp:positionV>
                <wp:extent cx="1986280" cy="789940"/>
                <wp:effectExtent l="4445" t="4445" r="9525" b="5715"/>
                <wp:wrapNone/>
                <wp:docPr id="1029" name="矩形 1029"/>
                <wp:cNvGraphicFramePr/>
                <a:graphic xmlns:a="http://schemas.openxmlformats.org/drawingml/2006/main">
                  <a:graphicData uri="http://schemas.microsoft.com/office/word/2010/wordprocessingShape">
                    <wps:wsp>
                      <wps:cNvSpPr/>
                      <wps:spPr>
                        <a:xfrm>
                          <a:off x="0" y="0"/>
                          <a:ext cx="1986279" cy="7899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pPr>
                              <w:jc w:val="center"/>
                              <w:rPr>
                                <w:rFonts w:hint="default"/>
                              </w:rPr>
                            </w:pPr>
                            <w:r>
                              <w:rPr>
                                <w:rFonts w:ascii="宋体" w:cs="宋体"/>
                                <w:kern w:val="0"/>
                                <w:sz w:val="24"/>
                                <w:lang w:val="zh-CN"/>
                              </w:rPr>
                              <w:t>反面</w:t>
                            </w:r>
                          </w:p>
                        </w:txbxContent>
                      </wps:txbx>
                      <wps:bodyPr vert="horz" anchor="t" anchorCtr="0" upright="1"/>
                    </wps:wsp>
                  </a:graphicData>
                </a:graphic>
              </wp:anchor>
            </w:drawing>
          </mc:Choice>
          <mc:Fallback>
            <w:pict>
              <v:rect id="_x0000_s1026" o:spid="_x0000_s1026" o:spt="1" style="position:absolute;left:0pt;margin-left:58.85pt;margin-top:20.9pt;height:62.2pt;width:156.4pt;z-index:251665408;mso-width-relative:page;mso-height-relative:page;" fillcolor="#FFFFFF" filled="t" stroked="t" coordsize="21600,21600" o:gfxdata="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QLWL3WAAAACgEA&#10;AA8AAAAAAAAAAQAgAAAAIgAAAGRycy9kb3ducmV2LnhtbFBLAQIUABQAAAAIAIdO4kDrdosUHAIA&#10;AGIEAAAOAAAAAAAAAAEAIAAAACUBAABkcnMvZTJvRG9jLnhtbFBLBQYAAAAABgAGAFkBAACzBQAA&#10;AAA=&#10;">
                <v:fill on="t" focussize="0,0"/>
                <v:stroke color="#FFFFFF" joinstyle="miter"/>
                <v:imagedata o:title=""/>
                <o:lock v:ext="edit" aspectratio="f"/>
                <v:textbox>
                  <w:txbxContent>
                    <w:p>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pPr>
                        <w:jc w:val="center"/>
                        <w:rPr>
                          <w:rFonts w:hint="default"/>
                        </w:rPr>
                      </w:pPr>
                      <w:r>
                        <w:rPr>
                          <w:rFonts w:ascii="宋体" w:cs="宋体"/>
                          <w:kern w:val="0"/>
                          <w:sz w:val="24"/>
                          <w:lang w:val="zh-CN"/>
                        </w:rPr>
                        <w:t>反面</w:t>
                      </w:r>
                    </w:p>
                  </w:txbxContent>
                </v:textbox>
              </v:rect>
            </w:pict>
          </mc:Fallback>
        </mc:AlternateContent>
      </w:r>
    </w:p>
    <w:p>
      <w:pPr>
        <w:spacing w:line="560" w:lineRule="exact"/>
        <w:rPr>
          <w:rFonts w:hint="default" w:ascii="宋体" w:hAnsi="宋体" w:cs="宋体"/>
          <w:sz w:val="24"/>
        </w:rPr>
      </w:pPr>
      <w:r>
        <w:rPr>
          <w:rFonts w:hint="default" w:ascii="宋体" w:hAnsi="宋体" w:cs="宋体"/>
          <w:b/>
          <w:sz w:val="24"/>
        </w:rPr>
        <mc:AlternateContent>
          <mc:Choice Requires="wps">
            <w:drawing>
              <wp:anchor distT="0" distB="0" distL="114300" distR="114300" simplePos="0" relativeHeight="251666432" behindDoc="0" locked="0" layoutInCell="1" allowOverlap="1">
                <wp:simplePos x="0" y="0"/>
                <wp:positionH relativeFrom="column">
                  <wp:posOffset>-2386330</wp:posOffset>
                </wp:positionH>
                <wp:positionV relativeFrom="paragraph">
                  <wp:posOffset>90170</wp:posOffset>
                </wp:positionV>
                <wp:extent cx="1986280" cy="842645"/>
                <wp:effectExtent l="4445" t="4445" r="9525" b="10160"/>
                <wp:wrapNone/>
                <wp:docPr id="1030" name="矩形 1030"/>
                <wp:cNvGraphicFramePr/>
                <a:graphic xmlns:a="http://schemas.openxmlformats.org/drawingml/2006/main">
                  <a:graphicData uri="http://schemas.microsoft.com/office/word/2010/wordprocessingShape">
                    <wps:wsp>
                      <wps:cNvSpPr/>
                      <wps:spPr>
                        <a:xfrm>
                          <a:off x="0" y="0"/>
                          <a:ext cx="1986279"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法定代表人身份证复印件</w:t>
                            </w:r>
                          </w:p>
                          <w:p>
                            <w:pPr>
                              <w:jc w:val="center"/>
                              <w:rPr>
                                <w:rFonts w:hint="default"/>
                              </w:rPr>
                            </w:pPr>
                            <w:r>
                              <w:rPr>
                                <w:rFonts w:ascii="宋体" w:cs="宋体"/>
                                <w:kern w:val="0"/>
                                <w:sz w:val="24"/>
                                <w:lang w:val="zh-CN"/>
                              </w:rPr>
                              <w:t>正面</w:t>
                            </w:r>
                          </w:p>
                        </w:txbxContent>
                      </wps:txbx>
                      <wps:bodyPr vert="horz" anchor="t" anchorCtr="0" upright="1">
                        <a:spAutoFit/>
                      </wps:bodyPr>
                    </wps:wsp>
                  </a:graphicData>
                </a:graphic>
              </wp:anchor>
            </w:drawing>
          </mc:Choice>
          <mc:Fallback>
            <w:pict>
              <v:rect id="_x0000_s1026" o:spid="_x0000_s1026" o:spt="1" style="position:absolute;left:0pt;margin-left:-187.9pt;margin-top:7.1pt;height:66.35pt;width:156.4pt;z-index:251666432;mso-width-relative:page;mso-height-relative:page;" fillcolor="#FFFFFF" filled="t" stroked="t" coordsize="21600,21600" o:gfxdata="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mltsNcAAAALAQAADwAAAAAAAAABACAAAAAiAAAAZHJzL2Rvd25yZXYueG1sUEsBAhQAFAAAAAgA&#10;h07iQPLOfgMmAgAAfAQAAA4AAAAAAAAAAQAgAAAAJgEAAGRycy9lMm9Eb2MueG1sUEsFBgAAAAAG&#10;AAYAWQEAAL4FA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法定代表人身份证复印件</w:t>
                      </w:r>
                    </w:p>
                    <w:p>
                      <w:pPr>
                        <w:jc w:val="center"/>
                        <w:rPr>
                          <w:rFonts w:hint="default"/>
                        </w:rPr>
                      </w:pPr>
                      <w:r>
                        <w:rPr>
                          <w:rFonts w:ascii="宋体" w:cs="宋体"/>
                          <w:kern w:val="0"/>
                          <w:sz w:val="24"/>
                          <w:lang w:val="zh-CN"/>
                        </w:rPr>
                        <w:t>正面</w:t>
                      </w:r>
                    </w:p>
                  </w:txbxContent>
                </v:textbox>
              </v:rect>
            </w:pict>
          </mc:Fallback>
        </mc:AlternateContent>
      </w:r>
    </w:p>
    <w:p>
      <w:pPr>
        <w:pStyle w:val="33"/>
        <w:spacing w:line="560" w:lineRule="exact"/>
        <w:outlineLvl w:val="9"/>
        <w:rPr>
          <w:rFonts w:hint="default" w:ascii="宋体" w:hAnsi="宋体" w:eastAsia="宋体" w:cs="宋体"/>
          <w:b/>
          <w:sz w:val="24"/>
          <w:szCs w:val="24"/>
          <w:lang w:val="en-US" w:eastAsia="zh-CN"/>
        </w:rPr>
      </w:pPr>
      <w:r>
        <w:rPr>
          <w:rFonts w:hint="eastAsia" w:ascii="宋体" w:hAnsi="宋体" w:cs="宋体"/>
          <w:b/>
          <w:sz w:val="24"/>
          <w:szCs w:val="24"/>
          <w:lang w:val="en-US" w:eastAsia="zh-CN"/>
        </w:rPr>
        <w:t xml:space="preserve">     </w:t>
      </w:r>
    </w:p>
    <w:p>
      <w:pPr>
        <w:pStyle w:val="33"/>
        <w:spacing w:line="560" w:lineRule="exact"/>
        <w:outlineLvl w:val="9"/>
        <w:rPr>
          <w:rFonts w:ascii="宋体" w:hAnsi="宋体" w:cs="宋体"/>
          <w:b/>
          <w:sz w:val="24"/>
          <w:szCs w:val="24"/>
        </w:rPr>
      </w:pPr>
    </w:p>
    <w:p>
      <w:pPr>
        <w:spacing w:line="560" w:lineRule="exact"/>
        <w:ind w:firstLine="480" w:firstLineChars="200"/>
        <w:rPr>
          <w:rFonts w:hint="default" w:ascii="宋体" w:hAnsi="宋体" w:cs="宋体"/>
          <w:sz w:val="24"/>
        </w:rPr>
      </w:pPr>
    </w:p>
    <w:p>
      <w:pPr>
        <w:spacing w:line="560" w:lineRule="exact"/>
        <w:ind w:firstLine="480" w:firstLineChars="200"/>
        <w:rPr>
          <w:rFonts w:hint="default" w:ascii="宋体" w:hAnsi="宋体" w:cs="宋体"/>
          <w:sz w:val="24"/>
        </w:rPr>
      </w:pPr>
      <w:r>
        <w:rPr>
          <w:rFonts w:hint="default" w:ascii="宋体" w:hAnsi="宋体" w:cs="宋体"/>
          <w:sz w:val="24"/>
        </w:rPr>
        <mc:AlternateContent>
          <mc:Choice Requires="wps">
            <w:drawing>
              <wp:anchor distT="0" distB="0" distL="114300" distR="114300" simplePos="0" relativeHeight="251667456" behindDoc="1" locked="0" layoutInCell="1" allowOverlap="1">
                <wp:simplePos x="0" y="0"/>
                <wp:positionH relativeFrom="column">
                  <wp:posOffset>3086100</wp:posOffset>
                </wp:positionH>
                <wp:positionV relativeFrom="paragraph">
                  <wp:posOffset>10160</wp:posOffset>
                </wp:positionV>
                <wp:extent cx="2533650" cy="1386840"/>
                <wp:effectExtent l="4445" t="4445" r="14605" b="18415"/>
                <wp:wrapSquare wrapText="bothSides"/>
                <wp:docPr id="1031" name="圆角矩形 1031"/>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txbx>
                        <w:txbxContent>
                          <w:p>
                            <w:pPr>
                              <w:jc w:val="center"/>
                              <w:rPr>
                                <w:rFonts w:hint="default" w:ascii="宋体" w:cs="宋体"/>
                                <w:kern w:val="0"/>
                                <w:sz w:val="24"/>
                                <w:lang w:val="zh-CN"/>
                              </w:rPr>
                            </w:pPr>
                          </w:p>
                          <w:p>
                            <w:pPr>
                              <w:jc w:val="center"/>
                              <w:rPr>
                                <w:rFonts w:hint="default" w:ascii="宋体" w:cs="宋体"/>
                                <w:kern w:val="0"/>
                                <w:sz w:val="24"/>
                                <w:lang w:val="zh-CN"/>
                              </w:rPr>
                            </w:pPr>
                            <w:r>
                              <w:rPr>
                                <w:rFonts w:ascii="宋体" w:cs="宋体"/>
                                <w:kern w:val="0"/>
                                <w:sz w:val="24"/>
                                <w:lang w:val="zh-CN"/>
                              </w:rPr>
                              <w:t>被授权人身份证复印件</w:t>
                            </w:r>
                          </w:p>
                          <w:p>
                            <w:pPr>
                              <w:ind w:firstLine="1200" w:firstLineChars="500"/>
                              <w:rPr>
                                <w:rFonts w:hint="default"/>
                              </w:rPr>
                            </w:pPr>
                            <w:r>
                              <w:rPr>
                                <w:rFonts w:ascii="宋体" w:cs="宋体"/>
                                <w:kern w:val="0"/>
                                <w:sz w:val="24"/>
                                <w:lang w:val="zh-CN"/>
                              </w:rPr>
                              <w:t>反面</w:t>
                            </w:r>
                          </w:p>
                        </w:txbxContent>
                      </wps:txbx>
                      <wps:bodyPr vert="horz" anchor="t" anchorCtr="0" upright="1"/>
                    </wps:wsp>
                  </a:graphicData>
                </a:graphic>
              </wp:anchor>
            </w:drawing>
          </mc:Choice>
          <mc:Fallback>
            <w:pict>
              <v:roundrect id="_x0000_s1026" o:spid="_x0000_s1026" o:spt="2" style="position:absolute;left:0pt;margin-left:243pt;margin-top:0.8pt;height:109.2pt;width:199.5pt;mso-wrap-distance-bottom:0pt;mso-wrap-distance-left:9pt;mso-wrap-distance-right:9pt;mso-wrap-distance-top:0pt;z-index:-251649024;mso-width-relative:page;mso-height-relative:page;" fillcolor="#FFFFFF" filled="t" stroked="t" coordsize="21600,21600" arcsize="0.166666666666667" o:gfxdata="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zScQNQAAAAJAQAA&#10;DwAAAAAAAAABACAAAAAiAAAAZHJzL2Rvd25yZXYueG1sUEsBAhQAFAAAAAgAh07iQMrgiUBWAgAA&#10;uQQAAA4AAAAAAAAAAQAgAAAAIwEAAGRycy9lMm9Eb2MueG1sUEsFBgAAAAAGAAYAWQEAAOsFAAAA&#10;AA==&#10;">
                <v:fill on="t" opacity="0f" focussize="0,0"/>
                <v:stroke color="#000000" joinstyle="round" dashstyle="dashDot"/>
                <v:imagedata o:title=""/>
                <o:lock v:ext="edit" aspectratio="f"/>
                <v:textbox>
                  <w:txbxContent>
                    <w:p>
                      <w:pPr>
                        <w:jc w:val="center"/>
                        <w:rPr>
                          <w:rFonts w:hint="default" w:ascii="宋体" w:cs="宋体"/>
                          <w:kern w:val="0"/>
                          <w:sz w:val="24"/>
                          <w:lang w:val="zh-CN"/>
                        </w:rPr>
                      </w:pPr>
                    </w:p>
                    <w:p>
                      <w:pPr>
                        <w:jc w:val="center"/>
                        <w:rPr>
                          <w:rFonts w:hint="default" w:ascii="宋体" w:cs="宋体"/>
                          <w:kern w:val="0"/>
                          <w:sz w:val="24"/>
                          <w:lang w:val="zh-CN"/>
                        </w:rPr>
                      </w:pPr>
                      <w:r>
                        <w:rPr>
                          <w:rFonts w:ascii="宋体" w:cs="宋体"/>
                          <w:kern w:val="0"/>
                          <w:sz w:val="24"/>
                          <w:lang w:val="zh-CN"/>
                        </w:rPr>
                        <w:t>被授权人身份证复印件</w:t>
                      </w:r>
                    </w:p>
                    <w:p>
                      <w:pPr>
                        <w:ind w:firstLine="1200" w:firstLineChars="500"/>
                        <w:rPr>
                          <w:rFonts w:hint="default"/>
                        </w:rPr>
                      </w:pPr>
                      <w:r>
                        <w:rPr>
                          <w:rFonts w:ascii="宋体" w:cs="宋体"/>
                          <w:kern w:val="0"/>
                          <w:sz w:val="24"/>
                          <w:lang w:val="zh-CN"/>
                        </w:rPr>
                        <w:t>反面</w:t>
                      </w:r>
                    </w:p>
                  </w:txbxContent>
                </v:textbox>
                <w10:wrap type="square"/>
              </v:roundrect>
            </w:pict>
          </mc:Fallback>
        </mc:AlternateContent>
      </w:r>
      <w:r>
        <w:rPr>
          <w:rFonts w:hint="default" w:ascii="宋体" w:hAnsi="宋体" w:cs="宋体"/>
          <w:sz w:val="24"/>
        </w:rPr>
        <mc:AlternateContent>
          <mc:Choice Requires="wps">
            <w:drawing>
              <wp:anchor distT="0" distB="0" distL="114300" distR="114300" simplePos="0" relativeHeight="251668480" behindDoc="1" locked="0" layoutInCell="1" allowOverlap="1">
                <wp:simplePos x="0" y="0"/>
                <wp:positionH relativeFrom="column">
                  <wp:posOffset>0</wp:posOffset>
                </wp:positionH>
                <wp:positionV relativeFrom="paragraph">
                  <wp:posOffset>10160</wp:posOffset>
                </wp:positionV>
                <wp:extent cx="2533650" cy="1386840"/>
                <wp:effectExtent l="4445" t="4445" r="14605" b="18415"/>
                <wp:wrapSquare wrapText="bothSides"/>
                <wp:docPr id="1032" name="圆角矩形 1032"/>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a:effectLst/>
                      </wps:spPr>
                      <wps:bodyPr vert="horz" anchor="t" anchorCtr="0"/>
                    </wps:wsp>
                  </a:graphicData>
                </a:graphic>
              </wp:anchor>
            </w:drawing>
          </mc:Choice>
          <mc:Fallback>
            <w:pict>
              <v:roundrect id="_x0000_s1026" o:spid="_x0000_s1026" o:spt="2" style="position:absolute;left:0pt;margin-left:0pt;margin-top:0.8pt;height:109.2pt;width:199.5pt;mso-wrap-distance-bottom:0pt;mso-wrap-distance-left:9pt;mso-wrap-distance-right:9pt;mso-wrap-distance-top:0pt;z-index:-251648000;mso-width-relative:page;mso-height-relative:page;" fillcolor="#FFFFFF" filled="t" stroked="t" coordsize="21600,21600" arcsize="0.166666666666667" o:gfxdata="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JG10wAAAAYBAAAPAAAAAAAAAAEAIAAAACIA&#10;AABkcnMvZG93bnJldi54bWxQSwECFAAUAAAACACHTuJA+E929EcCAACiBAAADgAAAAAAAAABACAA&#10;AAAiAQAAZHJzL2Uyb0RvYy54bWxQSwUGAAAAAAYABgBZAQAA2wUAAAAA&#10;">
                <v:fill on="t" opacity="0f" focussize="0,0"/>
                <v:stroke color="#000000" joinstyle="round" dashstyle="dashDot"/>
                <v:imagedata o:title=""/>
                <o:lock v:ext="edit" aspectratio="f"/>
                <w10:wrap type="square"/>
              </v:roundrect>
            </w:pict>
          </mc:Fallback>
        </mc:AlternateContent>
      </w:r>
    </w:p>
    <w:p>
      <w:pPr>
        <w:spacing w:line="560" w:lineRule="exact"/>
        <w:ind w:firstLine="480" w:firstLineChars="200"/>
        <w:rPr>
          <w:rFonts w:hint="default" w:ascii="宋体" w:hAnsi="宋体" w:cs="宋体"/>
          <w:sz w:val="24"/>
        </w:rPr>
      </w:pPr>
      <w:r>
        <w:rPr>
          <w:rFonts w:hint="default"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-2339340</wp:posOffset>
                </wp:positionH>
                <wp:positionV relativeFrom="paragraph">
                  <wp:posOffset>139700</wp:posOffset>
                </wp:positionV>
                <wp:extent cx="2027555" cy="842645"/>
                <wp:effectExtent l="5080" t="4445" r="5715" b="10160"/>
                <wp:wrapNone/>
                <wp:docPr id="1033" name="矩形 1033"/>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wps:txbx>
                      <wps:bodyPr vert="horz" anchor="t" anchorCtr="0" upright="1">
                        <a:spAutoFit/>
                      </wps:bodyPr>
                    </wps:wsp>
                  </a:graphicData>
                </a:graphic>
              </wp:anchor>
            </w:drawing>
          </mc:Choice>
          <mc:Fallback>
            <w:pict>
              <v:rect id="_x0000_s1026" o:spid="_x0000_s1026" o:spt="1" style="position:absolute;left:0pt;margin-left:-184.2pt;margin-top:11pt;height:66.35pt;width:159.65pt;z-index:251669504;mso-width-relative:page;mso-height-relative:page;" fillcolor="#FFFFFF" filled="t" stroked="t" coordsize="21600,21600" o:gfxdata="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Add9gAAAALAQAADwAAAAAAAAABACAAAAAiAAAAZHJzL2Rvd25yZXYueG1sUEsBAhQAFAAAAAgA&#10;h07iQHtl8RglAgAAfAQAAA4AAAAAAAAAAQAgAAAAJwEAAGRycy9lMm9Eb2MueG1sUEsFBgAAAAAG&#10;AAYAWQEAAL4FA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rPr>
        <mc:AlternateContent>
          <mc:Choice Requires="wps">
            <w:drawing>
              <wp:anchor distT="0" distB="0" distL="114300" distR="114300" simplePos="0" relativeHeight="251670528" behindDoc="0" locked="0" layoutInCell="1" allowOverlap="1">
                <wp:simplePos x="0" y="0"/>
                <wp:positionH relativeFrom="column">
                  <wp:posOffset>-5387340</wp:posOffset>
                </wp:positionH>
                <wp:positionV relativeFrom="paragraph">
                  <wp:posOffset>147320</wp:posOffset>
                </wp:positionV>
                <wp:extent cx="2027555" cy="842645"/>
                <wp:effectExtent l="5080" t="4445" r="5715" b="10160"/>
                <wp:wrapNone/>
                <wp:docPr id="1034" name="矩形 1034"/>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wps:txbx>
                      <wps:bodyPr vert="horz" anchor="t" anchorCtr="0" upright="1">
                        <a:spAutoFit/>
                      </wps:bodyPr>
                    </wps:wsp>
                  </a:graphicData>
                </a:graphic>
              </wp:anchor>
            </w:drawing>
          </mc:Choice>
          <mc:Fallback>
            <w:pict>
              <v:rect id="_x0000_s1026" o:spid="_x0000_s1026" o:spt="1" style="position:absolute;left:0pt;margin-left:-424.2pt;margin-top:11.6pt;height:66.35pt;width:159.65pt;z-index:251670528;mso-width-relative:page;mso-height-relative:page;" fillcolor="#FFFFFF" filled="t" stroked="t" coordsize="21600,21600" o:gfxdata="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PEKo2gAAAAwBAAAPAAAAAAAAAAEAIAAAACIAAABkcnMvZG93bnJldi54bWxQSwECFAAUAAAA&#10;CACHTuJABdPvbiUCAAB8BAAADgAAAAAAAAABACAAAAApAQAAZHJzL2Uyb0RvYy54bWxQSwUGAAAA&#10;AAYABgBZAQAAwAU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rPr>
        <mc:AlternateContent>
          <mc:Choice Requires="wps">
            <w:drawing>
              <wp:anchor distT="0" distB="0" distL="114300" distR="114300" simplePos="0" relativeHeight="251671552" behindDoc="0" locked="0" layoutInCell="1" allowOverlap="1">
                <wp:simplePos x="0" y="0"/>
                <wp:positionH relativeFrom="column">
                  <wp:posOffset>-2386965</wp:posOffset>
                </wp:positionH>
                <wp:positionV relativeFrom="paragraph">
                  <wp:posOffset>147320</wp:posOffset>
                </wp:positionV>
                <wp:extent cx="2027555" cy="842645"/>
                <wp:effectExtent l="5080" t="4445" r="5715" b="10160"/>
                <wp:wrapNone/>
                <wp:docPr id="1035" name="矩形 1035"/>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rPr>
                              <w:t>正</w:t>
                            </w:r>
                            <w:r>
                              <w:rPr>
                                <w:rFonts w:ascii="宋体" w:cs="宋体"/>
                                <w:kern w:val="0"/>
                                <w:sz w:val="24"/>
                                <w:lang w:val="zh-CN"/>
                              </w:rPr>
                              <w:t>面</w:t>
                            </w:r>
                          </w:p>
                        </w:txbxContent>
                      </wps:txbx>
                      <wps:bodyPr vert="horz" anchor="t" anchorCtr="0" upright="1">
                        <a:spAutoFit/>
                      </wps:bodyPr>
                    </wps:wsp>
                  </a:graphicData>
                </a:graphic>
              </wp:anchor>
            </w:drawing>
          </mc:Choice>
          <mc:Fallback>
            <w:pict>
              <v:rect id="_x0000_s1026" o:spid="_x0000_s1026" o:spt="1" style="position:absolute;left:0pt;margin-left:-187.95pt;margin-top:11.6pt;height:66.35pt;width:159.65pt;z-index:251671552;mso-width-relative:page;mso-height-relative:page;" fillcolor="#FFFFFF" filled="t" stroked="t" coordsize="21600,21600" o:gfxdata="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O&#10;/j+T2AAAAAsBAAAPAAAAAAAAAAEAIAAAACIAAABkcnMvZG93bnJldi54bWxQSwECFAAUAAAACACH&#10;TuJAOje2sCQCAAB8BAAADgAAAAAAAAABACAAAAAnAQAAZHJzL2Uyb0RvYy54bWxQSwUGAAAAAAYA&#10;BgBZAQAAvQUAAAAA&#10;">
                <v:fill on="t" focussize="0,0"/>
                <v:stroke color="#FFFFFF" joinstyle="miter"/>
                <v:imagedata o:title=""/>
                <o:lock v:ext="edit" aspectratio="f"/>
                <v:textbox style="mso-fit-shape-to-text:t;">
                  <w:txbxContent>
                    <w:p>
                      <w:pPr>
                        <w:jc w:val="center"/>
                        <w:rPr>
                          <w:rFonts w:hint="default" w:ascii="宋体" w:cs="宋体"/>
                          <w:kern w:val="0"/>
                          <w:sz w:val="24"/>
                          <w:lang w:val="zh-CN"/>
                        </w:rPr>
                      </w:pPr>
                      <w:r>
                        <w:rPr>
                          <w:rFonts w:ascii="宋体" w:cs="宋体"/>
                          <w:kern w:val="0"/>
                          <w:sz w:val="24"/>
                          <w:lang w:val="zh-CN"/>
                        </w:rPr>
                        <w:t>被授权人身份证复印件</w:t>
                      </w:r>
                    </w:p>
                    <w:p>
                      <w:pPr>
                        <w:jc w:val="center"/>
                        <w:rPr>
                          <w:rFonts w:hint="default"/>
                        </w:rPr>
                      </w:pPr>
                      <w:r>
                        <w:rPr>
                          <w:rFonts w:ascii="宋体" w:cs="宋体"/>
                          <w:kern w:val="0"/>
                          <w:sz w:val="24"/>
                        </w:rPr>
                        <w:t>正</w:t>
                      </w:r>
                      <w:r>
                        <w:rPr>
                          <w:rFonts w:ascii="宋体" w:cs="宋体"/>
                          <w:kern w:val="0"/>
                          <w:sz w:val="24"/>
                          <w:lang w:val="zh-CN"/>
                        </w:rPr>
                        <w:t>面</w:t>
                      </w:r>
                    </w:p>
                  </w:txbxContent>
                </v:textbox>
              </v:rect>
            </w:pict>
          </mc:Fallback>
        </mc:AlternateContent>
      </w:r>
    </w:p>
    <w:p>
      <w:pPr>
        <w:spacing w:line="560" w:lineRule="exact"/>
        <w:ind w:firstLine="480" w:firstLineChars="200"/>
        <w:rPr>
          <w:rFonts w:hint="default" w:ascii="宋体" w:hAnsi="宋体" w:cs="宋体"/>
          <w:sz w:val="24"/>
        </w:rPr>
      </w:pPr>
    </w:p>
    <w:p>
      <w:pPr>
        <w:spacing w:line="560" w:lineRule="exact"/>
        <w:ind w:firstLine="480" w:firstLineChars="200"/>
        <w:rPr>
          <w:rFonts w:hint="default" w:ascii="宋体" w:hAnsi="宋体" w:cs="宋体"/>
          <w:sz w:val="24"/>
        </w:rPr>
      </w:pPr>
    </w:p>
    <w:p>
      <w:pPr>
        <w:spacing w:line="560" w:lineRule="exact"/>
        <w:rPr>
          <w:rFonts w:hint="default" w:ascii="宋体" w:hAnsi="宋体" w:cs="宋体"/>
          <w:sz w:val="24"/>
        </w:rPr>
      </w:pPr>
    </w:p>
    <w:p>
      <w:pPr>
        <w:pStyle w:val="11"/>
        <w:wordWrap/>
        <w:spacing w:line="360" w:lineRule="auto"/>
        <w:ind w:firstLine="720" w:firstLineChars="300"/>
        <w:jc w:val="left"/>
        <w:rPr>
          <w:rFonts w:hint="default" w:hAnsi="宋体" w:cs="宋体"/>
          <w:sz w:val="24"/>
          <w:szCs w:val="24"/>
        </w:rPr>
      </w:pPr>
    </w:p>
    <w:p>
      <w:pPr>
        <w:pStyle w:val="11"/>
        <w:wordWrap w:val="0"/>
        <w:spacing w:line="360" w:lineRule="auto"/>
        <w:ind w:firstLine="720" w:firstLineChars="300"/>
        <w:jc w:val="right"/>
        <w:rPr>
          <w:rFonts w:hint="default" w:hAnsi="宋体" w:cs="宋体"/>
          <w:sz w:val="24"/>
          <w:szCs w:val="24"/>
        </w:rPr>
      </w:pPr>
      <w:r>
        <w:rPr>
          <w:rFonts w:hAnsi="宋体" w:cs="宋体"/>
          <w:sz w:val="24"/>
          <w:szCs w:val="24"/>
        </w:rPr>
        <w:t xml:space="preserve">供应商（公章）：     </w:t>
      </w:r>
    </w:p>
    <w:p>
      <w:pPr>
        <w:pStyle w:val="11"/>
        <w:wordWrap w:val="0"/>
        <w:spacing w:line="360" w:lineRule="auto"/>
        <w:ind w:firstLine="720" w:firstLineChars="300"/>
        <w:jc w:val="right"/>
        <w:rPr>
          <w:rFonts w:hint="default" w:hAnsi="宋体" w:cs="宋体"/>
          <w:sz w:val="24"/>
          <w:szCs w:val="24"/>
        </w:rPr>
      </w:pPr>
      <w:r>
        <w:rPr>
          <w:rFonts w:hAnsi="宋体" w:cs="宋体"/>
          <w:sz w:val="24"/>
          <w:szCs w:val="24"/>
        </w:rPr>
        <w:t xml:space="preserve">法定代表人签字：     </w:t>
      </w:r>
    </w:p>
    <w:p>
      <w:pPr>
        <w:pStyle w:val="11"/>
        <w:spacing w:line="360" w:lineRule="auto"/>
        <w:ind w:firstLine="720" w:firstLineChars="300"/>
        <w:jc w:val="center"/>
        <w:rPr>
          <w:rFonts w:hint="eastAsia" w:ascii="宋体" w:hAnsi="宋体"/>
          <w:color w:val="000000"/>
          <w:szCs w:val="21"/>
        </w:rPr>
      </w:pPr>
      <w:r>
        <w:rPr>
          <w:rFonts w:hint="eastAsia" w:hAnsi="宋体" w:cs="宋体"/>
          <w:sz w:val="24"/>
          <w:szCs w:val="24"/>
          <w:lang w:val="en-US" w:eastAsia="zh-CN"/>
        </w:rPr>
        <w:t xml:space="preserve">                                                 </w:t>
      </w:r>
      <w:r>
        <w:rPr>
          <w:rFonts w:hAnsi="宋体" w:cs="宋体"/>
          <w:sz w:val="24"/>
          <w:szCs w:val="24"/>
        </w:rPr>
        <w:t>日期：</w:t>
      </w:r>
      <w:r>
        <w:rPr>
          <w:rFonts w:hAnsi="宋体" w:cs="宋体"/>
          <w:sz w:val="24"/>
          <w:szCs w:val="24"/>
        </w:rPr>
        <w:tab/>
      </w:r>
      <w:r>
        <w:rPr>
          <w:rFonts w:hAnsi="宋体" w:cs="宋体"/>
          <w:sz w:val="24"/>
          <w:szCs w:val="24"/>
        </w:rPr>
        <w:t>年</w:t>
      </w:r>
      <w:r>
        <w:rPr>
          <w:rFonts w:hAnsi="宋体" w:cs="宋体"/>
          <w:sz w:val="24"/>
          <w:szCs w:val="24"/>
        </w:rPr>
        <w:tab/>
      </w:r>
      <w:r>
        <w:rPr>
          <w:rFonts w:hAnsi="宋体" w:cs="宋体"/>
          <w:sz w:val="24"/>
          <w:szCs w:val="24"/>
        </w:rPr>
        <w:t>月</w:t>
      </w:r>
      <w:r>
        <w:rPr>
          <w:rFonts w:hAnsi="宋体" w:cs="宋体"/>
          <w:sz w:val="24"/>
          <w:szCs w:val="24"/>
        </w:rPr>
        <w:tab/>
      </w:r>
      <w:r>
        <w:rPr>
          <w:rFonts w:hAnsi="宋体" w:cs="宋体"/>
          <w:sz w:val="24"/>
          <w:szCs w:val="24"/>
        </w:rPr>
        <w:t>日</w:t>
      </w:r>
    </w:p>
    <w:p>
      <w:pPr>
        <w:pStyle w:val="4"/>
        <w:numPr>
          <w:ilvl w:val="0"/>
          <w:numId w:val="2"/>
        </w:numPr>
        <w:jc w:val="center"/>
        <w:rPr>
          <w:rFonts w:hint="eastAsia" w:ascii="宋体" w:hAnsi="宋体" w:eastAsia="宋体"/>
          <w:color w:val="000000"/>
          <w:sz w:val="24"/>
        </w:rPr>
      </w:pPr>
      <w:r>
        <w:rPr>
          <w:rFonts w:hint="eastAsia" w:ascii="宋体" w:hAnsi="宋体" w:eastAsia="宋体"/>
          <w:color w:val="000000"/>
          <w:sz w:val="24"/>
        </w:rPr>
        <w:t>初次报价表</w:t>
      </w:r>
    </w:p>
    <w:tbl>
      <w:tblPr>
        <w:tblStyle w:val="21"/>
        <w:tblW w:w="970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5"/>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2905" w:type="dxa"/>
            <w:vAlign w:val="center"/>
          </w:tcPr>
          <w:p>
            <w:pPr>
              <w:pStyle w:val="28"/>
              <w:ind w:right="373"/>
              <w:jc w:val="center"/>
              <w:rPr>
                <w:sz w:val="24"/>
                <w:szCs w:val="24"/>
              </w:rPr>
            </w:pPr>
            <w:r>
              <w:rPr>
                <w:rFonts w:hint="eastAsia"/>
                <w:sz w:val="24"/>
                <w:szCs w:val="24"/>
              </w:rPr>
              <w:t>响应方（名称及盖章）</w:t>
            </w:r>
          </w:p>
        </w:tc>
        <w:tc>
          <w:tcPr>
            <w:tcW w:w="6797" w:type="dxa"/>
          </w:tcPr>
          <w:p>
            <w:pPr>
              <w:pStyle w:val="2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2905" w:type="dxa"/>
          </w:tcPr>
          <w:p>
            <w:pPr>
              <w:pStyle w:val="28"/>
              <w:ind w:right="373"/>
              <w:jc w:val="center"/>
              <w:rPr>
                <w:rFonts w:hint="eastAsia"/>
                <w:sz w:val="24"/>
                <w:szCs w:val="24"/>
              </w:rPr>
            </w:pPr>
          </w:p>
          <w:p>
            <w:pPr>
              <w:pStyle w:val="28"/>
              <w:ind w:right="373"/>
              <w:jc w:val="center"/>
              <w:rPr>
                <w:sz w:val="24"/>
                <w:szCs w:val="24"/>
              </w:rPr>
            </w:pPr>
            <w:r>
              <w:rPr>
                <w:rFonts w:hint="eastAsia"/>
                <w:sz w:val="24"/>
                <w:szCs w:val="24"/>
              </w:rPr>
              <w:t>项目名称</w:t>
            </w:r>
          </w:p>
        </w:tc>
        <w:tc>
          <w:tcPr>
            <w:tcW w:w="6797" w:type="dxa"/>
          </w:tcPr>
          <w:p>
            <w:pPr>
              <w:pStyle w:val="2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2905" w:type="dxa"/>
          </w:tcPr>
          <w:p>
            <w:pPr>
              <w:pStyle w:val="28"/>
              <w:spacing w:before="174"/>
              <w:ind w:right="373"/>
              <w:jc w:val="both"/>
              <w:rPr>
                <w:rFonts w:hint="eastAsia"/>
                <w:sz w:val="24"/>
                <w:szCs w:val="24"/>
              </w:rPr>
            </w:pPr>
          </w:p>
          <w:p>
            <w:pPr>
              <w:pStyle w:val="28"/>
              <w:spacing w:before="174"/>
              <w:ind w:right="373" w:firstLine="960" w:firstLineChars="400"/>
              <w:jc w:val="both"/>
              <w:rPr>
                <w:sz w:val="24"/>
                <w:szCs w:val="24"/>
              </w:rPr>
            </w:pPr>
            <w:r>
              <w:rPr>
                <w:rFonts w:hint="eastAsia"/>
                <w:sz w:val="24"/>
                <w:szCs w:val="24"/>
              </w:rPr>
              <w:t>总报价</w:t>
            </w:r>
          </w:p>
        </w:tc>
        <w:tc>
          <w:tcPr>
            <w:tcW w:w="6797" w:type="dxa"/>
          </w:tcPr>
          <w:p>
            <w:pPr>
              <w:pStyle w:val="28"/>
              <w:spacing w:line="384" w:lineRule="auto"/>
              <w:ind w:right="5880"/>
              <w:rPr>
                <w:rFonts w:hint="eastAsia"/>
                <w:sz w:val="24"/>
                <w:szCs w:val="24"/>
              </w:rPr>
            </w:pPr>
          </w:p>
          <w:p>
            <w:pPr>
              <w:pStyle w:val="28"/>
              <w:spacing w:line="384" w:lineRule="auto"/>
              <w:ind w:right="5880"/>
              <w:rPr>
                <w:sz w:val="24"/>
                <w:szCs w:val="24"/>
              </w:rPr>
            </w:pPr>
            <w:r>
              <w:rPr>
                <w:rFonts w:hint="eastAsia"/>
                <w:sz w:val="24"/>
                <w:szCs w:val="24"/>
              </w:rPr>
              <w:t>小</w:t>
            </w:r>
            <w:r>
              <w:rPr>
                <w:rFonts w:hint="eastAsia"/>
                <w:sz w:val="24"/>
                <w:szCs w:val="24"/>
                <w:lang w:val="en-US" w:eastAsia="zh-CN"/>
              </w:rPr>
              <w:t xml:space="preserve"> </w:t>
            </w:r>
            <w:r>
              <w:rPr>
                <w:rFonts w:hint="eastAsia"/>
                <w:sz w:val="24"/>
                <w:szCs w:val="24"/>
              </w:rPr>
              <w:t>写： 大</w:t>
            </w:r>
            <w:r>
              <w:rPr>
                <w:rFonts w:hint="eastAsia"/>
                <w:sz w:val="24"/>
                <w:szCs w:val="24"/>
                <w:lang w:val="en-US" w:eastAsia="zh-CN"/>
              </w:rPr>
              <w:t xml:space="preserve"> </w:t>
            </w:r>
            <w:r>
              <w:rPr>
                <w:rFonts w:hint="eastAsia"/>
                <w:sz w:val="24"/>
                <w:szCs w:val="24"/>
              </w:rPr>
              <w:t>写</w:t>
            </w:r>
            <w:r>
              <w:rPr>
                <w:rFonts w:hint="eastAsia"/>
                <w:sz w:val="24"/>
                <w:szCs w:val="24"/>
                <w:lang w:val="en-US" w:eastAsia="zh-CN"/>
              </w:rPr>
              <w:t xml:space="preserve"> </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28"/>
              <w:spacing w:before="175"/>
              <w:ind w:right="371"/>
              <w:jc w:val="center"/>
              <w:rPr>
                <w:sz w:val="24"/>
                <w:szCs w:val="24"/>
              </w:rPr>
            </w:pPr>
            <w:r>
              <w:rPr>
                <w:rFonts w:hint="eastAsia"/>
                <w:w w:val="110"/>
                <w:sz w:val="24"/>
                <w:szCs w:val="24"/>
              </w:rPr>
              <w:t>工期（日历</w:t>
            </w:r>
            <w:r>
              <w:rPr>
                <w:rFonts w:hint="eastAsia"/>
                <w:w w:val="110"/>
                <w:sz w:val="24"/>
                <w:szCs w:val="24"/>
                <w:lang w:val="en-US" w:eastAsia="zh-CN"/>
              </w:rPr>
              <w:t>天</w:t>
            </w:r>
            <w:r>
              <w:rPr>
                <w:rFonts w:hint="eastAsia"/>
                <w:w w:val="110"/>
                <w:sz w:val="24"/>
                <w:szCs w:val="24"/>
              </w:rPr>
              <w:t>）</w:t>
            </w:r>
          </w:p>
        </w:tc>
        <w:tc>
          <w:tcPr>
            <w:tcW w:w="6797" w:type="dxa"/>
          </w:tcPr>
          <w:p>
            <w:pPr>
              <w:pStyle w:val="2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28"/>
              <w:spacing w:before="176"/>
              <w:ind w:right="371"/>
              <w:jc w:val="center"/>
              <w:rPr>
                <w:sz w:val="24"/>
                <w:szCs w:val="24"/>
              </w:rPr>
            </w:pPr>
            <w:r>
              <w:rPr>
                <w:rFonts w:hint="eastAsia"/>
                <w:w w:val="110"/>
                <w:sz w:val="24"/>
                <w:szCs w:val="24"/>
              </w:rPr>
              <w:t>质量标准</w:t>
            </w:r>
          </w:p>
        </w:tc>
        <w:tc>
          <w:tcPr>
            <w:tcW w:w="6797" w:type="dxa"/>
          </w:tcPr>
          <w:p>
            <w:pPr>
              <w:pStyle w:val="2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28"/>
              <w:spacing w:before="174"/>
              <w:ind w:right="373"/>
              <w:jc w:val="center"/>
              <w:rPr>
                <w:sz w:val="24"/>
                <w:szCs w:val="24"/>
              </w:rPr>
            </w:pPr>
            <w:r>
              <w:rPr>
                <w:rFonts w:hint="eastAsia"/>
                <w:sz w:val="24"/>
                <w:szCs w:val="24"/>
              </w:rPr>
              <w:t>质保期（月）</w:t>
            </w:r>
          </w:p>
        </w:tc>
        <w:tc>
          <w:tcPr>
            <w:tcW w:w="6797" w:type="dxa"/>
          </w:tcPr>
          <w:p>
            <w:pPr>
              <w:pStyle w:val="2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vAlign w:val="center"/>
          </w:tcPr>
          <w:p>
            <w:pPr>
              <w:pStyle w:val="28"/>
              <w:spacing w:before="174"/>
              <w:ind w:left="381" w:right="373"/>
              <w:jc w:val="center"/>
              <w:rPr>
                <w:sz w:val="24"/>
                <w:szCs w:val="24"/>
              </w:rPr>
            </w:pPr>
            <w:r>
              <w:rPr>
                <w:rFonts w:hint="eastAsia"/>
                <w:sz w:val="24"/>
                <w:szCs w:val="24"/>
              </w:rPr>
              <w:t>对磋商文件响应程度</w:t>
            </w:r>
          </w:p>
        </w:tc>
        <w:tc>
          <w:tcPr>
            <w:tcW w:w="6797" w:type="dxa"/>
            <w:vAlign w:val="center"/>
          </w:tcPr>
          <w:p>
            <w:pPr>
              <w:pStyle w:val="28"/>
              <w:spacing w:before="174"/>
              <w:ind w:left="381" w:right="373"/>
              <w:jc w:val="center"/>
              <w:rPr>
                <w:sz w:val="24"/>
                <w:szCs w:val="24"/>
                <w:lang w:val="en-US"/>
              </w:rPr>
            </w:pPr>
            <w:r>
              <w:rPr>
                <w:rFonts w:hint="eastAsia"/>
                <w:sz w:val="24"/>
                <w:szCs w:val="24"/>
              </w:rPr>
              <w:t>□完全响应</w:t>
            </w:r>
            <w:r>
              <w:rPr>
                <w:rFonts w:hint="eastAsia"/>
                <w:sz w:val="24"/>
                <w:szCs w:val="24"/>
                <w:lang w:val="en-US" w:eastAsia="zh-CN"/>
              </w:rPr>
              <w:t xml:space="preserve">  </w:t>
            </w:r>
            <w:r>
              <w:rPr>
                <w:rFonts w:hint="eastAsia"/>
                <w:sz w:val="24"/>
                <w:szCs w:val="24"/>
              </w:rPr>
              <w:t>□不完全响应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905" w:type="dxa"/>
          </w:tcPr>
          <w:p>
            <w:pPr>
              <w:pStyle w:val="28"/>
              <w:spacing w:before="11"/>
              <w:rPr>
                <w:sz w:val="24"/>
                <w:szCs w:val="24"/>
              </w:rPr>
            </w:pPr>
          </w:p>
          <w:p>
            <w:pPr>
              <w:pStyle w:val="28"/>
              <w:spacing w:line="384" w:lineRule="auto"/>
              <w:ind w:left="11" w:right="38" w:firstLine="96"/>
              <w:rPr>
                <w:sz w:val="24"/>
                <w:szCs w:val="24"/>
              </w:rPr>
            </w:pPr>
            <w:r>
              <w:rPr>
                <w:rFonts w:hint="eastAsia"/>
                <w:sz w:val="24"/>
                <w:szCs w:val="24"/>
              </w:rPr>
              <w:t>法定代表人或授权代表（签字或盖章）</w:t>
            </w:r>
          </w:p>
        </w:tc>
        <w:tc>
          <w:tcPr>
            <w:tcW w:w="6797" w:type="dxa"/>
          </w:tcPr>
          <w:p>
            <w:pPr>
              <w:pStyle w:val="28"/>
              <w:rPr>
                <w:sz w:val="24"/>
                <w:szCs w:val="24"/>
              </w:rPr>
            </w:pPr>
          </w:p>
        </w:tc>
      </w:tr>
    </w:tbl>
    <w:p>
      <w:pPr>
        <w:numPr>
          <w:ilvl w:val="0"/>
          <w:numId w:val="0"/>
        </w:numPr>
        <w:rPr>
          <w:rFonts w:hint="eastAsia"/>
        </w:rPr>
      </w:pPr>
    </w:p>
    <w:p>
      <w:pPr>
        <w:spacing w:line="360" w:lineRule="auto"/>
        <w:ind w:right="420"/>
        <w:rPr>
          <w:rFonts w:hint="eastAsia" w:ascii="宋体" w:hAnsi="宋体"/>
          <w:color w:val="000000"/>
          <w:szCs w:val="21"/>
        </w:rPr>
      </w:pPr>
      <w:r>
        <w:rPr>
          <w:rFonts w:hint="eastAsia" w:ascii="宋体" w:hAnsi="宋体"/>
          <w:color w:val="000000"/>
          <w:szCs w:val="21"/>
        </w:rPr>
        <w:t xml:space="preserve">                                                    </w:t>
      </w:r>
    </w:p>
    <w:p>
      <w:pPr>
        <w:spacing w:line="480" w:lineRule="exact"/>
        <w:ind w:firstLine="420" w:firstLineChars="200"/>
        <w:jc w:val="center"/>
        <w:rPr>
          <w:rFonts w:hint="eastAsia" w:ascii="宋体" w:hAnsi="宋体"/>
          <w:color w:val="000000"/>
          <w:sz w:val="24"/>
          <w:szCs w:val="24"/>
        </w:rPr>
      </w:pPr>
      <w:r>
        <w:rPr>
          <w:rFonts w:hint="eastAsia" w:ascii="宋体" w:hAnsi="宋体"/>
          <w:color w:val="000000"/>
          <w:szCs w:val="21"/>
          <w:lang w:val="en-US" w:eastAsia="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供应商（盖章）：</w:t>
      </w:r>
    </w:p>
    <w:p>
      <w:pPr>
        <w:spacing w:line="480" w:lineRule="exact"/>
        <w:ind w:firstLine="480" w:firstLineChars="200"/>
        <w:jc w:val="right"/>
        <w:rPr>
          <w:rFonts w:hint="eastAsia" w:ascii="宋体" w:hAnsi="宋体"/>
          <w:color w:val="000000"/>
          <w:sz w:val="24"/>
          <w:szCs w:val="24"/>
        </w:rPr>
      </w:pPr>
      <w:r>
        <w:rPr>
          <w:rFonts w:hint="eastAsia" w:ascii="宋体" w:hAnsi="宋体"/>
          <w:color w:val="000000"/>
          <w:sz w:val="24"/>
          <w:szCs w:val="24"/>
          <w:lang w:eastAsia="zh-CN"/>
        </w:rPr>
        <w:t>法定代表人</w:t>
      </w:r>
      <w:r>
        <w:rPr>
          <w:rFonts w:hint="eastAsia" w:ascii="宋体" w:hAnsi="宋体"/>
          <w:color w:val="000000"/>
          <w:sz w:val="24"/>
          <w:szCs w:val="24"/>
        </w:rPr>
        <w:t>或委托代理人（签字或盖章）：</w:t>
      </w:r>
    </w:p>
    <w:p>
      <w:pPr>
        <w:spacing w:line="480" w:lineRule="exact"/>
        <w:ind w:firstLine="480" w:firstLineChars="200"/>
        <w:jc w:val="right"/>
        <w:rPr>
          <w:rFonts w:hint="eastAsia" w:ascii="黑体" w:hAnsi="宋体" w:eastAsia="黑体"/>
          <w:color w:val="000000"/>
          <w:sz w:val="6"/>
          <w:szCs w:val="6"/>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pStyle w:val="4"/>
        <w:jc w:val="center"/>
        <w:rPr>
          <w:rFonts w:hint="eastAsia" w:ascii="宋体" w:hAnsi="宋体" w:eastAsia="宋体"/>
          <w:color w:val="000000"/>
          <w:sz w:val="24"/>
        </w:rPr>
      </w:pPr>
      <w:r>
        <w:rPr>
          <w:rFonts w:hint="eastAsia" w:ascii="宋体" w:hAnsi="宋体" w:eastAsia="宋体"/>
          <w:color w:val="000000"/>
          <w:sz w:val="24"/>
        </w:rPr>
        <w:t>五、初次报价的已标价工程量清单</w:t>
      </w:r>
    </w:p>
    <w:p>
      <w:pPr>
        <w:spacing w:line="480" w:lineRule="auto"/>
        <w:jc w:val="center"/>
        <w:rPr>
          <w:rFonts w:hint="eastAsia" w:ascii="宋体" w:hAnsi="宋体"/>
          <w:b/>
          <w:color w:val="000000"/>
          <w:sz w:val="24"/>
        </w:rPr>
      </w:pPr>
      <w:r>
        <w:rPr>
          <w:rFonts w:hint="eastAsia" w:ascii="黑体" w:hAnsi="宋体" w:eastAsia="黑体"/>
          <w:color w:val="000000"/>
          <w:sz w:val="28"/>
          <w:szCs w:val="28"/>
        </w:rPr>
        <w:br w:type="page"/>
      </w:r>
      <w:bookmarkStart w:id="43" w:name="_Toc374107072"/>
      <w:bookmarkStart w:id="44" w:name="_Toc300901198"/>
      <w:bookmarkStart w:id="45" w:name="_Toc323642003"/>
      <w:r>
        <w:rPr>
          <w:rFonts w:hint="eastAsia" w:ascii="黑体" w:hAnsi="宋体" w:eastAsia="黑体"/>
          <w:color w:val="000000"/>
          <w:sz w:val="28"/>
          <w:szCs w:val="28"/>
        </w:rPr>
        <w:t>六</w:t>
      </w:r>
      <w:r>
        <w:rPr>
          <w:rFonts w:hint="eastAsia" w:ascii="宋体" w:hAnsi="宋体"/>
          <w:b/>
          <w:color w:val="000000"/>
          <w:sz w:val="24"/>
        </w:rPr>
        <w:t>、</w:t>
      </w:r>
      <w:bookmarkEnd w:id="43"/>
      <w:bookmarkEnd w:id="44"/>
      <w:bookmarkEnd w:id="45"/>
      <w:r>
        <w:rPr>
          <w:rFonts w:hint="eastAsia" w:ascii="宋体" w:hAnsi="宋体"/>
          <w:b/>
          <w:color w:val="000000"/>
          <w:sz w:val="24"/>
        </w:rPr>
        <w:t>施工组织设计</w:t>
      </w:r>
    </w:p>
    <w:p>
      <w:pPr>
        <w:rPr>
          <w:rFonts w:hint="eastAsia"/>
          <w:color w:val="000000"/>
          <w:szCs w:val="21"/>
        </w:rPr>
      </w:pPr>
    </w:p>
    <w:p>
      <w:pPr>
        <w:spacing w:line="420" w:lineRule="exact"/>
        <w:ind w:firstLine="420" w:firstLineChars="200"/>
        <w:rPr>
          <w:rFonts w:hint="eastAsia" w:ascii="宋体" w:hAnsi="宋体"/>
          <w:color w:val="000000"/>
          <w:szCs w:val="21"/>
        </w:rPr>
      </w:pPr>
      <w:r>
        <w:rPr>
          <w:rFonts w:hint="eastAsia" w:ascii="宋体" w:hAnsi="宋体"/>
          <w:color w:val="000000"/>
          <w:szCs w:val="21"/>
          <w:lang w:val="en-US" w:eastAsia="zh-CN"/>
        </w:rPr>
        <w:t>一</w:t>
      </w:r>
      <w:r>
        <w:rPr>
          <w:rFonts w:hint="eastAsia" w:ascii="宋体" w:hAnsi="宋体"/>
          <w:color w:val="000000"/>
          <w:szCs w:val="21"/>
        </w:rPr>
        <w:t>．供应商应根据竞争性磋商文件和对现场的勘察情况，采用文字并结合图表形式，参考以下要点编制本工程的施工组织设计：</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 总体概述</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(2) 施工进度计划和保证措施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 质量管理体系与措施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(4) 安全管理体系与措施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(5) 环保管理体系与措施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(6) 文明管理体系与措施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(7) 资源配备计划及措施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(8) 施工管理及措施</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(9) 施工关键部位、材料采购要点的控制及措施（根据工程特点及本磋商文件要求应具有针对性）</w:t>
      </w:r>
    </w:p>
    <w:p>
      <w:pPr>
        <w:spacing w:line="42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(10) 扬尘治理措施</w:t>
      </w:r>
    </w:p>
    <w:p>
      <w:pPr>
        <w:spacing w:line="420" w:lineRule="exact"/>
        <w:ind w:firstLine="420" w:firstLineChars="200"/>
        <w:rPr>
          <w:rFonts w:hint="eastAsia" w:ascii="宋体" w:hAnsi="宋体"/>
          <w:color w:val="000000"/>
          <w:szCs w:val="21"/>
        </w:rPr>
      </w:pPr>
      <w:r>
        <w:rPr>
          <w:rFonts w:hint="eastAsia" w:ascii="宋体" w:hAnsi="宋体"/>
          <w:color w:val="000000"/>
          <w:szCs w:val="21"/>
          <w:lang w:val="en-US" w:eastAsia="zh-CN"/>
        </w:rPr>
        <w:t>二</w:t>
      </w:r>
      <w:r>
        <w:rPr>
          <w:rFonts w:hint="eastAsia" w:ascii="宋体" w:hAnsi="宋体"/>
          <w:color w:val="000000"/>
          <w:szCs w:val="21"/>
        </w:rPr>
        <w:t>．施工组织设计除采用文字表述外可附下列图表。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附表一  拟投入本工程的主要施工设备表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附表二  拟配备本工程的试验和检测仪器设备表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附表三  劳动力计划表</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附表四  计划开、竣工日期和施工进度网络图</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附表五  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附表六  临时用地表</w:t>
      </w:r>
    </w:p>
    <w:p>
      <w:pPr>
        <w:spacing w:line="400" w:lineRule="exact"/>
        <w:ind w:firstLine="420" w:firstLineChars="200"/>
        <w:rPr>
          <w:rFonts w:hint="eastAsia" w:ascii="宋体" w:hAnsi="宋体"/>
          <w:color w:val="000000"/>
          <w:szCs w:val="21"/>
        </w:rPr>
      </w:pPr>
    </w:p>
    <w:p>
      <w:pPr>
        <w:spacing w:line="360" w:lineRule="auto"/>
        <w:ind w:firstLine="420" w:firstLineChars="200"/>
        <w:rPr>
          <w:rFonts w:hint="eastAsia" w:ascii="黑体" w:hAnsi="宋体" w:eastAsia="黑体"/>
          <w:color w:val="000000"/>
          <w:sz w:val="24"/>
        </w:rPr>
      </w:pPr>
      <w:r>
        <w:rPr>
          <w:rFonts w:hint="eastAsia" w:ascii="宋体" w:hAnsi="宋体"/>
          <w:color w:val="000000"/>
          <w:szCs w:val="21"/>
        </w:rPr>
        <w:br w:type="page"/>
      </w:r>
      <w:r>
        <w:rPr>
          <w:rFonts w:hint="eastAsia" w:ascii="黑体" w:hAnsi="宋体" w:eastAsia="黑体"/>
          <w:color w:val="000000"/>
          <w:sz w:val="24"/>
        </w:rPr>
        <w:t>附表一：拟投入本工程的主要施工设备表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序号</w:t>
            </w:r>
          </w:p>
        </w:tc>
        <w:tc>
          <w:tcPr>
            <w:tcW w:w="116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设备名称</w:t>
            </w:r>
          </w:p>
        </w:tc>
        <w:tc>
          <w:tcPr>
            <w:tcW w:w="73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型号</w:t>
            </w:r>
          </w:p>
          <w:p>
            <w:pPr>
              <w:spacing w:line="360" w:lineRule="auto"/>
              <w:jc w:val="center"/>
              <w:rPr>
                <w:rFonts w:hint="eastAsia" w:ascii="宋体" w:hAnsi="宋体"/>
                <w:color w:val="000000"/>
                <w:szCs w:val="21"/>
              </w:rPr>
            </w:pPr>
            <w:r>
              <w:rPr>
                <w:rFonts w:hint="eastAsia" w:ascii="宋体" w:hAnsi="宋体"/>
                <w:color w:val="000000"/>
                <w:szCs w:val="21"/>
              </w:rPr>
              <w:t>规格</w:t>
            </w:r>
          </w:p>
        </w:tc>
        <w:tc>
          <w:tcPr>
            <w:tcW w:w="1116"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数  量</w:t>
            </w:r>
          </w:p>
        </w:tc>
        <w:tc>
          <w:tcPr>
            <w:tcW w:w="77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国别</w:t>
            </w:r>
          </w:p>
          <w:p>
            <w:pPr>
              <w:spacing w:line="360" w:lineRule="auto"/>
              <w:jc w:val="center"/>
              <w:rPr>
                <w:rFonts w:hint="eastAsia" w:ascii="宋体" w:hAnsi="宋体"/>
                <w:color w:val="000000"/>
                <w:szCs w:val="21"/>
              </w:rPr>
            </w:pPr>
            <w:r>
              <w:rPr>
                <w:rFonts w:hint="eastAsia" w:ascii="宋体" w:hAnsi="宋体"/>
                <w:color w:val="000000"/>
                <w:szCs w:val="21"/>
              </w:rPr>
              <w:t>产地</w:t>
            </w:r>
          </w:p>
        </w:tc>
        <w:tc>
          <w:tcPr>
            <w:tcW w:w="77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制造</w:t>
            </w:r>
          </w:p>
          <w:p>
            <w:pPr>
              <w:spacing w:line="360" w:lineRule="auto"/>
              <w:jc w:val="center"/>
              <w:rPr>
                <w:rFonts w:hint="eastAsia" w:ascii="宋体" w:hAnsi="宋体"/>
                <w:color w:val="000000"/>
                <w:szCs w:val="21"/>
              </w:rPr>
            </w:pPr>
            <w:r>
              <w:rPr>
                <w:rFonts w:hint="eastAsia" w:ascii="宋体" w:hAnsi="宋体"/>
                <w:color w:val="000000"/>
                <w:szCs w:val="21"/>
              </w:rPr>
              <w:t>年份</w:t>
            </w:r>
          </w:p>
        </w:tc>
        <w:tc>
          <w:tcPr>
            <w:tcW w:w="128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额定功率</w:t>
            </w:r>
          </w:p>
          <w:p>
            <w:pPr>
              <w:spacing w:line="360" w:lineRule="auto"/>
              <w:jc w:val="center"/>
              <w:rPr>
                <w:rFonts w:hint="eastAsia" w:ascii="宋体" w:hAnsi="宋体"/>
                <w:color w:val="000000"/>
                <w:szCs w:val="21"/>
              </w:rPr>
            </w:pPr>
            <w:r>
              <w:rPr>
                <w:rFonts w:hint="eastAsia" w:ascii="宋体" w:hAnsi="宋体"/>
                <w:color w:val="000000"/>
                <w:szCs w:val="21"/>
              </w:rPr>
              <w:t>（KW）</w:t>
            </w:r>
          </w:p>
        </w:tc>
        <w:tc>
          <w:tcPr>
            <w:tcW w:w="95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生产</w:t>
            </w:r>
          </w:p>
          <w:p>
            <w:pPr>
              <w:spacing w:line="360" w:lineRule="auto"/>
              <w:jc w:val="center"/>
              <w:rPr>
                <w:rFonts w:hint="eastAsia" w:ascii="宋体" w:hAnsi="宋体"/>
                <w:color w:val="000000"/>
                <w:szCs w:val="21"/>
              </w:rPr>
            </w:pPr>
            <w:r>
              <w:rPr>
                <w:rFonts w:hint="eastAsia" w:ascii="宋体" w:hAnsi="宋体"/>
                <w:color w:val="000000"/>
                <w:szCs w:val="21"/>
              </w:rPr>
              <w:t>能力</w:t>
            </w:r>
          </w:p>
        </w:tc>
        <w:tc>
          <w:tcPr>
            <w:tcW w:w="95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用于施</w:t>
            </w:r>
          </w:p>
          <w:p>
            <w:pPr>
              <w:spacing w:line="360" w:lineRule="auto"/>
              <w:jc w:val="center"/>
              <w:rPr>
                <w:rFonts w:hint="eastAsia" w:ascii="宋体" w:hAnsi="宋体"/>
                <w:color w:val="000000"/>
                <w:szCs w:val="21"/>
              </w:rPr>
            </w:pPr>
            <w:r>
              <w:rPr>
                <w:rFonts w:hint="eastAsia" w:ascii="宋体" w:hAnsi="宋体"/>
                <w:color w:val="000000"/>
                <w:szCs w:val="21"/>
              </w:rPr>
              <w:t>工部位</w:t>
            </w:r>
          </w:p>
        </w:tc>
        <w:tc>
          <w:tcPr>
            <w:tcW w:w="832"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color w:val="000000"/>
                <w:szCs w:val="21"/>
              </w:rPr>
            </w:pPr>
          </w:p>
        </w:tc>
        <w:tc>
          <w:tcPr>
            <w:tcW w:w="1163" w:type="dxa"/>
            <w:noWrap w:val="0"/>
            <w:vAlign w:val="center"/>
          </w:tcPr>
          <w:p>
            <w:pPr>
              <w:jc w:val="center"/>
              <w:rPr>
                <w:rFonts w:hint="eastAsia" w:ascii="宋体" w:hAnsi="宋体"/>
                <w:color w:val="000000"/>
                <w:szCs w:val="21"/>
              </w:rPr>
            </w:pPr>
          </w:p>
        </w:tc>
        <w:tc>
          <w:tcPr>
            <w:tcW w:w="734"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8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953" w:type="dxa"/>
            <w:noWrap w:val="0"/>
            <w:vAlign w:val="center"/>
          </w:tcPr>
          <w:p>
            <w:pPr>
              <w:jc w:val="center"/>
              <w:rPr>
                <w:rFonts w:hint="eastAsia" w:ascii="宋体" w:hAnsi="宋体"/>
                <w:color w:val="000000"/>
                <w:szCs w:val="21"/>
              </w:rPr>
            </w:pPr>
          </w:p>
        </w:tc>
        <w:tc>
          <w:tcPr>
            <w:tcW w:w="83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宋体" w:hAnsi="宋体"/>
          <w:color w:val="000000"/>
          <w:szCs w:val="21"/>
        </w:rPr>
      </w:pPr>
    </w:p>
    <w:p>
      <w:pPr>
        <w:spacing w:before="143" w:beforeLines="50" w:after="286" w:afterLines="100" w:line="420" w:lineRule="exact"/>
        <w:rPr>
          <w:rFonts w:hint="eastAsia" w:ascii="宋体" w:hAnsi="宋体"/>
          <w:color w:val="000000"/>
          <w:szCs w:val="21"/>
        </w:rPr>
      </w:pPr>
    </w:p>
    <w:p>
      <w:pPr>
        <w:spacing w:before="143" w:beforeLines="50" w:after="286" w:afterLines="100" w:line="420" w:lineRule="exact"/>
        <w:rPr>
          <w:rFonts w:hint="eastAsia"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hint="eastAsia" w:ascii="黑体" w:hAnsi="宋体" w:eastAsia="黑体"/>
          <w:color w:val="000000"/>
          <w:sz w:val="24"/>
        </w:rPr>
        <w:t>附表二：拟配备本工程的试验和检测仪器设备表</w:t>
      </w:r>
    </w:p>
    <w:tbl>
      <w:tblPr>
        <w:tblStyle w:val="21"/>
        <w:tblpPr w:leftFromText="180" w:rightFromText="180" w:vertAnchor="text" w:horzAnchor="page" w:tblpXSpec="center" w:tblpY="64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93"/>
        <w:gridCol w:w="897"/>
        <w:gridCol w:w="1193"/>
        <w:gridCol w:w="895"/>
        <w:gridCol w:w="895"/>
        <w:gridCol w:w="1492"/>
        <w:gridCol w:w="11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55" w:type="pct"/>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757" w:type="pct"/>
            <w:noWrap w:val="0"/>
            <w:vAlign w:val="center"/>
          </w:tcPr>
          <w:p>
            <w:pPr>
              <w:jc w:val="center"/>
              <w:rPr>
                <w:rFonts w:hint="eastAsia" w:ascii="宋体" w:hAnsi="宋体"/>
                <w:color w:val="000000"/>
                <w:szCs w:val="21"/>
              </w:rPr>
            </w:pPr>
            <w:r>
              <w:rPr>
                <w:rFonts w:hint="eastAsia" w:ascii="宋体" w:hAnsi="宋体"/>
                <w:color w:val="000000"/>
                <w:szCs w:val="21"/>
              </w:rPr>
              <w:t>仪器设备</w:t>
            </w:r>
          </w:p>
          <w:p>
            <w:pPr>
              <w:jc w:val="center"/>
              <w:rPr>
                <w:rFonts w:hint="eastAsia" w:ascii="宋体" w:hAnsi="宋体"/>
                <w:color w:val="000000"/>
                <w:szCs w:val="21"/>
              </w:rPr>
            </w:pPr>
            <w:r>
              <w:rPr>
                <w:rFonts w:hint="eastAsia" w:ascii="宋体" w:hAnsi="宋体"/>
                <w:color w:val="000000"/>
                <w:szCs w:val="21"/>
              </w:rPr>
              <w:t>名    称</w:t>
            </w:r>
          </w:p>
        </w:tc>
        <w:tc>
          <w:tcPr>
            <w:tcW w:w="455" w:type="pct"/>
            <w:noWrap w:val="0"/>
            <w:vAlign w:val="center"/>
          </w:tcPr>
          <w:p>
            <w:pPr>
              <w:jc w:val="center"/>
              <w:rPr>
                <w:rFonts w:hint="eastAsia" w:ascii="宋体" w:hAnsi="宋体"/>
                <w:color w:val="000000"/>
                <w:szCs w:val="21"/>
              </w:rPr>
            </w:pPr>
            <w:r>
              <w:rPr>
                <w:rFonts w:hint="eastAsia" w:ascii="宋体" w:hAnsi="宋体"/>
                <w:color w:val="000000"/>
                <w:szCs w:val="21"/>
              </w:rPr>
              <w:t>型号</w:t>
            </w:r>
          </w:p>
          <w:p>
            <w:pPr>
              <w:jc w:val="center"/>
              <w:rPr>
                <w:rFonts w:hint="eastAsia" w:ascii="宋体" w:hAnsi="宋体"/>
                <w:color w:val="000000"/>
                <w:szCs w:val="21"/>
              </w:rPr>
            </w:pPr>
            <w:r>
              <w:rPr>
                <w:rFonts w:hint="eastAsia" w:ascii="宋体" w:hAnsi="宋体"/>
                <w:color w:val="000000"/>
                <w:szCs w:val="21"/>
              </w:rPr>
              <w:t>规格</w:t>
            </w:r>
          </w:p>
        </w:tc>
        <w:tc>
          <w:tcPr>
            <w:tcW w:w="605" w:type="pct"/>
            <w:noWrap w:val="0"/>
            <w:vAlign w:val="center"/>
          </w:tcPr>
          <w:p>
            <w:pPr>
              <w:jc w:val="center"/>
              <w:rPr>
                <w:rFonts w:hint="eastAsia" w:ascii="宋体" w:hAnsi="宋体"/>
                <w:color w:val="000000"/>
                <w:szCs w:val="21"/>
              </w:rPr>
            </w:pPr>
            <w:r>
              <w:rPr>
                <w:rFonts w:hint="eastAsia" w:ascii="宋体" w:hAnsi="宋体"/>
                <w:color w:val="000000"/>
                <w:szCs w:val="21"/>
              </w:rPr>
              <w:t>数  量</w:t>
            </w:r>
          </w:p>
        </w:tc>
        <w:tc>
          <w:tcPr>
            <w:tcW w:w="454" w:type="pct"/>
            <w:noWrap w:val="0"/>
            <w:vAlign w:val="center"/>
          </w:tcPr>
          <w:p>
            <w:pPr>
              <w:jc w:val="center"/>
              <w:rPr>
                <w:rFonts w:hint="eastAsia" w:ascii="宋体" w:hAnsi="宋体"/>
                <w:color w:val="000000"/>
                <w:szCs w:val="21"/>
              </w:rPr>
            </w:pPr>
            <w:r>
              <w:rPr>
                <w:rFonts w:hint="eastAsia" w:ascii="宋体" w:hAnsi="宋体"/>
                <w:color w:val="000000"/>
                <w:szCs w:val="21"/>
              </w:rPr>
              <w:t>国别</w:t>
            </w:r>
          </w:p>
          <w:p>
            <w:pPr>
              <w:jc w:val="center"/>
              <w:rPr>
                <w:rFonts w:hint="eastAsia" w:ascii="宋体" w:hAnsi="宋体"/>
                <w:color w:val="000000"/>
                <w:szCs w:val="21"/>
              </w:rPr>
            </w:pPr>
            <w:r>
              <w:rPr>
                <w:rFonts w:hint="eastAsia" w:ascii="宋体" w:hAnsi="宋体"/>
                <w:color w:val="000000"/>
                <w:szCs w:val="21"/>
              </w:rPr>
              <w:t>产地</w:t>
            </w:r>
          </w:p>
        </w:tc>
        <w:tc>
          <w:tcPr>
            <w:tcW w:w="454" w:type="pct"/>
            <w:noWrap w:val="0"/>
            <w:vAlign w:val="center"/>
          </w:tcPr>
          <w:p>
            <w:pPr>
              <w:jc w:val="center"/>
              <w:rPr>
                <w:rFonts w:hint="eastAsia" w:ascii="宋体" w:hAnsi="宋体"/>
                <w:color w:val="000000"/>
                <w:szCs w:val="21"/>
              </w:rPr>
            </w:pPr>
            <w:r>
              <w:rPr>
                <w:rFonts w:hint="eastAsia" w:ascii="宋体" w:hAnsi="宋体"/>
                <w:color w:val="000000"/>
                <w:szCs w:val="21"/>
              </w:rPr>
              <w:t>制造</w:t>
            </w:r>
          </w:p>
          <w:p>
            <w:pPr>
              <w:jc w:val="center"/>
              <w:rPr>
                <w:rFonts w:hint="eastAsia" w:ascii="宋体" w:hAnsi="宋体"/>
                <w:color w:val="000000"/>
                <w:szCs w:val="21"/>
              </w:rPr>
            </w:pPr>
            <w:r>
              <w:rPr>
                <w:rFonts w:hint="eastAsia" w:ascii="宋体" w:hAnsi="宋体"/>
                <w:color w:val="000000"/>
                <w:szCs w:val="21"/>
              </w:rPr>
              <w:t>年份</w:t>
            </w:r>
          </w:p>
        </w:tc>
        <w:tc>
          <w:tcPr>
            <w:tcW w:w="756" w:type="pct"/>
            <w:noWrap w:val="0"/>
            <w:vAlign w:val="center"/>
          </w:tcPr>
          <w:p>
            <w:pPr>
              <w:jc w:val="center"/>
              <w:rPr>
                <w:rFonts w:hint="eastAsia" w:ascii="宋体" w:hAnsi="宋体"/>
                <w:color w:val="000000"/>
                <w:szCs w:val="21"/>
              </w:rPr>
            </w:pPr>
            <w:r>
              <w:rPr>
                <w:rFonts w:hint="eastAsia" w:ascii="宋体" w:hAnsi="宋体"/>
                <w:color w:val="000000"/>
                <w:szCs w:val="21"/>
              </w:rPr>
              <w:t>已使用</w:t>
            </w:r>
          </w:p>
          <w:p>
            <w:pPr>
              <w:jc w:val="center"/>
              <w:rPr>
                <w:rFonts w:hint="eastAsia" w:ascii="宋体" w:hAnsi="宋体"/>
                <w:color w:val="000000"/>
                <w:szCs w:val="21"/>
              </w:rPr>
            </w:pPr>
            <w:r>
              <w:rPr>
                <w:rFonts w:hint="eastAsia" w:ascii="宋体" w:hAnsi="宋体"/>
                <w:color w:val="000000"/>
                <w:szCs w:val="21"/>
              </w:rPr>
              <w:t>台时数</w:t>
            </w:r>
          </w:p>
        </w:tc>
        <w:tc>
          <w:tcPr>
            <w:tcW w:w="606" w:type="pct"/>
            <w:noWrap w:val="0"/>
            <w:vAlign w:val="center"/>
          </w:tcPr>
          <w:p>
            <w:pPr>
              <w:jc w:val="center"/>
              <w:rPr>
                <w:rFonts w:hint="eastAsia" w:ascii="宋体" w:hAnsi="宋体"/>
                <w:color w:val="000000"/>
                <w:szCs w:val="21"/>
              </w:rPr>
            </w:pPr>
            <w:r>
              <w:rPr>
                <w:rFonts w:hint="eastAsia" w:ascii="宋体" w:hAnsi="宋体"/>
                <w:color w:val="000000"/>
                <w:szCs w:val="21"/>
              </w:rPr>
              <w:t>用  途</w:t>
            </w:r>
          </w:p>
        </w:tc>
        <w:tc>
          <w:tcPr>
            <w:tcW w:w="454" w:type="pc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5" w:type="pct"/>
            <w:noWrap w:val="0"/>
            <w:vAlign w:val="center"/>
          </w:tcPr>
          <w:p>
            <w:pPr>
              <w:jc w:val="center"/>
              <w:rPr>
                <w:rFonts w:hint="eastAsia" w:ascii="宋体" w:hAnsi="宋体"/>
                <w:color w:val="000000"/>
                <w:szCs w:val="21"/>
              </w:rPr>
            </w:pPr>
          </w:p>
        </w:tc>
        <w:tc>
          <w:tcPr>
            <w:tcW w:w="757" w:type="pct"/>
            <w:noWrap w:val="0"/>
            <w:vAlign w:val="center"/>
          </w:tcPr>
          <w:p>
            <w:pPr>
              <w:jc w:val="center"/>
              <w:rPr>
                <w:rFonts w:hint="eastAsia" w:ascii="宋体" w:hAnsi="宋体"/>
                <w:color w:val="000000"/>
                <w:szCs w:val="21"/>
              </w:rPr>
            </w:pPr>
          </w:p>
        </w:tc>
        <w:tc>
          <w:tcPr>
            <w:tcW w:w="455" w:type="pct"/>
            <w:noWrap w:val="0"/>
            <w:vAlign w:val="center"/>
          </w:tcPr>
          <w:p>
            <w:pPr>
              <w:jc w:val="center"/>
              <w:rPr>
                <w:rFonts w:hint="eastAsia" w:ascii="宋体" w:hAnsi="宋体"/>
                <w:color w:val="000000"/>
                <w:szCs w:val="21"/>
              </w:rPr>
            </w:pPr>
          </w:p>
        </w:tc>
        <w:tc>
          <w:tcPr>
            <w:tcW w:w="605"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c>
          <w:tcPr>
            <w:tcW w:w="756" w:type="pct"/>
            <w:noWrap w:val="0"/>
            <w:vAlign w:val="center"/>
          </w:tcPr>
          <w:p>
            <w:pPr>
              <w:jc w:val="center"/>
              <w:rPr>
                <w:rFonts w:hint="eastAsia" w:ascii="宋体" w:hAnsi="宋体"/>
                <w:color w:val="000000"/>
                <w:szCs w:val="21"/>
              </w:rPr>
            </w:pPr>
          </w:p>
        </w:tc>
        <w:tc>
          <w:tcPr>
            <w:tcW w:w="606" w:type="pct"/>
            <w:noWrap w:val="0"/>
            <w:vAlign w:val="center"/>
          </w:tcPr>
          <w:p>
            <w:pPr>
              <w:jc w:val="center"/>
              <w:rPr>
                <w:rFonts w:hint="eastAsia" w:ascii="宋体" w:hAnsi="宋体"/>
                <w:color w:val="000000"/>
                <w:szCs w:val="21"/>
              </w:rPr>
            </w:pPr>
          </w:p>
        </w:tc>
        <w:tc>
          <w:tcPr>
            <w:tcW w:w="454" w:type="pct"/>
            <w:noWrap w:val="0"/>
            <w:vAlign w:val="center"/>
          </w:tcPr>
          <w:p>
            <w:pPr>
              <w:jc w:val="center"/>
              <w:rPr>
                <w:rFonts w:hint="eastAsia" w:ascii="宋体" w:hAnsi="宋体"/>
                <w:color w:val="000000"/>
                <w:szCs w:val="21"/>
              </w:rPr>
            </w:pPr>
          </w:p>
        </w:tc>
      </w:tr>
    </w:tbl>
    <w:p>
      <w:pPr>
        <w:pStyle w:val="2"/>
        <w:rPr>
          <w:rFonts w:hint="eastAsia"/>
        </w:rPr>
      </w:pPr>
    </w:p>
    <w:p>
      <w:pPr>
        <w:spacing w:line="420" w:lineRule="exact"/>
        <w:rPr>
          <w:rFonts w:ascii="宋体" w:hAnsi="宋体"/>
          <w:color w:val="000000"/>
          <w:szCs w:val="21"/>
        </w:rPr>
      </w:pPr>
    </w:p>
    <w:p>
      <w:pPr>
        <w:spacing w:before="143" w:beforeLines="50" w:after="143" w:afterLines="5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附表三：劳动力计划表</w:t>
      </w:r>
    </w:p>
    <w:p>
      <w:pPr>
        <w:wordWrap w:val="0"/>
        <w:spacing w:line="420" w:lineRule="exact"/>
        <w:jc w:val="center"/>
        <w:rPr>
          <w:rFonts w:hint="eastAsia" w:ascii="黑体" w:hAnsi="宋体" w:eastAsia="黑体"/>
          <w:color w:val="000000"/>
          <w:szCs w:val="21"/>
        </w:rPr>
      </w:pPr>
      <w:r>
        <w:rPr>
          <w:rFonts w:hint="eastAsia" w:ascii="黑体" w:hAnsi="宋体" w:eastAsia="黑体"/>
          <w:color w:val="000000"/>
          <w:szCs w:val="21"/>
          <w:lang w:val="en-US" w:eastAsia="zh-CN"/>
        </w:rPr>
        <w:t xml:space="preserve">                                                                         </w:t>
      </w:r>
      <w:r>
        <w:rPr>
          <w:rFonts w:hint="eastAsia" w:ascii="黑体" w:hAnsi="宋体" w:eastAsia="黑体"/>
          <w:color w:val="000000"/>
          <w:szCs w:val="21"/>
        </w:rPr>
        <w:t xml:space="preserve">单位：人   </w:t>
      </w: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color w:val="000000"/>
                <w:szCs w:val="21"/>
              </w:rPr>
            </w:pPr>
            <w:r>
              <w:rPr>
                <w:rFonts w:hint="eastAsia" w:ascii="宋体" w:hAnsi="宋体"/>
                <w:color w:val="000000"/>
                <w:szCs w:val="21"/>
              </w:rPr>
              <w:t>工种</w:t>
            </w:r>
          </w:p>
        </w:tc>
        <w:tc>
          <w:tcPr>
            <w:tcW w:w="8080" w:type="dxa"/>
            <w:gridSpan w:val="7"/>
            <w:noWrap w:val="0"/>
            <w:vAlign w:val="center"/>
          </w:tcPr>
          <w:p>
            <w:pPr>
              <w:jc w:val="center"/>
              <w:rPr>
                <w:rFonts w:hint="eastAsia" w:ascii="宋体" w:hAnsi="宋体"/>
                <w:color w:val="000000"/>
                <w:szCs w:val="21"/>
              </w:rPr>
            </w:pPr>
            <w:r>
              <w:rPr>
                <w:rFonts w:hint="eastAsia" w:ascii="宋体" w:hAnsi="宋体"/>
                <w:color w:val="00000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000000"/>
                <w:szCs w:val="21"/>
              </w:rPr>
            </w:pPr>
          </w:p>
        </w:tc>
        <w:tc>
          <w:tcPr>
            <w:tcW w:w="938"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161" w:type="dxa"/>
            <w:noWrap w:val="0"/>
            <w:vAlign w:val="center"/>
          </w:tcPr>
          <w:p>
            <w:pPr>
              <w:jc w:val="center"/>
              <w:rPr>
                <w:rFonts w:hint="eastAsia" w:ascii="宋体" w:hAnsi="宋体"/>
                <w:color w:val="000000"/>
                <w:szCs w:val="21"/>
              </w:rPr>
            </w:pPr>
          </w:p>
        </w:tc>
        <w:tc>
          <w:tcPr>
            <w:tcW w:w="1337"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附表四：计划开、竣工日期和施工进度网络图</w:t>
      </w:r>
    </w:p>
    <w:p>
      <w:pPr>
        <w:spacing w:line="420" w:lineRule="exact"/>
        <w:ind w:firstLine="420" w:firstLineChars="200"/>
        <w:rPr>
          <w:rFonts w:hint="eastAsia" w:ascii="宋体" w:hAnsi="宋体"/>
          <w:color w:val="000000"/>
          <w:szCs w:val="21"/>
        </w:rPr>
      </w:pPr>
      <w:r>
        <w:rPr>
          <w:rFonts w:hint="eastAsia" w:ascii="宋体" w:hAnsi="宋体"/>
          <w:color w:val="000000"/>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color w:val="000000"/>
          <w:szCs w:val="21"/>
        </w:rPr>
      </w:pPr>
      <w:r>
        <w:rPr>
          <w:rFonts w:hint="eastAsia" w:ascii="宋体" w:hAnsi="宋体"/>
          <w:color w:val="000000"/>
          <w:szCs w:val="21"/>
        </w:rPr>
        <w:t>2．施工进度表可采用网络图和（或）横道图表示。</w:t>
      </w:r>
    </w:p>
    <w:p>
      <w:pPr>
        <w:spacing w:before="143" w:beforeLines="50" w:after="286" w:afterLines="100" w:line="420" w:lineRule="exact"/>
        <w:rPr>
          <w:rFonts w:hint="eastAsia" w:ascii="宋体" w:hAnsi="宋体"/>
          <w:color w:val="000000"/>
          <w:szCs w:val="21"/>
        </w:rPr>
      </w:pPr>
      <w:r>
        <w:rPr>
          <w:rFonts w:ascii="宋体" w:hAnsi="宋体"/>
          <w:color w:val="000000"/>
          <w:szCs w:val="21"/>
        </w:rPr>
        <w:br w:type="page"/>
      </w:r>
      <w:r>
        <w:rPr>
          <w:rFonts w:hint="eastAsia" w:ascii="黑体" w:hAnsi="宋体" w:eastAsia="黑体"/>
          <w:color w:val="000000"/>
          <w:sz w:val="24"/>
        </w:rPr>
        <w:t>附表五：施工总平面图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附表六：临时用地表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jc w:val="center"/>
              <w:rPr>
                <w:rFonts w:hint="eastAsia" w:ascii="宋体" w:hAnsi="宋体"/>
                <w:color w:val="000000"/>
                <w:szCs w:val="21"/>
              </w:rPr>
            </w:pPr>
            <w:r>
              <w:rPr>
                <w:rFonts w:hint="eastAsia" w:ascii="宋体" w:hAnsi="宋体"/>
                <w:color w:val="000000"/>
                <w:szCs w:val="21"/>
              </w:rPr>
              <w:t>用  途</w:t>
            </w:r>
          </w:p>
        </w:tc>
        <w:tc>
          <w:tcPr>
            <w:tcW w:w="2270" w:type="dxa"/>
            <w:noWrap w:val="0"/>
            <w:vAlign w:val="center"/>
          </w:tcPr>
          <w:p>
            <w:pPr>
              <w:jc w:val="center"/>
              <w:rPr>
                <w:rFonts w:hint="eastAsia" w:ascii="宋体" w:hAnsi="宋体"/>
                <w:color w:val="000000"/>
                <w:szCs w:val="21"/>
              </w:rPr>
            </w:pPr>
            <w:r>
              <w:rPr>
                <w:rFonts w:hint="eastAsia" w:ascii="宋体" w:hAnsi="宋体"/>
                <w:color w:val="000000"/>
                <w:szCs w:val="21"/>
              </w:rPr>
              <w:t>面 积（平方米）</w:t>
            </w:r>
          </w:p>
        </w:tc>
        <w:tc>
          <w:tcPr>
            <w:tcW w:w="2270" w:type="dxa"/>
            <w:noWrap w:val="0"/>
            <w:vAlign w:val="center"/>
          </w:tcPr>
          <w:p>
            <w:pPr>
              <w:jc w:val="center"/>
              <w:rPr>
                <w:rFonts w:hint="eastAsia" w:ascii="宋体" w:hAnsi="宋体"/>
                <w:color w:val="000000"/>
                <w:szCs w:val="21"/>
              </w:rPr>
            </w:pPr>
            <w:r>
              <w:rPr>
                <w:rFonts w:hint="eastAsia" w:ascii="宋体" w:hAnsi="宋体"/>
                <w:color w:val="000000"/>
                <w:szCs w:val="21"/>
              </w:rPr>
              <w:t>位  置</w:t>
            </w:r>
          </w:p>
        </w:tc>
        <w:tc>
          <w:tcPr>
            <w:tcW w:w="2269" w:type="dxa"/>
            <w:noWrap w:val="0"/>
            <w:vAlign w:val="center"/>
          </w:tcPr>
          <w:p>
            <w:pPr>
              <w:jc w:val="center"/>
              <w:rPr>
                <w:rFonts w:hint="eastAsia" w:ascii="宋体" w:hAnsi="宋体"/>
                <w:color w:val="000000"/>
                <w:szCs w:val="21"/>
              </w:rPr>
            </w:pPr>
            <w:r>
              <w:rPr>
                <w:rFonts w:hint="eastAsia" w:ascii="宋体" w:hAnsi="宋体"/>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bl>
    <w:p>
      <w:pPr>
        <w:spacing w:line="420" w:lineRule="exact"/>
        <w:rPr>
          <w:rFonts w:hint="eastAsia" w:ascii="宋体" w:hAnsi="宋体"/>
          <w:color w:val="000000"/>
          <w:szCs w:val="21"/>
        </w:rPr>
      </w:pPr>
    </w:p>
    <w:p>
      <w:pPr>
        <w:spacing w:line="420" w:lineRule="exact"/>
        <w:rPr>
          <w:rFonts w:hint="eastAsia" w:ascii="宋体" w:hAnsi="宋体"/>
          <w:color w:val="000000"/>
          <w:szCs w:val="21"/>
        </w:rPr>
      </w:pPr>
    </w:p>
    <w:p>
      <w:pPr>
        <w:spacing w:line="420" w:lineRule="exact"/>
        <w:rPr>
          <w:rFonts w:hint="eastAsia" w:ascii="宋体" w:hAnsi="宋体"/>
          <w:color w:val="000000"/>
          <w:szCs w:val="21"/>
        </w:rPr>
      </w:pPr>
    </w:p>
    <w:p>
      <w:pPr>
        <w:pStyle w:val="4"/>
        <w:jc w:val="center"/>
        <w:rPr>
          <w:rFonts w:hint="eastAsia" w:ascii="宋体" w:hAnsi="宋体" w:eastAsia="宋体"/>
          <w:color w:val="000000"/>
          <w:sz w:val="24"/>
          <w:szCs w:val="28"/>
          <w:highlight w:val="none"/>
        </w:rPr>
      </w:pPr>
      <w:bookmarkStart w:id="46" w:name="_Toc323642004"/>
      <w:bookmarkStart w:id="47" w:name="_Toc300901199"/>
      <w:bookmarkStart w:id="48" w:name="_Toc374107073"/>
      <w:r>
        <w:rPr>
          <w:rFonts w:hint="eastAsia" w:ascii="宋体" w:hAnsi="宋体" w:eastAsia="宋体"/>
          <w:color w:val="000000"/>
          <w:sz w:val="24"/>
          <w:szCs w:val="28"/>
          <w:highlight w:val="none"/>
        </w:rPr>
        <w:t>七、项目管理机构</w:t>
      </w:r>
      <w:bookmarkEnd w:id="46"/>
      <w:bookmarkEnd w:id="47"/>
      <w:bookmarkEnd w:id="48"/>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6191" w:type="dxa"/>
            <w:gridSpan w:val="5"/>
            <w:noWrap w:val="0"/>
            <w:vAlign w:val="center"/>
          </w:tcPr>
          <w:p>
            <w:pPr>
              <w:jc w:val="center"/>
              <w:rPr>
                <w:rFonts w:hint="eastAsia" w:ascii="宋体" w:hAnsi="宋体"/>
                <w:color w:val="000000"/>
                <w:szCs w:val="21"/>
              </w:rPr>
            </w:pPr>
            <w:r>
              <w:rPr>
                <w:rFonts w:hint="eastAsia" w:ascii="宋体" w:hAnsi="宋体"/>
                <w:color w:val="000000"/>
                <w:szCs w:val="21"/>
              </w:rPr>
              <w:t>执业或职业资格证明</w:t>
            </w:r>
          </w:p>
        </w:tc>
        <w:tc>
          <w:tcPr>
            <w:tcW w:w="155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证书名称</w:t>
            </w:r>
          </w:p>
        </w:tc>
        <w:tc>
          <w:tcPr>
            <w:tcW w:w="841" w:type="dxa"/>
            <w:noWrap w:val="0"/>
            <w:vAlign w:val="center"/>
          </w:tcPr>
          <w:p>
            <w:pPr>
              <w:jc w:val="center"/>
              <w:rPr>
                <w:rFonts w:hint="eastAsia" w:ascii="宋体" w:hAnsi="宋体"/>
                <w:color w:val="000000"/>
                <w:szCs w:val="21"/>
              </w:rPr>
            </w:pPr>
            <w:r>
              <w:rPr>
                <w:rFonts w:hint="eastAsia" w:ascii="宋体" w:hAnsi="宋体"/>
                <w:color w:val="000000"/>
                <w:szCs w:val="21"/>
              </w:rPr>
              <w:t>级别</w:t>
            </w:r>
          </w:p>
        </w:tc>
        <w:tc>
          <w:tcPr>
            <w:tcW w:w="860" w:type="dxa"/>
            <w:noWrap w:val="0"/>
            <w:vAlign w:val="center"/>
          </w:tcPr>
          <w:p>
            <w:pPr>
              <w:jc w:val="center"/>
              <w:rPr>
                <w:rFonts w:hint="eastAsia" w:ascii="宋体" w:hAnsi="宋体"/>
                <w:color w:val="000000"/>
                <w:szCs w:val="21"/>
              </w:rPr>
            </w:pPr>
            <w:r>
              <w:rPr>
                <w:rFonts w:hint="eastAsia" w:ascii="宋体" w:hAnsi="宋体"/>
                <w:color w:val="000000"/>
                <w:szCs w:val="21"/>
              </w:rPr>
              <w:t>证号</w:t>
            </w:r>
          </w:p>
        </w:tc>
        <w:tc>
          <w:tcPr>
            <w:tcW w:w="929"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养老保险</w:t>
            </w:r>
          </w:p>
        </w:tc>
        <w:tc>
          <w:tcPr>
            <w:tcW w:w="1552" w:type="dxa"/>
            <w:vMerge w:val="continue"/>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color w:val="000000"/>
          <w:szCs w:val="21"/>
        </w:rPr>
      </w:pPr>
      <w:r>
        <w:rPr>
          <w:rFonts w:hint="eastAsia" w:ascii="宋体" w:hAnsi="宋体"/>
          <w:color w:val="000000"/>
          <w:szCs w:val="21"/>
        </w:rPr>
        <w:t>项目经理（项目负责人）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姓  名</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年  龄</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职  称</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职  务</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拟在本工程任职</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建造师注册证或专业技术职称证书</w:t>
            </w:r>
          </w:p>
        </w:tc>
        <w:tc>
          <w:tcPr>
            <w:tcW w:w="1393" w:type="dxa"/>
            <w:noWrap w:val="0"/>
            <w:vAlign w:val="center"/>
          </w:tcPr>
          <w:p>
            <w:pPr>
              <w:jc w:val="center"/>
              <w:rPr>
                <w:rFonts w:hint="eastAsia" w:ascii="宋体" w:hAnsi="宋体"/>
                <w:color w:val="000000"/>
                <w:szCs w:val="21"/>
              </w:rPr>
            </w:pPr>
            <w:r>
              <w:rPr>
                <w:rFonts w:hint="eastAsia" w:ascii="宋体" w:hAnsi="宋体"/>
                <w:color w:val="000000"/>
                <w:szCs w:val="21"/>
              </w:rPr>
              <w:t xml:space="preserve">      级</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26"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毕业学校</w:t>
            </w:r>
          </w:p>
        </w:tc>
        <w:tc>
          <w:tcPr>
            <w:tcW w:w="8094" w:type="dxa"/>
            <w:gridSpan w:val="5"/>
            <w:noWrap w:val="0"/>
            <w:vAlign w:val="center"/>
          </w:tcPr>
          <w:p>
            <w:pPr>
              <w:ind w:firstLine="840" w:firstLineChars="400"/>
              <w:rPr>
                <w:rFonts w:hint="eastAsia" w:ascii="宋体" w:hAnsi="宋体"/>
                <w:color w:val="000000"/>
                <w:szCs w:val="21"/>
              </w:rPr>
            </w:pPr>
            <w:r>
              <w:rPr>
                <w:rFonts w:hint="eastAsia" w:ascii="宋体" w:hAnsi="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时  间</w:t>
            </w:r>
          </w:p>
        </w:tc>
        <w:tc>
          <w:tcPr>
            <w:tcW w:w="3761" w:type="dxa"/>
            <w:gridSpan w:val="3"/>
            <w:noWrap w:val="0"/>
            <w:vAlign w:val="center"/>
          </w:tcPr>
          <w:p>
            <w:pPr>
              <w:jc w:val="center"/>
              <w:rPr>
                <w:rFonts w:hint="eastAsia" w:ascii="宋体" w:hAnsi="宋体"/>
                <w:color w:val="000000"/>
                <w:szCs w:val="21"/>
              </w:rPr>
            </w:pPr>
            <w:r>
              <w:rPr>
                <w:rFonts w:hint="eastAsia" w:ascii="宋体" w:hAnsi="宋体"/>
                <w:color w:val="000000"/>
                <w:szCs w:val="21"/>
              </w:rPr>
              <w:t>参加过的类似项目名称</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工程概况说明</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岗位名称</w:t>
            </w:r>
          </w:p>
        </w:tc>
        <w:tc>
          <w:tcPr>
            <w:tcW w:w="7378" w:type="dxa"/>
            <w:gridSpan w:val="3"/>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姓    名</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年    龄</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性    别</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毕业学校</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学历和专业</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毕业时间</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拥有的执业资格</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专业职称</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执业资格证书编号</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工作年限</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000000"/>
                <w:szCs w:val="21"/>
              </w:rPr>
            </w:pPr>
          </w:p>
        </w:tc>
      </w:tr>
    </w:tbl>
    <w:p>
      <w:pPr>
        <w:ind w:firstLine="1050" w:firstLineChars="500"/>
        <w:rPr>
          <w:rFonts w:hint="eastAsia" w:ascii="宋体" w:hAnsi="宋体"/>
          <w:color w:val="000000"/>
          <w:szCs w:val="21"/>
        </w:rPr>
      </w:pPr>
    </w:p>
    <w:p>
      <w:pPr>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附3：承诺书</w:t>
      </w:r>
    </w:p>
    <w:p>
      <w:pPr>
        <w:spacing w:before="286" w:beforeLines="100" w:after="286" w:afterLines="100"/>
        <w:jc w:val="center"/>
        <w:rPr>
          <w:rFonts w:hint="eastAsia" w:ascii="黑体" w:hAnsi="宋体" w:eastAsia="黑体"/>
          <w:color w:val="000000"/>
          <w:sz w:val="28"/>
          <w:szCs w:val="28"/>
        </w:rPr>
      </w:pPr>
      <w:r>
        <w:rPr>
          <w:rFonts w:hint="eastAsia" w:ascii="黑体" w:hAnsi="宋体" w:eastAsia="黑体"/>
          <w:color w:val="000000"/>
          <w:sz w:val="28"/>
          <w:szCs w:val="28"/>
        </w:rPr>
        <w:t>承诺书</w:t>
      </w:r>
    </w:p>
    <w:p>
      <w:pPr>
        <w:spacing w:after="286" w:afterLines="100" w:line="440" w:lineRule="exact"/>
        <w:rPr>
          <w:rFonts w:hint="eastAsia" w:ascii="宋体" w:hAnsi="宋体"/>
          <w:color w:val="000000"/>
          <w:szCs w:val="21"/>
        </w:rPr>
      </w:pPr>
      <w:r>
        <w:rPr>
          <w:rFonts w:hint="eastAsia" w:ascii="宋体" w:hAnsi="宋体"/>
          <w:color w:val="000000"/>
          <w:position w:val="-7"/>
          <w:szCs w:val="21"/>
        </w:rPr>
        <w:t>————————</w:t>
      </w:r>
      <w:r>
        <w:rPr>
          <w:rFonts w:hint="eastAsia" w:ascii="宋体" w:hAnsi="宋体"/>
          <w:color w:val="000000"/>
          <w:szCs w:val="21"/>
        </w:rPr>
        <w:t>（采购人名称）：</w:t>
      </w:r>
    </w:p>
    <w:p>
      <w:pPr>
        <w:spacing w:line="600" w:lineRule="auto"/>
        <w:ind w:firstLine="420" w:firstLineChars="200"/>
        <w:rPr>
          <w:rFonts w:hint="eastAsia" w:ascii="宋体" w:hAnsi="宋体"/>
          <w:color w:val="000000"/>
          <w:szCs w:val="21"/>
        </w:rPr>
      </w:pPr>
      <w:r>
        <w:rPr>
          <w:rFonts w:hint="eastAsia" w:ascii="宋体" w:hAnsi="宋体"/>
          <w:color w:val="000000"/>
          <w:szCs w:val="21"/>
        </w:rPr>
        <w:t>我方在此声明，我方拟派往</w:t>
      </w:r>
      <w:r>
        <w:rPr>
          <w:rFonts w:hint="eastAsia" w:ascii="宋体" w:hAnsi="宋体"/>
          <w:color w:val="000000"/>
          <w:szCs w:val="21"/>
          <w:u w:val="single"/>
        </w:rPr>
        <w:t xml:space="preserve">            </w:t>
      </w:r>
      <w:r>
        <w:rPr>
          <w:rFonts w:hint="eastAsia" w:ascii="宋体" w:hAnsi="宋体"/>
          <w:color w:val="000000"/>
          <w:szCs w:val="21"/>
        </w:rPr>
        <w:t>（项目名称）（以下简称“本工程”）的项目经理</w:t>
      </w:r>
      <w:r>
        <w:rPr>
          <w:rFonts w:hint="eastAsia" w:ascii="宋体" w:hAnsi="宋体"/>
          <w:color w:val="000000"/>
          <w:szCs w:val="21"/>
          <w:u w:val="single"/>
        </w:rPr>
        <w:t xml:space="preserve">      </w:t>
      </w:r>
      <w:r>
        <w:rPr>
          <w:rFonts w:hint="eastAsia" w:ascii="宋体" w:hAnsi="宋体"/>
          <w:color w:val="000000"/>
          <w:szCs w:val="21"/>
        </w:rPr>
        <w:t>（项目经理姓名）现阶段没有担任任何在施建设工程项目的项目经理。</w:t>
      </w:r>
    </w:p>
    <w:p>
      <w:pPr>
        <w:spacing w:line="600" w:lineRule="auto"/>
        <w:ind w:firstLine="420" w:firstLineChars="200"/>
        <w:rPr>
          <w:rFonts w:hint="eastAsia" w:ascii="宋体" w:hAnsi="宋体"/>
          <w:color w:val="000000"/>
          <w:szCs w:val="21"/>
        </w:rPr>
      </w:pPr>
      <w:r>
        <w:rPr>
          <w:rFonts w:hint="eastAsia" w:ascii="宋体" w:hAnsi="宋体"/>
          <w:color w:val="000000"/>
          <w:szCs w:val="21"/>
        </w:rPr>
        <w:t>我方保证上述信息的真实和准确，并愿意承担因我方就此弄虚作假所引起的一切法律后果。</w:t>
      </w:r>
    </w:p>
    <w:p>
      <w:pPr>
        <w:spacing w:line="600" w:lineRule="auto"/>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r>
        <w:rPr>
          <w:rFonts w:hint="eastAsia" w:ascii="宋体" w:hAnsi="宋体"/>
          <w:color w:val="000000"/>
          <w:szCs w:val="21"/>
        </w:rPr>
        <w:t>特此承诺</w:t>
      </w: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spacing w:line="440" w:lineRule="exact"/>
        <w:ind w:firstLine="420" w:firstLineChars="200"/>
        <w:rPr>
          <w:rFonts w:hint="eastAsia" w:ascii="宋体" w:hAnsi="宋体"/>
          <w:color w:val="000000"/>
          <w:szCs w:val="21"/>
        </w:rPr>
      </w:pPr>
    </w:p>
    <w:p>
      <w:pPr>
        <w:wordWrap w:val="0"/>
        <w:spacing w:line="440" w:lineRule="exact"/>
        <w:ind w:right="420"/>
        <w:jc w:val="right"/>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u w:val="single"/>
        </w:rPr>
        <w:t xml:space="preserve">                               </w:t>
      </w:r>
      <w:r>
        <w:rPr>
          <w:rFonts w:hint="eastAsia" w:ascii="宋体" w:hAnsi="宋体"/>
          <w:color w:val="000000"/>
          <w:szCs w:val="21"/>
        </w:rPr>
        <w:t>（盖单位章）</w:t>
      </w:r>
    </w:p>
    <w:p>
      <w:pPr>
        <w:spacing w:line="440" w:lineRule="exact"/>
        <w:jc w:val="right"/>
        <w:rPr>
          <w:rFonts w:hint="eastAsia" w:ascii="宋体" w:hAnsi="宋体"/>
          <w:color w:val="000000"/>
          <w:szCs w:val="21"/>
        </w:rPr>
      </w:pPr>
    </w:p>
    <w:p>
      <w:pPr>
        <w:spacing w:line="440" w:lineRule="exact"/>
        <w:jc w:val="right"/>
        <w:rPr>
          <w:rFonts w:hint="eastAsia"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（签字或盖章）</w:t>
      </w:r>
    </w:p>
    <w:p>
      <w:pPr>
        <w:spacing w:line="440" w:lineRule="exact"/>
        <w:jc w:val="right"/>
        <w:rPr>
          <w:rFonts w:hint="eastAsia" w:ascii="宋体" w:hAnsi="宋体"/>
          <w:color w:val="000000"/>
          <w:szCs w:val="21"/>
        </w:rPr>
      </w:pPr>
    </w:p>
    <w:p>
      <w:pPr>
        <w:spacing w:line="440" w:lineRule="exact"/>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jc w:val="center"/>
        <w:rPr>
          <w:rFonts w:hint="eastAsia" w:ascii="宋体" w:hAnsi="宋体" w:eastAsia="宋体"/>
          <w:color w:val="000000"/>
          <w:sz w:val="24"/>
          <w:szCs w:val="28"/>
        </w:rPr>
      </w:pPr>
      <w:r>
        <w:rPr>
          <w:rFonts w:ascii="宋体" w:hAnsi="宋体"/>
          <w:color w:val="000000"/>
          <w:szCs w:val="21"/>
        </w:rPr>
        <w:br w:type="page"/>
      </w:r>
      <w:bookmarkStart w:id="49" w:name="_Toc374107074"/>
      <w:bookmarkStart w:id="50" w:name="_Toc323642005"/>
      <w:bookmarkStart w:id="51" w:name="_Toc300901200"/>
      <w:r>
        <w:rPr>
          <w:rFonts w:hint="eastAsia" w:ascii="宋体" w:hAnsi="宋体" w:eastAsia="宋体"/>
          <w:color w:val="000000"/>
          <w:sz w:val="24"/>
          <w:szCs w:val="28"/>
        </w:rPr>
        <w:t>八、资格审查资料</w:t>
      </w:r>
      <w:bookmarkEnd w:id="49"/>
      <w:bookmarkEnd w:id="50"/>
      <w:bookmarkEnd w:id="51"/>
    </w:p>
    <w:p>
      <w:pPr>
        <w:spacing w:before="143" w:beforeLines="50" w:after="286" w:afterLines="100" w:line="440" w:lineRule="exact"/>
        <w:rPr>
          <w:rFonts w:hint="eastAsia" w:ascii="黑体" w:hAnsi="宋体" w:eastAsia="黑体"/>
          <w:color w:val="000000"/>
          <w:sz w:val="24"/>
        </w:rPr>
      </w:pPr>
      <w:r>
        <w:rPr>
          <w:rFonts w:hint="eastAsia" w:ascii="黑体" w:hAnsi="宋体" w:eastAsia="黑体"/>
          <w:color w:val="000000"/>
          <w:sz w:val="24"/>
        </w:rPr>
        <w:t>（一）供应商基本情况表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供应商名称</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注册地址</w:t>
            </w:r>
          </w:p>
        </w:tc>
        <w:tc>
          <w:tcPr>
            <w:tcW w:w="3700" w:type="dxa"/>
            <w:gridSpan w:val="5"/>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邮政编码</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联系方式</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联系人</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电  话</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000000"/>
                <w:szCs w:val="21"/>
              </w:rPr>
            </w:pP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传  真</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网  址</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组织结构</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法定代表人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成立时间</w:t>
            </w:r>
          </w:p>
        </w:tc>
        <w:tc>
          <w:tcPr>
            <w:tcW w:w="2095" w:type="dxa"/>
            <w:gridSpan w:val="2"/>
            <w:noWrap w:val="0"/>
            <w:vAlign w:val="center"/>
          </w:tcPr>
          <w:p>
            <w:pPr>
              <w:jc w:val="center"/>
              <w:rPr>
                <w:rFonts w:hint="eastAsia" w:ascii="宋体" w:hAnsi="宋体"/>
                <w:color w:val="000000"/>
                <w:szCs w:val="21"/>
              </w:rPr>
            </w:pPr>
          </w:p>
        </w:tc>
        <w:tc>
          <w:tcPr>
            <w:tcW w:w="5569" w:type="dxa"/>
            <w:gridSpan w:val="7"/>
            <w:noWrap w:val="0"/>
            <w:vAlign w:val="center"/>
          </w:tcPr>
          <w:p>
            <w:pPr>
              <w:jc w:val="center"/>
              <w:rPr>
                <w:rFonts w:hint="eastAsia"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企业资质等级</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其中</w:t>
            </w: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营业执照号</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高级职称人员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注册资金</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中级职称人员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开户银行</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初级职称人员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账号</w:t>
            </w:r>
          </w:p>
        </w:tc>
        <w:tc>
          <w:tcPr>
            <w:tcW w:w="979" w:type="dxa"/>
            <w:noWrap w:val="0"/>
            <w:vAlign w:val="center"/>
          </w:tcPr>
          <w:p>
            <w:pPr>
              <w:jc w:val="center"/>
              <w:rPr>
                <w:rFonts w:hint="eastAsia" w:ascii="宋体" w:hAnsi="宋体"/>
                <w:color w:val="000000"/>
                <w:szCs w:val="21"/>
              </w:rPr>
            </w:pPr>
          </w:p>
        </w:tc>
        <w:tc>
          <w:tcPr>
            <w:tcW w:w="1116" w:type="dxa"/>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技  工</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经营范围</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7664" w:type="dxa"/>
            <w:gridSpan w:val="9"/>
            <w:noWrap w:val="0"/>
            <w:vAlign w:val="center"/>
          </w:tcPr>
          <w:p>
            <w:pPr>
              <w:jc w:val="center"/>
              <w:rPr>
                <w:rFonts w:hint="eastAsia" w:ascii="宋体" w:hAnsi="宋体"/>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本表后应附企业法人营业执照、资质证书、安全生产许可证</w:t>
      </w:r>
      <w:r>
        <w:rPr>
          <w:rFonts w:hint="eastAsia" w:ascii="宋体" w:hAnsi="宋体"/>
          <w:color w:val="000000"/>
          <w:szCs w:val="21"/>
          <w:lang w:eastAsia="zh-CN"/>
        </w:rPr>
        <w:t>、</w:t>
      </w:r>
      <w:r>
        <w:rPr>
          <w:rFonts w:hint="eastAsia" w:ascii="宋体" w:hAnsi="宋体"/>
          <w:color w:val="000000"/>
          <w:szCs w:val="21"/>
          <w:lang w:val="en-US" w:eastAsia="zh-CN"/>
        </w:rPr>
        <w:t>项目经理建造师注册证及项目经理安全生产考核合格证</w:t>
      </w:r>
      <w:r>
        <w:rPr>
          <w:rFonts w:hint="eastAsia" w:ascii="宋体" w:hAnsi="宋体"/>
          <w:color w:val="000000"/>
          <w:szCs w:val="21"/>
        </w:rPr>
        <w:t>等证明材料的复印件。</w:t>
      </w:r>
    </w:p>
    <w:p>
      <w:pPr>
        <w:spacing w:line="288" w:lineRule="auto"/>
        <w:rPr>
          <w:rFonts w:hint="eastAsia"/>
          <w:color w:val="000000"/>
        </w:rPr>
      </w:pPr>
      <w:r>
        <w:rPr>
          <w:rFonts w:ascii="宋体" w:hAnsi="宋体"/>
          <w:color w:val="000000"/>
          <w:szCs w:val="21"/>
        </w:rPr>
        <w:br w:type="page"/>
      </w:r>
    </w:p>
    <w:p>
      <w:pPr>
        <w:spacing w:before="143" w:beforeLines="50" w:after="143" w:afterLines="50" w:line="440" w:lineRule="exact"/>
        <w:rPr>
          <w:rFonts w:hint="eastAsia" w:ascii="黑体" w:hAnsi="宋体" w:eastAsia="黑体"/>
          <w:color w:val="000000"/>
          <w:sz w:val="24"/>
        </w:rPr>
      </w:pPr>
      <w:r>
        <w:rPr>
          <w:rFonts w:hint="eastAsia" w:ascii="黑体" w:hAnsi="宋体" w:eastAsia="黑体"/>
          <w:color w:val="000000"/>
          <w:sz w:val="24"/>
        </w:rPr>
        <w:t>（</w:t>
      </w:r>
      <w:r>
        <w:rPr>
          <w:rFonts w:hint="eastAsia" w:ascii="黑体" w:hAnsi="宋体" w:eastAsia="黑体"/>
          <w:color w:val="000000"/>
          <w:sz w:val="24"/>
          <w:lang w:val="en-US" w:eastAsia="zh-CN"/>
        </w:rPr>
        <w:t>二</w:t>
      </w:r>
      <w:r>
        <w:rPr>
          <w:rFonts w:hint="eastAsia" w:ascii="黑体" w:hAnsi="宋体" w:eastAsia="黑体"/>
          <w:color w:val="000000"/>
          <w:sz w:val="24"/>
        </w:rPr>
        <w:t>）近年完成的类似项目情况表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项目名称</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项目所在地</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发包人名称</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发包人地址</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发包人联系人及电话</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合同价格</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开工日期</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竣工日期</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承担的工作</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工程质量</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总监理工程师及电话</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项目描述</w:t>
            </w:r>
          </w:p>
        </w:tc>
        <w:tc>
          <w:tcPr>
            <w:tcW w:w="609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6094" w:type="dxa"/>
            <w:noWrap w:val="0"/>
            <w:vAlign w:val="center"/>
          </w:tcPr>
          <w:p>
            <w:pPr>
              <w:jc w:val="center"/>
              <w:rPr>
                <w:rFonts w:hint="eastAsia" w:ascii="宋体" w:hAnsi="宋体"/>
                <w:color w:val="000000"/>
                <w:szCs w:val="21"/>
              </w:rPr>
            </w:pPr>
          </w:p>
        </w:tc>
      </w:tr>
    </w:tbl>
    <w:p>
      <w:pPr>
        <w:spacing w:line="380" w:lineRule="exact"/>
        <w:rPr>
          <w:rFonts w:hint="eastAsia" w:ascii="宋体" w:hAnsi="宋体"/>
          <w:szCs w:val="21"/>
        </w:rPr>
      </w:pPr>
      <w:r>
        <w:rPr>
          <w:rFonts w:hint="eastAsia" w:ascii="宋体" w:hAnsi="宋体"/>
          <w:color w:val="000000"/>
          <w:szCs w:val="21"/>
        </w:rPr>
        <w:t>备注：</w:t>
      </w:r>
      <w:r>
        <w:rPr>
          <w:rFonts w:hint="eastAsia" w:ascii="宋体" w:hAnsi="宋体"/>
          <w:szCs w:val="21"/>
        </w:rPr>
        <w:t>1、</w:t>
      </w:r>
      <w:r>
        <w:rPr>
          <w:rFonts w:hint="eastAsia" w:ascii="宋体" w:hAnsi="宋体"/>
          <w:szCs w:val="21"/>
          <w:lang w:eastAsia="zh-CN"/>
        </w:rPr>
        <w:t>类似工程指</w:t>
      </w:r>
      <w:r>
        <w:rPr>
          <w:rFonts w:hint="eastAsia" w:ascii="宋体" w:hAnsi="宋体"/>
          <w:szCs w:val="21"/>
          <w:lang w:val="en-US" w:eastAsia="zh-CN"/>
        </w:rPr>
        <w:t>电力工程</w:t>
      </w:r>
      <w:r>
        <w:rPr>
          <w:rFonts w:hint="eastAsia" w:ascii="宋体" w:hAnsi="宋体"/>
          <w:szCs w:val="21"/>
        </w:rPr>
        <w:t>。</w:t>
      </w:r>
    </w:p>
    <w:p>
      <w:pPr>
        <w:spacing w:line="440" w:lineRule="exact"/>
        <w:ind w:left="630" w:leftChars="300"/>
        <w:rPr>
          <w:rFonts w:hint="eastAsia" w:ascii="宋体" w:hAnsi="宋体"/>
          <w:szCs w:val="21"/>
        </w:rPr>
      </w:pPr>
      <w:r>
        <w:rPr>
          <w:rFonts w:hint="eastAsia" w:ascii="宋体" w:hAnsi="宋体"/>
          <w:szCs w:val="21"/>
        </w:rPr>
        <w:t>2、本表后附</w:t>
      </w:r>
      <w:r>
        <w:rPr>
          <w:rFonts w:hint="eastAsia" w:ascii="宋体" w:hAnsi="宋体"/>
          <w:szCs w:val="21"/>
          <w:lang w:eastAsia="zh-CN"/>
        </w:rPr>
        <w:t>成交通知书</w:t>
      </w:r>
      <w:r>
        <w:rPr>
          <w:rFonts w:hint="eastAsia" w:ascii="宋体" w:hAnsi="宋体"/>
          <w:szCs w:val="21"/>
        </w:rPr>
        <w:t>、施工合同</w:t>
      </w:r>
      <w:r>
        <w:rPr>
          <w:rFonts w:hint="eastAsia" w:ascii="宋体" w:hAnsi="宋体"/>
          <w:szCs w:val="21"/>
          <w:lang w:eastAsia="zh-CN"/>
        </w:rPr>
        <w:t>、</w:t>
      </w:r>
      <w:r>
        <w:rPr>
          <w:rFonts w:hint="eastAsia" w:ascii="宋体" w:hAnsi="宋体"/>
          <w:szCs w:val="21"/>
          <w:lang w:val="en-US" w:eastAsia="zh-CN"/>
        </w:rPr>
        <w:t>竣工验收单</w:t>
      </w:r>
      <w:r>
        <w:rPr>
          <w:rFonts w:hint="eastAsia" w:ascii="宋体" w:hAnsi="宋体"/>
          <w:szCs w:val="21"/>
        </w:rPr>
        <w:t>的复印件，具体年份要求：近</w:t>
      </w:r>
      <w:r>
        <w:rPr>
          <w:rFonts w:hint="eastAsia"/>
          <w:u w:val="single"/>
        </w:rPr>
        <w:t>3</w:t>
      </w:r>
      <w:r>
        <w:rPr>
          <w:rFonts w:hint="eastAsia"/>
        </w:rPr>
        <w:t>年，指</w:t>
      </w:r>
      <w:r>
        <w:rPr>
          <w:rFonts w:hint="eastAsia"/>
          <w:u w:val="single"/>
        </w:rPr>
        <w:t>20</w:t>
      </w:r>
      <w:r>
        <w:rPr>
          <w:rFonts w:hint="eastAsia"/>
          <w:u w:val="single"/>
          <w:lang w:val="en-US" w:eastAsia="zh-CN"/>
        </w:rPr>
        <w:t>21</w:t>
      </w:r>
      <w:r>
        <w:rPr>
          <w:rFonts w:hint="eastAsia"/>
        </w:rPr>
        <w:t>年</w:t>
      </w:r>
      <w:r>
        <w:rPr>
          <w:rFonts w:hint="eastAsia"/>
          <w:u w:val="single"/>
        </w:rPr>
        <w:t>1</w:t>
      </w:r>
      <w:r>
        <w:rPr>
          <w:rFonts w:hint="eastAsia"/>
        </w:rPr>
        <w:t>月</w:t>
      </w:r>
      <w:r>
        <w:rPr>
          <w:rFonts w:hint="eastAsia"/>
          <w:u w:val="single"/>
        </w:rPr>
        <w:t>1</w:t>
      </w:r>
      <w:r>
        <w:rPr>
          <w:rFonts w:hint="eastAsia"/>
        </w:rPr>
        <w:t>日起至今。</w:t>
      </w:r>
      <w:r>
        <w:rPr>
          <w:rFonts w:hint="eastAsia" w:ascii="宋体" w:hAnsi="宋体"/>
          <w:szCs w:val="21"/>
        </w:rPr>
        <w:t>每张表格只填写一个项目，并标明序号。</w:t>
      </w:r>
    </w:p>
    <w:p>
      <w:pPr>
        <w:spacing w:line="440" w:lineRule="exact"/>
        <w:rPr>
          <w:rFonts w:hint="eastAsia" w:ascii="宋体" w:hAnsi="宋体"/>
          <w:color w:val="000000"/>
          <w:szCs w:val="21"/>
        </w:rPr>
      </w:pPr>
      <w:r>
        <w:rPr>
          <w:rFonts w:ascii="宋体" w:hAnsi="宋体"/>
          <w:color w:val="000000"/>
          <w:szCs w:val="21"/>
        </w:rPr>
        <w:br w:type="page"/>
      </w:r>
    </w:p>
    <w:p>
      <w:pPr>
        <w:spacing w:line="360" w:lineRule="auto"/>
        <w:jc w:val="center"/>
        <w:rPr>
          <w:rFonts w:hint="eastAsia" w:ascii="宋体" w:hAnsi="宋体" w:eastAsia="宋体"/>
          <w:b/>
          <w:bCs/>
          <w:color w:val="000000"/>
          <w:sz w:val="24"/>
        </w:rPr>
      </w:pPr>
      <w:r>
        <w:rPr>
          <w:rFonts w:hint="eastAsia" w:ascii="宋体" w:hAnsi="宋体" w:eastAsia="宋体"/>
          <w:b/>
          <w:bCs/>
          <w:color w:val="000000"/>
          <w:sz w:val="24"/>
        </w:rPr>
        <w:t>九、</w:t>
      </w:r>
      <w:bookmarkStart w:id="52" w:name="OLE_LINK7"/>
      <w:r>
        <w:rPr>
          <w:rFonts w:hint="eastAsia" w:ascii="宋体" w:hAnsi="宋体" w:eastAsia="宋体"/>
          <w:b/>
          <w:bCs/>
          <w:color w:val="000000"/>
          <w:sz w:val="24"/>
        </w:rPr>
        <w:t>建设工程扬尘治理工作承诺书</w:t>
      </w:r>
      <w:bookmarkEnd w:id="52"/>
    </w:p>
    <w:p>
      <w:pPr>
        <w:spacing w:line="360" w:lineRule="auto"/>
        <w:rPr>
          <w:rFonts w:hint="eastAsia" w:ascii="宋体" w:hAnsi="宋体" w:cs="宋体"/>
          <w:color w:val="000000"/>
          <w:szCs w:val="21"/>
        </w:rPr>
      </w:pPr>
      <w:r>
        <w:rPr>
          <w:rFonts w:hint="eastAsia" w:ascii="宋体" w:hAnsi="宋体" w:cs="宋体"/>
          <w:color w:val="000000"/>
          <w:szCs w:val="21"/>
        </w:rPr>
        <w:t xml:space="preserve">    为切实做好建设工程扬尘治理工作，进一步改善空气环境质量，依据省、市文件精神，按照</w:t>
      </w:r>
      <w:r>
        <w:rPr>
          <w:rFonts w:hint="eastAsia" w:ascii="宋体" w:hAnsi="宋体" w:cs="宋体"/>
          <w:color w:val="000000"/>
          <w:szCs w:val="21"/>
          <w:lang w:eastAsia="zh-CN"/>
        </w:rPr>
        <w:t>市委、市政府</w:t>
      </w:r>
      <w:r>
        <w:rPr>
          <w:rFonts w:hint="eastAsia" w:ascii="宋体" w:hAnsi="宋体" w:cs="宋体"/>
          <w:color w:val="000000"/>
          <w:szCs w:val="21"/>
        </w:rPr>
        <w:t>“全年任务目标化，所有目标项目化，一切项目责任化，每项责任考核化”的工作要求，本项目郑重承诺如下：</w:t>
      </w:r>
    </w:p>
    <w:p>
      <w:pPr>
        <w:spacing w:line="360" w:lineRule="auto"/>
        <w:rPr>
          <w:rFonts w:hint="eastAsia" w:ascii="宋体" w:hAnsi="宋体" w:cs="宋体"/>
          <w:color w:val="000000"/>
          <w:szCs w:val="21"/>
        </w:rPr>
      </w:pPr>
      <w:r>
        <w:rPr>
          <w:rFonts w:hint="eastAsia" w:ascii="宋体" w:hAnsi="宋体" w:cs="宋体"/>
          <w:color w:val="000000"/>
          <w:szCs w:val="21"/>
        </w:rPr>
        <w:t>一、工作目标</w:t>
      </w:r>
    </w:p>
    <w:p>
      <w:pPr>
        <w:spacing w:line="360" w:lineRule="auto"/>
        <w:rPr>
          <w:rFonts w:hint="eastAsia" w:ascii="宋体" w:hAnsi="宋体" w:cs="宋体"/>
          <w:color w:val="000000"/>
          <w:szCs w:val="21"/>
        </w:rPr>
      </w:pPr>
      <w:r>
        <w:rPr>
          <w:rFonts w:hint="eastAsia" w:ascii="宋体" w:hAnsi="宋体" w:cs="宋体"/>
          <w:color w:val="000000"/>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000000"/>
          <w:szCs w:val="21"/>
        </w:rPr>
      </w:pPr>
      <w:r>
        <w:rPr>
          <w:rFonts w:hint="eastAsia" w:ascii="宋体" w:hAnsi="宋体" w:cs="宋体"/>
          <w:color w:val="000000"/>
          <w:szCs w:val="21"/>
        </w:rPr>
        <w:t xml:space="preserve">    承诺事项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3、切实保证本项目做好扬尘治理工作，安排专人负责施工现场重要部位、重要环节的清洗和洒水，切实做好施工现场的降尘工作；切实用好安全文明施工费，确保专款专用，使扬尘整治活动能够顺利</w:t>
      </w:r>
      <w:r>
        <w:rPr>
          <w:rFonts w:hint="eastAsia" w:ascii="宋体" w:hAnsi="宋体" w:cs="宋体"/>
          <w:color w:val="000000"/>
          <w:szCs w:val="21"/>
          <w:lang w:eastAsia="zh-CN"/>
        </w:rPr>
        <w:t>有效地持续</w:t>
      </w:r>
      <w:r>
        <w:rPr>
          <w:rFonts w:hint="eastAsia" w:ascii="宋体" w:hAnsi="宋体" w:cs="宋体"/>
          <w:color w:val="000000"/>
          <w:szCs w:val="21"/>
        </w:rPr>
        <w:t xml:space="preserve">开展进行。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000000"/>
          <w:szCs w:val="21"/>
        </w:rPr>
      </w:pPr>
      <w:r>
        <w:rPr>
          <w:rFonts w:hint="eastAsia" w:ascii="宋体" w:hAnsi="宋体" w:cs="宋体"/>
          <w:color w:val="000000"/>
          <w:szCs w:val="21"/>
        </w:rPr>
        <w:t>三、责任追究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000000"/>
          <w:szCs w:val="21"/>
          <w:lang w:bidi="ar"/>
        </w:rPr>
      </w:pPr>
      <w:r>
        <w:rPr>
          <w:rFonts w:hint="eastAsia" w:ascii="宋体" w:hAnsi="宋体" w:cs="宋体"/>
          <w:color w:val="000000"/>
          <w:szCs w:val="21"/>
        </w:rPr>
        <w:t>特此承诺。</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供应商：</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法定代表人：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签字或盖章）</w:t>
      </w:r>
    </w:p>
    <w:p>
      <w:pPr>
        <w:pStyle w:val="2"/>
        <w:jc w:val="right"/>
        <w:rPr>
          <w:rFonts w:hint="eastAsia" w:ascii="宋体" w:hAnsi="宋体" w:eastAsia="宋体"/>
          <w:color w:val="000000"/>
          <w:sz w:val="24"/>
        </w:rPr>
      </w:pPr>
      <w:r>
        <w:rPr>
          <w:rFonts w:hint="eastAsia" w:ascii="宋体" w:hAnsi="宋体" w:cs="宋体"/>
          <w:color w:val="000000"/>
          <w:szCs w:val="21"/>
          <w:lang w:val="en-US" w:eastAsia="zh-CN" w:bidi="ar"/>
        </w:rPr>
        <w:t>年 月 日</w:t>
      </w:r>
    </w:p>
    <w:p>
      <w:pPr>
        <w:rPr>
          <w:rFonts w:hint="eastAsia"/>
          <w:color w:val="000000"/>
        </w:rPr>
      </w:pPr>
    </w:p>
    <w:p>
      <w:pPr>
        <w:pStyle w:val="4"/>
        <w:jc w:val="center"/>
        <w:rPr>
          <w:rFonts w:hint="eastAsia" w:ascii="宋体" w:hAnsi="宋体" w:eastAsia="宋体"/>
          <w:color w:val="000000"/>
          <w:sz w:val="24"/>
        </w:rPr>
      </w:pPr>
      <w:r>
        <w:rPr>
          <w:rFonts w:hint="eastAsia" w:ascii="宋体" w:hAnsi="宋体" w:eastAsia="宋体"/>
          <w:color w:val="000000"/>
          <w:sz w:val="24"/>
        </w:rPr>
        <w:br w:type="page"/>
      </w:r>
      <w:r>
        <w:rPr>
          <w:rFonts w:hint="eastAsia" w:ascii="宋体" w:hAnsi="宋体" w:eastAsia="宋体"/>
          <w:color w:val="000000"/>
          <w:sz w:val="24"/>
        </w:rPr>
        <w:t>十、其他资料</w:t>
      </w:r>
    </w:p>
    <w:p>
      <w:pPr>
        <w:spacing w:line="360" w:lineRule="auto"/>
        <w:ind w:firstLine="420" w:firstLineChars="200"/>
        <w:rPr>
          <w:rFonts w:hint="eastAsia" w:hAnsi="宋体"/>
          <w:color w:val="000000"/>
          <w:szCs w:val="21"/>
        </w:rPr>
      </w:pPr>
      <w:r>
        <w:rPr>
          <w:rFonts w:hint="eastAsia" w:hAnsi="宋体"/>
          <w:color w:val="000000"/>
          <w:szCs w:val="21"/>
        </w:rPr>
        <w:t>供应商认为需要加以说明的其他内容和需要提供的证明文件</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b/>
          <w:bCs/>
          <w:color w:val="000000"/>
          <w:sz w:val="24"/>
          <w:szCs w:val="32"/>
        </w:rPr>
      </w:pPr>
      <w:r>
        <w:rPr>
          <w:rFonts w:hint="eastAsia" w:ascii="宋体" w:hAnsi="宋体"/>
          <w:b/>
          <w:bCs/>
          <w:color w:val="000000"/>
          <w:sz w:val="24"/>
          <w:szCs w:val="32"/>
        </w:rPr>
        <w:br w:type="page"/>
      </w:r>
      <w:r>
        <w:rPr>
          <w:rFonts w:hint="eastAsia" w:ascii="宋体" w:hAnsi="宋体"/>
          <w:b/>
          <w:bCs/>
          <w:color w:val="000000"/>
          <w:sz w:val="24"/>
          <w:szCs w:val="32"/>
        </w:rPr>
        <w:t>附件</w:t>
      </w:r>
    </w:p>
    <w:p>
      <w:pPr>
        <w:pStyle w:val="4"/>
        <w:jc w:val="center"/>
        <w:rPr>
          <w:rFonts w:hint="eastAsia" w:ascii="宋体" w:hAnsi="宋体" w:eastAsia="宋体"/>
          <w:color w:val="000000"/>
          <w:sz w:val="24"/>
        </w:rPr>
      </w:pPr>
      <w:r>
        <w:rPr>
          <w:rFonts w:hint="eastAsia" w:ascii="宋体" w:hAnsi="宋体" w:eastAsia="宋体"/>
          <w:color w:val="000000"/>
          <w:sz w:val="24"/>
        </w:rPr>
        <w:t>磋商响应文件密封信封正面格式</w:t>
      </w:r>
    </w:p>
    <w:p>
      <w:pPr>
        <w:spacing w:line="360" w:lineRule="auto"/>
        <w:jc w:val="center"/>
        <w:rPr>
          <w:rFonts w:hint="eastAsia" w:ascii="宋体" w:hAnsi="宋体"/>
          <w:color w:val="000000"/>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000000"/>
                <w:szCs w:val="21"/>
              </w:rPr>
            </w:pPr>
            <w:r>
              <w:rPr>
                <w:rFonts w:hint="eastAsia" w:ascii="宋体" w:hAnsi="宋体"/>
                <w:color w:val="000000"/>
                <w:szCs w:val="21"/>
              </w:rPr>
              <w:t xml:space="preserve">                                                            正（副）本</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（项目名称）</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供应商名称：</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tc>
      </w:tr>
    </w:tbl>
    <w:p>
      <w:pPr>
        <w:spacing w:line="360" w:lineRule="auto"/>
        <w:rPr>
          <w:rFonts w:hint="eastAsia" w:ascii="宋体" w:hAnsi="宋体" w:cs="黑体"/>
          <w:bCs/>
          <w:color w:val="000000"/>
          <w:kern w:val="0"/>
          <w:szCs w:val="21"/>
        </w:rPr>
      </w:pPr>
      <w:r>
        <w:rPr>
          <w:rFonts w:hint="eastAsia" w:ascii="宋体" w:hAnsi="宋体"/>
          <w:color w:val="000000"/>
          <w:szCs w:val="21"/>
        </w:rPr>
        <w:t>备注：</w:t>
      </w:r>
      <w:r>
        <w:rPr>
          <w:rFonts w:hint="eastAsia" w:ascii="宋体" w:hAnsi="宋体" w:cs="黑体"/>
          <w:b/>
          <w:bCs/>
          <w:color w:val="000000"/>
          <w:kern w:val="0"/>
          <w:szCs w:val="21"/>
        </w:rPr>
        <w:t xml:space="preserve"> </w:t>
      </w:r>
      <w:r>
        <w:rPr>
          <w:rFonts w:hint="eastAsia" w:ascii="宋体" w:hAnsi="宋体"/>
          <w:color w:val="000000"/>
          <w:szCs w:val="21"/>
        </w:rPr>
        <w:t>正副本分开包装密封的应标记“正本”或“副本”，正副本一起包装密封的可标记“正（副）本”或不用标记。</w:t>
      </w:r>
    </w:p>
    <w:p>
      <w:pPr>
        <w:spacing w:line="360" w:lineRule="auto"/>
        <w:ind w:left="630" w:leftChars="300"/>
        <w:rPr>
          <w:rFonts w:hint="eastAsia" w:ascii="宋体" w:hAnsi="宋体"/>
          <w:color w:val="000000"/>
          <w:szCs w:val="21"/>
        </w:rPr>
      </w:pPr>
    </w:p>
    <w:p>
      <w:pPr>
        <w:spacing w:line="360" w:lineRule="auto"/>
        <w:jc w:val="center"/>
        <w:rPr>
          <w:rFonts w:hint="eastAsia" w:ascii="宋体" w:hAnsi="宋体"/>
          <w:bCs/>
          <w:color w:val="000000"/>
          <w:szCs w:val="21"/>
        </w:rPr>
      </w:pPr>
      <w:r>
        <w:rPr>
          <w:rFonts w:hint="eastAsia" w:ascii="宋体" w:hAnsi="宋体" w:cs="宋体"/>
          <w:color w:val="000000"/>
          <w:kern w:val="0"/>
          <w:szCs w:val="21"/>
        </w:rPr>
        <w:t>磋商</w:t>
      </w:r>
      <w:r>
        <w:rPr>
          <w:rFonts w:hint="eastAsia" w:ascii="宋体" w:hAnsi="宋体"/>
          <w:bCs/>
          <w:color w:val="000000"/>
          <w:szCs w:val="21"/>
        </w:rPr>
        <w:t>响应文件密封信封封口格式</w:t>
      </w:r>
    </w:p>
    <w:p>
      <w:pPr>
        <w:pStyle w:val="15"/>
        <w:spacing w:line="360" w:lineRule="auto"/>
        <w:rPr>
          <w:rFonts w:hint="eastAsia" w:ascii="宋体" w:hAnsi="宋体"/>
          <w:bCs/>
          <w:color w:val="000000"/>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jc w:val="center"/>
              <w:rPr>
                <w:rFonts w:hint="eastAsia" w:ascii="宋体" w:hAnsi="宋体"/>
                <w:bCs/>
                <w:color w:val="000000"/>
                <w:szCs w:val="21"/>
              </w:rPr>
            </w:pPr>
            <w:r>
              <w:rPr>
                <w:rFonts w:hint="eastAsia" w:ascii="宋体" w:hAnsi="宋体"/>
                <w:bCs/>
                <w:color w:val="000000"/>
                <w:szCs w:val="21"/>
              </w:rPr>
              <w:t>于     年  月   日   时    分（北京时间）前不准启封</w:t>
            </w:r>
          </w:p>
          <w:p>
            <w:pPr>
              <w:spacing w:line="360" w:lineRule="auto"/>
              <w:jc w:val="center"/>
              <w:rPr>
                <w:rFonts w:hint="eastAsia" w:ascii="宋体" w:hAnsi="宋体"/>
                <w:b/>
                <w:color w:val="000000"/>
                <w:szCs w:val="21"/>
              </w:rPr>
            </w:pPr>
            <w:r>
              <w:rPr>
                <w:rFonts w:hint="eastAsia" w:ascii="宋体" w:hAnsi="宋体"/>
                <w:b/>
                <w:color w:val="000000"/>
                <w:szCs w:val="21"/>
              </w:rPr>
              <w:t>[加盖公章或由法定代表人（或委托代理人）签字（或签章）]</w:t>
            </w:r>
          </w:p>
          <w:p>
            <w:pPr>
              <w:spacing w:line="360" w:lineRule="auto"/>
              <w:rPr>
                <w:rFonts w:hint="eastAsia" w:ascii="宋体" w:hAnsi="宋体"/>
                <w:bCs/>
                <w:color w:val="000000"/>
                <w:szCs w:val="21"/>
              </w:rPr>
            </w:pPr>
            <w:r>
              <w:rPr>
                <w:rFonts w:ascii="宋体" w:hAnsi="宋体"/>
                <w:bCs/>
                <w:color w:val="000000"/>
                <w:szCs w:val="21"/>
              </w:rPr>
              <mc:AlternateContent>
                <mc:Choice Requires="wps">
                  <w:drawing>
                    <wp:anchor distT="0" distB="0" distL="114300" distR="114300" simplePos="0" relativeHeight="251662336"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62336;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EViKfCgIAAAEEAAAOAAAAZHJzL2Uyb0RvYy54bWytU0uO&#10;EzEQ3SNxB8t70vkwEdNKZxYThg2CSMDsK/50W/JPtpNOLsEFkNjBiiX7uQ3DMabsDmE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P5dmYIC2+p/VGN7bfMlURx75JolH0TO0cbxA/6prQ+q7VCbSZk7n6AzCoOji7P17u8x&#10;vv9y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Lmjc1wAAAAoBAAAPAAAAAAAAAAEAIAAAACIA&#10;AABkcnMvZG93bnJldi54bWxQSwECFAAUAAAACACHTuJAhFYinwoCAAABBAAADgAAAAAAAAABACAA&#10;AAAmAQAAZHJzL2Uyb0RvYy54bWxQSwUGAAAAAAYABgBZAQAAogUAAAAA&#10;">
                      <v:fill on="f" focussize="0,0"/>
                      <v:stroke color="#000000" joinstyle="round" endarrow="block"/>
                      <v:imagedata o:title=""/>
                      <o:lock v:ext="edit" aspectratio="f"/>
                    </v:line>
                  </w:pict>
                </mc:Fallback>
              </mc:AlternateContent>
            </w:r>
          </w:p>
          <w:p>
            <w:pPr>
              <w:pStyle w:val="15"/>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pStyle w:val="30"/>
              <w:widowControl w:val="0"/>
              <w:spacing w:before="0" w:beforeAutospacing="0" w:after="0" w:afterAutospacing="0" w:line="360" w:lineRule="auto"/>
              <w:textAlignment w:val="auto"/>
              <w:rPr>
                <w:rFonts w:hint="eastAsia"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（封口处）</w:t>
            </w:r>
          </w:p>
        </w:tc>
      </w:tr>
    </w:tbl>
    <w:p>
      <w:pPr>
        <w:pStyle w:val="29"/>
        <w:spacing w:line="360" w:lineRule="auto"/>
        <w:ind w:right="480"/>
        <w:rPr>
          <w:rFonts w:ascii="宋体" w:hAnsi="宋体"/>
        </w:rPr>
      </w:pPr>
    </w:p>
    <w:p/>
    <w:p>
      <w:pPr>
        <w:rPr>
          <w:rFonts w:ascii="宋体" w:hAnsi="宋体" w:cs="宋体"/>
          <w:sz w:val="24"/>
        </w:rPr>
      </w:pPr>
    </w:p>
    <w:p>
      <w:pPr>
        <w:rPr>
          <w:rFonts w:ascii="宋体" w:hAnsi="宋体" w:cs="宋体"/>
          <w:sz w:val="24"/>
        </w:rPr>
      </w:pPr>
    </w:p>
    <w:sectPr>
      <w:footerReference r:id="rId15" w:type="first"/>
      <w:headerReference r:id="rId13" w:type="default"/>
      <w:footerReference r:id="rId14"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A862"/>
    <w:multiLevelType w:val="singleLevel"/>
    <w:tmpl w:val="8DE8A862"/>
    <w:lvl w:ilvl="0" w:tentative="0">
      <w:start w:val="1"/>
      <w:numFmt w:val="chineseCounting"/>
      <w:suff w:val="nothing"/>
      <w:lvlText w:val="%1、"/>
      <w:lvlJc w:val="left"/>
      <w:rPr>
        <w:rFonts w:hint="eastAsia"/>
      </w:rPr>
    </w:lvl>
  </w:abstractNum>
  <w:abstractNum w:abstractNumId="1">
    <w:nsid w:val="E0C93FF2"/>
    <w:multiLevelType w:val="singleLevel"/>
    <w:tmpl w:val="E0C93FF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2ZiMmExODc0NjBkNThhN2MyYTU5MThjYWIxNzYifQ=="/>
  </w:docVars>
  <w:rsids>
    <w:rsidRoot w:val="6484700B"/>
    <w:rsid w:val="008D1878"/>
    <w:rsid w:val="00E00C2C"/>
    <w:rsid w:val="02EE6304"/>
    <w:rsid w:val="030109ED"/>
    <w:rsid w:val="033707E6"/>
    <w:rsid w:val="03583B59"/>
    <w:rsid w:val="065954ED"/>
    <w:rsid w:val="06A55D62"/>
    <w:rsid w:val="078B3FF3"/>
    <w:rsid w:val="09A421D7"/>
    <w:rsid w:val="09D73134"/>
    <w:rsid w:val="0B99080E"/>
    <w:rsid w:val="0CBD2E53"/>
    <w:rsid w:val="0D0B7772"/>
    <w:rsid w:val="0D1B1327"/>
    <w:rsid w:val="0D890874"/>
    <w:rsid w:val="0E677983"/>
    <w:rsid w:val="0F7B4AFA"/>
    <w:rsid w:val="0FAF6168"/>
    <w:rsid w:val="0FDA0435"/>
    <w:rsid w:val="12092BFE"/>
    <w:rsid w:val="12564A15"/>
    <w:rsid w:val="14215C1B"/>
    <w:rsid w:val="190848A9"/>
    <w:rsid w:val="194303E2"/>
    <w:rsid w:val="19E3418B"/>
    <w:rsid w:val="1A437E01"/>
    <w:rsid w:val="1B79477A"/>
    <w:rsid w:val="1C410A38"/>
    <w:rsid w:val="1D422143"/>
    <w:rsid w:val="1DE957CB"/>
    <w:rsid w:val="22896DB5"/>
    <w:rsid w:val="23AE4FF1"/>
    <w:rsid w:val="24A9077A"/>
    <w:rsid w:val="253E2AAB"/>
    <w:rsid w:val="28E161B7"/>
    <w:rsid w:val="299B2347"/>
    <w:rsid w:val="2E723B4B"/>
    <w:rsid w:val="31946AD5"/>
    <w:rsid w:val="31EE0381"/>
    <w:rsid w:val="32BF0013"/>
    <w:rsid w:val="34475534"/>
    <w:rsid w:val="355471AA"/>
    <w:rsid w:val="35A57B90"/>
    <w:rsid w:val="371F190F"/>
    <w:rsid w:val="37F7587E"/>
    <w:rsid w:val="387D6D8C"/>
    <w:rsid w:val="397544D1"/>
    <w:rsid w:val="3A126129"/>
    <w:rsid w:val="3FEA3FB2"/>
    <w:rsid w:val="43DC261C"/>
    <w:rsid w:val="43F21D7D"/>
    <w:rsid w:val="45EC2170"/>
    <w:rsid w:val="460D4487"/>
    <w:rsid w:val="46536473"/>
    <w:rsid w:val="467F6A9F"/>
    <w:rsid w:val="47AA4FE8"/>
    <w:rsid w:val="49495BAA"/>
    <w:rsid w:val="498D0F9B"/>
    <w:rsid w:val="49FE1C28"/>
    <w:rsid w:val="4C100647"/>
    <w:rsid w:val="4D0E0A12"/>
    <w:rsid w:val="4EEE042A"/>
    <w:rsid w:val="4F5942AD"/>
    <w:rsid w:val="505F013B"/>
    <w:rsid w:val="510D0020"/>
    <w:rsid w:val="51E45DC1"/>
    <w:rsid w:val="54295077"/>
    <w:rsid w:val="5A6F13EF"/>
    <w:rsid w:val="5BD85164"/>
    <w:rsid w:val="5C3D3385"/>
    <w:rsid w:val="5F3E65DB"/>
    <w:rsid w:val="5F89166E"/>
    <w:rsid w:val="60491B62"/>
    <w:rsid w:val="6208552E"/>
    <w:rsid w:val="6339518C"/>
    <w:rsid w:val="6484700B"/>
    <w:rsid w:val="65400E6F"/>
    <w:rsid w:val="654F6D0F"/>
    <w:rsid w:val="66FE14CE"/>
    <w:rsid w:val="6BC0075C"/>
    <w:rsid w:val="6E371EDE"/>
    <w:rsid w:val="6E436B05"/>
    <w:rsid w:val="722D46CA"/>
    <w:rsid w:val="7461115A"/>
    <w:rsid w:val="749E097B"/>
    <w:rsid w:val="74C43A7E"/>
    <w:rsid w:val="76925A5A"/>
    <w:rsid w:val="796E7CD8"/>
    <w:rsid w:val="7B736951"/>
    <w:rsid w:val="7E096B57"/>
    <w:rsid w:val="7E3F340D"/>
    <w:rsid w:val="7E985426"/>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1"/>
    <w:pPr>
      <w:ind w:left="212"/>
      <w:outlineLvl w:val="4"/>
    </w:pPr>
    <w:rPr>
      <w:rFonts w:ascii="宋体" w:hAnsi="宋体" w:eastAsia="宋体" w:cs="宋体"/>
      <w:b/>
      <w:bCs/>
      <w:sz w:val="24"/>
      <w:szCs w:val="24"/>
      <w:lang w:val="zh-CN" w:eastAsia="zh-CN" w:bidi="zh-CN"/>
    </w:rPr>
  </w:style>
  <w:style w:type="paragraph" w:styleId="7">
    <w:name w:val="heading 5"/>
    <w:basedOn w:val="1"/>
    <w:next w:val="1"/>
    <w:qFormat/>
    <w:uiPriority w:val="1"/>
    <w:pPr>
      <w:ind w:left="692"/>
      <w:outlineLvl w:val="5"/>
    </w:pPr>
    <w:rPr>
      <w:rFonts w:ascii="宋体" w:hAnsi="宋体" w:eastAsia="宋体" w:cs="宋体"/>
      <w:sz w:val="24"/>
      <w:szCs w:val="24"/>
      <w:lang w:val="zh-CN" w:eastAsia="zh-CN" w:bidi="zh-CN"/>
    </w:rPr>
  </w:style>
  <w:style w:type="paragraph" w:styleId="8">
    <w:name w:val="heading 6"/>
    <w:basedOn w:val="1"/>
    <w:next w:val="1"/>
    <w:autoRedefine/>
    <w:qFormat/>
    <w:uiPriority w:val="1"/>
    <w:pPr>
      <w:spacing w:before="55"/>
      <w:ind w:left="392"/>
      <w:outlineLvl w:val="5"/>
    </w:pPr>
    <w:rPr>
      <w:rFonts w:ascii="宋体" w:hAnsi="宋体" w:cs="宋体"/>
      <w:sz w:val="24"/>
      <w:lang w:val="zh-CN" w:bidi="zh-CN"/>
    </w:rPr>
  </w:style>
  <w:style w:type="paragraph" w:styleId="9">
    <w:name w:val="heading 7"/>
    <w:basedOn w:val="1"/>
    <w:next w:val="1"/>
    <w:autoRedefine/>
    <w:qFormat/>
    <w:uiPriority w:val="1"/>
    <w:pPr>
      <w:jc w:val="center"/>
      <w:outlineLvl w:val="6"/>
    </w:pPr>
    <w:rPr>
      <w:rFonts w:ascii="宋体" w:hAnsi="宋体" w:cs="宋体"/>
      <w:b/>
      <w:bCs/>
      <w:sz w:val="24"/>
      <w:lang w:val="zh-CN" w:bidi="zh-CN"/>
    </w:rPr>
  </w:style>
  <w:style w:type="paragraph" w:styleId="10">
    <w:name w:val="heading 9"/>
    <w:basedOn w:val="1"/>
    <w:next w:val="1"/>
    <w:autoRedefine/>
    <w:qFormat/>
    <w:uiPriority w:val="1"/>
    <w:pPr>
      <w:ind w:left="601"/>
      <w:outlineLvl w:val="8"/>
    </w:pPr>
    <w:rPr>
      <w:rFonts w:ascii="宋体" w:hAnsi="宋体" w:cs="宋体"/>
      <w:b/>
      <w:bCs/>
      <w:szCs w:val="21"/>
      <w:lang w:val="zh-CN" w:bidi="zh-CN"/>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rPr>
      <w:rFonts w:ascii="Arial" w:hAnsi="Arial"/>
      <w:sz w:val="24"/>
      <w:szCs w:val="20"/>
    </w:rPr>
  </w:style>
  <w:style w:type="paragraph" w:styleId="11">
    <w:name w:val="Body Text"/>
    <w:basedOn w:val="1"/>
    <w:next w:val="12"/>
    <w:autoRedefine/>
    <w:qFormat/>
    <w:uiPriority w:val="0"/>
    <w:rPr>
      <w:rFonts w:ascii="宋体"/>
      <w:sz w:val="32"/>
      <w:szCs w:val="20"/>
    </w:rPr>
  </w:style>
  <w:style w:type="paragraph" w:styleId="12">
    <w:name w:val="Body Text 2"/>
    <w:basedOn w:val="1"/>
    <w:next w:val="1"/>
    <w:autoRedefine/>
    <w:qFormat/>
    <w:uiPriority w:val="0"/>
    <w:rPr>
      <w:rFonts w:ascii="宋体" w:hAnsi="宋体"/>
      <w:b/>
      <w:bCs/>
      <w:sz w:val="24"/>
    </w:rPr>
  </w:style>
  <w:style w:type="paragraph" w:styleId="13">
    <w:name w:val="List 2"/>
    <w:basedOn w:val="1"/>
    <w:autoRedefine/>
    <w:qFormat/>
    <w:uiPriority w:val="0"/>
    <w:pPr>
      <w:ind w:left="100" w:leftChars="200" w:hanging="200" w:hangingChars="200"/>
    </w:pPr>
  </w:style>
  <w:style w:type="paragraph" w:styleId="14">
    <w:name w:val="Plain Text"/>
    <w:basedOn w:val="1"/>
    <w:autoRedefine/>
    <w:qFormat/>
    <w:uiPriority w:val="0"/>
    <w:pPr>
      <w:adjustRightInd w:val="0"/>
      <w:jc w:val="left"/>
      <w:textAlignment w:val="baseline"/>
    </w:pPr>
    <w:rPr>
      <w:rFonts w:ascii="宋体" w:hAnsi="Courier New"/>
      <w:sz w:val="24"/>
      <w:szCs w:val="20"/>
    </w:rPr>
  </w:style>
  <w:style w:type="paragraph" w:styleId="15">
    <w:name w:val="Date"/>
    <w:basedOn w:val="1"/>
    <w:next w:val="1"/>
    <w:autoRedefine/>
    <w:qFormat/>
    <w:uiPriority w:val="0"/>
    <w:rPr>
      <w:szCs w:val="2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2"/>
    <w:next w:val="1"/>
    <w:autoRedefine/>
    <w:qFormat/>
    <w:uiPriority w:val="0"/>
    <w:pPr>
      <w:spacing w:after="120"/>
      <w:jc w:val="left"/>
    </w:pPr>
    <w:rPr>
      <w:rFonts w:ascii="Times New Roman" w:hAnsi="Times New Roman"/>
      <w:b/>
      <w:bCs/>
      <w:caps/>
      <w:sz w:val="20"/>
    </w:rPr>
  </w:style>
  <w:style w:type="paragraph" w:styleId="19">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20">
    <w:name w:val="Normal (Web)"/>
    <w:basedOn w:val="1"/>
    <w:autoRedefine/>
    <w:unhideWhenUsed/>
    <w:qFormat/>
    <w:uiPriority w:val="99"/>
    <w:pPr>
      <w:jc w:val="left"/>
    </w:pPr>
    <w:rPr>
      <w:kern w:val="0"/>
      <w:sz w:val="24"/>
    </w:rPr>
  </w:style>
  <w:style w:type="character" w:styleId="23">
    <w:name w:val="Strong"/>
    <w:basedOn w:val="22"/>
    <w:autoRedefine/>
    <w:qFormat/>
    <w:uiPriority w:val="22"/>
    <w:rPr>
      <w:b/>
      <w:bCs/>
    </w:rPr>
  </w:style>
  <w:style w:type="character" w:styleId="24">
    <w:name w:val="page number"/>
    <w:basedOn w:val="22"/>
    <w:autoRedefine/>
    <w:qFormat/>
    <w:uiPriority w:val="0"/>
  </w:style>
  <w:style w:type="character" w:styleId="25">
    <w:name w:val="Hyperlink"/>
    <w:basedOn w:val="22"/>
    <w:autoRedefine/>
    <w:qFormat/>
    <w:uiPriority w:val="0"/>
    <w:rPr>
      <w:color w:val="0000FF"/>
      <w:u w:val="single"/>
    </w:rPr>
  </w:style>
  <w:style w:type="paragraph" w:customStyle="1" w:styleId="26">
    <w:name w:val="TOAHeading"/>
    <w:basedOn w:val="1"/>
    <w:next w:val="1"/>
    <w:autoRedefine/>
    <w:qFormat/>
    <w:uiPriority w:val="0"/>
    <w:pPr>
      <w:spacing w:before="120"/>
    </w:pPr>
    <w:rPr>
      <w:rFonts w:ascii="Arial" w:hAnsi="Arial"/>
      <w:sz w:val="24"/>
      <w:szCs w:val="20"/>
    </w:rPr>
  </w:style>
  <w:style w:type="paragraph" w:customStyle="1" w:styleId="27">
    <w:name w:val="Char Char Char Char"/>
    <w:basedOn w:val="1"/>
    <w:autoRedefine/>
    <w:qFormat/>
    <w:uiPriority w:val="0"/>
    <w:rPr>
      <w:kern w:val="0"/>
      <w:sz w:val="24"/>
      <w:szCs w:val="20"/>
    </w:rPr>
  </w:style>
  <w:style w:type="paragraph" w:customStyle="1" w:styleId="28">
    <w:name w:val="Table Paragraph"/>
    <w:basedOn w:val="1"/>
    <w:autoRedefine/>
    <w:qFormat/>
    <w:uiPriority w:val="1"/>
    <w:rPr>
      <w:rFonts w:ascii="宋体" w:hAnsi="宋体" w:cs="宋体"/>
      <w:lang w:val="zh-CN" w:bidi="zh-CN"/>
    </w:rPr>
  </w:style>
  <w:style w:type="paragraph" w:customStyle="1" w:styleId="29">
    <w:name w:val="p0"/>
    <w:basedOn w:val="1"/>
    <w:autoRedefine/>
    <w:qFormat/>
    <w:uiPriority w:val="0"/>
    <w:pPr>
      <w:widowControl/>
    </w:pPr>
    <w:rPr>
      <w:kern w:val="0"/>
      <w:szCs w:val="21"/>
    </w:rPr>
  </w:style>
  <w:style w:type="paragraph" w:customStyle="1" w:styleId="30">
    <w:name w:val="xl27"/>
    <w:basedOn w:val="1"/>
    <w:autoRedefine/>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character" w:customStyle="1" w:styleId="31">
    <w:name w:val="标题 1 Char"/>
    <w:basedOn w:val="22"/>
    <w:link w:val="3"/>
    <w:autoRedefine/>
    <w:qFormat/>
    <w:uiPriority w:val="0"/>
    <w:rPr>
      <w:b/>
      <w:bCs/>
      <w:kern w:val="44"/>
      <w:sz w:val="44"/>
      <w:szCs w:val="44"/>
    </w:rPr>
  </w:style>
  <w:style w:type="paragraph" w:customStyle="1" w:styleId="32">
    <w:name w:val="List Paragraph"/>
    <w:basedOn w:val="1"/>
    <w:autoRedefine/>
    <w:qFormat/>
    <w:uiPriority w:val="34"/>
    <w:pPr>
      <w:ind w:firstLine="420" w:firstLineChars="200"/>
    </w:pPr>
  </w:style>
  <w:style w:type="paragraph" w:customStyle="1" w:styleId="33">
    <w:name w:val="样式3"/>
    <w:basedOn w:val="14"/>
    <w:autoRedefine/>
    <w:qFormat/>
    <w:uiPriority w:val="0"/>
    <w:pPr>
      <w:adjustRightInd/>
      <w:spacing w:line="0" w:lineRule="atLeast"/>
      <w:jc w:val="both"/>
      <w:textAlignment w:val="auto"/>
      <w:outlineLvl w:val="0"/>
    </w:pPr>
    <w:rPr>
      <w:rFonts w:ascii="Times New Roman" w:hAnsi="Times New Roman"/>
      <w:sz w:val="28"/>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32451</Words>
  <Characters>34109</Characters>
  <Lines>67</Lines>
  <Paragraphs>74</Paragraphs>
  <TotalTime>19</TotalTime>
  <ScaleCrop>false</ScaleCrop>
  <LinksUpToDate>false</LinksUpToDate>
  <CharactersWithSpaces>38017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正方商务宾馆</cp:lastModifiedBy>
  <cp:lastPrinted>2021-11-02T02:30:00Z</cp:lastPrinted>
  <dcterms:modified xsi:type="dcterms:W3CDTF">2024-03-26T01:26:01Z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85BC6644A97741CBBFDC7B5753E6D046</vt:lpwstr>
  </property>
</Properties>
</file>