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b/>
          <w:bCs/>
          <w:color w:val="auto"/>
          <w:w w:val="90"/>
          <w:kern w:val="16"/>
          <w:sz w:val="24"/>
          <w:szCs w:val="24"/>
          <w:highlight w:val="none"/>
          <w:lang w:val="en-US" w:eastAsia="zh-CN"/>
        </w:rPr>
      </w:pPr>
      <w:r>
        <w:rPr>
          <w:rFonts w:hint="eastAsia" w:ascii="宋体" w:hAnsi="宋体" w:cs="宋体"/>
          <w:b/>
          <w:bCs/>
          <w:color w:val="auto"/>
          <w:w w:val="90"/>
          <w:kern w:val="16"/>
          <w:sz w:val="24"/>
          <w:szCs w:val="24"/>
          <w:highlight w:val="none"/>
          <w:lang w:val="en-US" w:eastAsia="zh-CN"/>
        </w:rPr>
        <w:t xml:space="preserve">  </w:t>
      </w:r>
      <w:r>
        <w:rPr>
          <w:rFonts w:hint="eastAsia" w:ascii="宋体" w:hAnsi="宋体" w:eastAsia="宋体" w:cs="宋体"/>
          <w:b/>
          <w:bCs/>
          <w:color w:val="auto"/>
          <w:w w:val="90"/>
          <w:kern w:val="16"/>
          <w:sz w:val="24"/>
          <w:szCs w:val="24"/>
          <w:highlight w:val="none"/>
          <w:lang w:val="en-US" w:eastAsia="zh-CN"/>
        </w:rPr>
        <w:t xml:space="preserve">   </w:t>
      </w:r>
    </w:p>
    <w:p>
      <w:pPr>
        <w:pStyle w:val="21"/>
        <w:keepNext w:val="0"/>
        <w:keepLines w:val="0"/>
        <w:pageBreakBefore w:val="0"/>
        <w:widowControl w:val="0"/>
        <w:kinsoku/>
        <w:wordWrap w:val="0"/>
        <w:overflowPunct/>
        <w:topLinePunct/>
        <w:autoSpaceDE/>
        <w:autoSpaceDN/>
        <w:bidi w:val="0"/>
        <w:rPr>
          <w:rFonts w:hint="eastAsia" w:ascii="宋体" w:hAnsi="宋体" w:eastAsia="宋体" w:cs="宋体"/>
          <w:sz w:val="36"/>
          <w:szCs w:val="36"/>
        </w:rPr>
      </w:pPr>
    </w:p>
    <w:p>
      <w:pPr>
        <w:pStyle w:val="11"/>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hAnsi="宋体" w:cs="宋体"/>
          <w:b/>
          <w:bCs/>
          <w:color w:val="auto"/>
          <w:kern w:val="16"/>
          <w:sz w:val="40"/>
          <w:szCs w:val="40"/>
          <w:highlight w:val="none"/>
          <w:u w:val="none"/>
          <w:lang w:eastAsia="zh-CN"/>
        </w:rPr>
      </w:pPr>
      <w:bookmarkStart w:id="0" w:name="_Toc381880843"/>
      <w:r>
        <w:rPr>
          <w:rFonts w:hint="eastAsia" w:hAnsi="宋体" w:cs="宋体"/>
          <w:b/>
          <w:bCs/>
          <w:color w:val="auto"/>
          <w:kern w:val="16"/>
          <w:sz w:val="40"/>
          <w:szCs w:val="40"/>
          <w:highlight w:val="none"/>
          <w:u w:val="none"/>
          <w:lang w:eastAsia="zh-CN"/>
        </w:rPr>
        <w:t>邹城市北宿镇圣和花园南区10KV配电工程（第三次）</w:t>
      </w:r>
    </w:p>
    <w:p>
      <w:pPr>
        <w:pStyle w:val="11"/>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 w:val="96"/>
          <w:szCs w:val="96"/>
          <w:highlight w:val="none"/>
        </w:rPr>
      </w:pPr>
      <w:r>
        <w:rPr>
          <w:rFonts w:hint="eastAsia" w:ascii="宋体" w:hAnsi="宋体" w:eastAsia="宋体" w:cs="宋体"/>
          <w:b/>
          <w:color w:val="auto"/>
          <w:sz w:val="72"/>
          <w:szCs w:val="72"/>
          <w:highlight w:val="none"/>
        </w:rPr>
        <w:t>竞争性磋商文件</w:t>
      </w:r>
      <w:bookmarkEnd w:id="0"/>
    </w:p>
    <w:p>
      <w:pPr>
        <w:pStyle w:val="11"/>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default" w:ascii="宋体" w:hAnsi="宋体" w:eastAsia="宋体" w:cs="宋体"/>
          <w:b/>
          <w:color w:val="auto"/>
          <w:sz w:val="36"/>
          <w:szCs w:val="36"/>
          <w:highlight w:val="none"/>
          <w:lang w:val="en-US"/>
        </w:rPr>
      </w:pPr>
      <w:r>
        <w:rPr>
          <w:rFonts w:hint="eastAsia" w:ascii="宋体" w:hAnsi="宋体" w:eastAsia="宋体" w:cs="宋体"/>
          <w:b/>
          <w:color w:val="auto"/>
          <w:kern w:val="0"/>
          <w:sz w:val="36"/>
          <w:szCs w:val="36"/>
          <w:highlight w:val="none"/>
        </w:rPr>
        <w:t>项目编号：</w:t>
      </w:r>
      <w:r>
        <w:rPr>
          <w:rFonts w:hint="eastAsia" w:hAnsi="宋体" w:cs="宋体"/>
          <w:b/>
          <w:color w:val="auto"/>
          <w:kern w:val="0"/>
          <w:sz w:val="36"/>
          <w:szCs w:val="36"/>
          <w:highlight w:val="none"/>
          <w:lang w:val="en-US" w:eastAsia="zh-CN"/>
        </w:rPr>
        <w:t>SDYGZD-BS2023-0903</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b/>
          <w:bCs/>
          <w:color w:val="auto"/>
          <w:kern w:val="16"/>
          <w:sz w:val="36"/>
          <w:szCs w:val="36"/>
          <w:highlight w:val="none"/>
          <w:lang w:val="en-US" w:eastAsia="zh-CN"/>
        </w:rPr>
      </w:pPr>
      <w:r>
        <w:rPr>
          <w:rFonts w:hint="eastAsia" w:ascii="宋体" w:hAnsi="宋体" w:cs="宋体"/>
          <w:b/>
          <w:bCs/>
          <w:color w:val="auto"/>
          <w:kern w:val="16"/>
          <w:sz w:val="36"/>
          <w:szCs w:val="36"/>
          <w:highlight w:val="none"/>
          <w:lang w:val="en-US" w:eastAsia="zh-CN"/>
        </w:rPr>
        <w:t xml:space="preserve"> </w:t>
      </w:r>
    </w:p>
    <w:p>
      <w:pPr>
        <w:pStyle w:val="21"/>
        <w:keepNext w:val="0"/>
        <w:keepLines w:val="0"/>
        <w:pageBreakBefore w:val="0"/>
        <w:widowControl w:val="0"/>
        <w:kinsoku/>
        <w:wordWrap w:val="0"/>
        <w:overflowPunct/>
        <w:topLinePunct/>
        <w:autoSpaceDE/>
        <w:autoSpaceDN/>
        <w:bidi w:val="0"/>
        <w:rPr>
          <w:rFonts w:hint="eastAsia" w:ascii="宋体" w:hAnsi="宋体" w:eastAsia="宋体" w:cs="宋体"/>
          <w:b/>
          <w:bCs/>
          <w:color w:val="auto"/>
          <w:kern w:val="16"/>
          <w:sz w:val="36"/>
          <w:szCs w:val="36"/>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sz w:val="36"/>
          <w:szCs w:val="36"/>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6"/>
          <w:szCs w:val="36"/>
          <w:highlight w:val="none"/>
        </w:rPr>
      </w:pPr>
    </w:p>
    <w:p>
      <w:pPr>
        <w:pStyle w:val="2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36"/>
          <w:szCs w:val="36"/>
          <w:highlight w:val="none"/>
        </w:rPr>
      </w:pPr>
    </w:p>
    <w:p>
      <w:pPr>
        <w:pStyle w:val="2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36"/>
          <w:szCs w:val="36"/>
          <w:highlight w:val="none"/>
        </w:rPr>
      </w:pPr>
    </w:p>
    <w:p>
      <w:pPr>
        <w:pStyle w:val="2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36"/>
          <w:szCs w:val="36"/>
          <w:highlight w:val="none"/>
        </w:rPr>
      </w:pPr>
    </w:p>
    <w:p>
      <w:pPr>
        <w:pStyle w:val="2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color w:val="auto"/>
          <w:sz w:val="36"/>
          <w:szCs w:val="36"/>
          <w:highlight w:val="none"/>
        </w:rPr>
      </w:pPr>
    </w:p>
    <w:p>
      <w:pPr>
        <w:pStyle w:val="2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color w:val="auto"/>
          <w:sz w:val="36"/>
          <w:szCs w:val="36"/>
          <w:highlight w:val="none"/>
        </w:rPr>
      </w:pPr>
    </w:p>
    <w:p>
      <w:pPr>
        <w:pStyle w:val="2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2160" w:firstLineChars="600"/>
        <w:rPr>
          <w:rFonts w:hint="eastAsia" w:ascii="宋体" w:hAnsi="宋体" w:eastAsia="宋体" w:cs="宋体"/>
          <w:b/>
          <w:bCs w:val="0"/>
          <w:color w:val="auto"/>
          <w:sz w:val="36"/>
          <w:szCs w:val="36"/>
          <w:highlight w:val="none"/>
        </w:rPr>
      </w:pPr>
    </w:p>
    <w:p>
      <w:pPr>
        <w:pStyle w:val="2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采 购 人：</w:t>
      </w:r>
      <w:r>
        <w:rPr>
          <w:rFonts w:hint="eastAsia" w:ascii="宋体" w:hAnsi="宋体" w:cs="宋体"/>
          <w:b/>
          <w:bCs w:val="0"/>
          <w:color w:val="auto"/>
          <w:sz w:val="36"/>
          <w:szCs w:val="36"/>
          <w:highlight w:val="none"/>
          <w:lang w:eastAsia="zh-CN"/>
        </w:rPr>
        <w:t>邹城市北宿镇东故下村村民委员会</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代理机构：</w:t>
      </w:r>
      <w:r>
        <w:rPr>
          <w:rFonts w:hint="eastAsia" w:ascii="宋体" w:hAnsi="宋体" w:cs="宋体"/>
          <w:b/>
          <w:bCs w:val="0"/>
          <w:color w:val="auto"/>
          <w:sz w:val="36"/>
          <w:szCs w:val="36"/>
          <w:highlight w:val="none"/>
          <w:lang w:eastAsia="zh-CN"/>
        </w:rPr>
        <w:t>山东阳光正大建设项目管理有限公司</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日    期：二○二</w:t>
      </w:r>
      <w:r>
        <w:rPr>
          <w:rFonts w:hint="eastAsia" w:ascii="宋体" w:hAnsi="宋体" w:cs="宋体"/>
          <w:b/>
          <w:bCs w:val="0"/>
          <w:color w:val="auto"/>
          <w:sz w:val="36"/>
          <w:szCs w:val="36"/>
          <w:highlight w:val="none"/>
          <w:lang w:val="en-US" w:eastAsia="zh-CN"/>
        </w:rPr>
        <w:t>三</w:t>
      </w:r>
      <w:r>
        <w:rPr>
          <w:rFonts w:hint="eastAsia" w:ascii="宋体" w:hAnsi="宋体" w:eastAsia="宋体" w:cs="宋体"/>
          <w:b/>
          <w:bCs w:val="0"/>
          <w:color w:val="auto"/>
          <w:sz w:val="36"/>
          <w:szCs w:val="36"/>
          <w:highlight w:val="none"/>
        </w:rPr>
        <w:t>年</w:t>
      </w:r>
      <w:r>
        <w:rPr>
          <w:rFonts w:hint="eastAsia" w:ascii="宋体" w:hAnsi="宋体" w:cs="宋体"/>
          <w:b/>
          <w:bCs w:val="0"/>
          <w:color w:val="auto"/>
          <w:sz w:val="36"/>
          <w:szCs w:val="36"/>
          <w:highlight w:val="none"/>
          <w:lang w:val="en-US" w:eastAsia="zh-CN"/>
        </w:rPr>
        <w:t>十</w:t>
      </w:r>
      <w:r>
        <w:rPr>
          <w:rFonts w:hint="eastAsia" w:ascii="宋体" w:hAnsi="宋体" w:eastAsia="宋体" w:cs="宋体"/>
          <w:b/>
          <w:bCs w:val="0"/>
          <w:color w:val="auto"/>
          <w:sz w:val="36"/>
          <w:szCs w:val="36"/>
          <w:highlight w:val="none"/>
        </w:rPr>
        <w:t>月</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6"/>
          <w:szCs w:val="36"/>
          <w:highlight w:val="none"/>
        </w:rPr>
        <w:sectPr>
          <w:headerReference r:id="rId3" w:type="default"/>
          <w:footerReference r:id="rId4" w:type="default"/>
          <w:pgSz w:w="11906" w:h="16838"/>
          <w:pgMar w:top="1134" w:right="1134" w:bottom="1134" w:left="1134" w:header="851" w:footer="992" w:gutter="0"/>
          <w:pgNumType w:fmt="decimal"/>
          <w:cols w:space="720" w:num="1"/>
          <w:docGrid w:type="linesAndChars" w:linePitch="312" w:charSpace="0"/>
        </w:sectPr>
      </w:pP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目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pPr>
        <w:pStyle w:val="14"/>
        <w:keepNext w:val="0"/>
        <w:keepLines w:val="0"/>
        <w:pageBreakBefore w:val="0"/>
        <w:widowControl w:val="0"/>
        <w:tabs>
          <w:tab w:val="right" w:leader="dot" w:pos="9638"/>
        </w:tabs>
        <w:kinsoku/>
        <w:wordWrap w:val="0"/>
        <w:overflowPunct/>
        <w:topLinePunct/>
        <w:autoSpaceDE/>
        <w:autoSpaceDN/>
        <w:bidi w:val="0"/>
        <w:adjustRightInd w:val="0"/>
        <w:snapToGrid w:val="0"/>
        <w:spacing w:before="0" w:beforeLines="0" w:beforeAutospacing="0" w:after="0" w:afterAutospacing="0" w:line="360" w:lineRule="auto"/>
        <w:ind w:left="0" w:leftChars="0" w:right="0" w:rightChars="0"/>
        <w:rPr>
          <w:rFonts w:hint="eastAsia" w:ascii="宋体" w:hAnsi="宋体" w:eastAsia="宋体" w:cs="宋体"/>
          <w:b w:val="0"/>
          <w:color w:val="auto"/>
          <w:sz w:val="24"/>
          <w:szCs w:val="24"/>
          <w:highlight w:val="none"/>
        </w:rPr>
      </w:pPr>
      <w:bookmarkStart w:id="1" w:name="_Toc10775"/>
      <w:bookmarkStart w:id="2" w:name="_Toc15040"/>
    </w:p>
    <w:p>
      <w:pPr>
        <w:pStyle w:val="14"/>
        <w:tabs>
          <w:tab w:val="right" w:leader="dot" w:pos="9638"/>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_Toc19138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 xml:space="preserve">第一部分  </w:t>
      </w:r>
      <w:r>
        <w:rPr>
          <w:rFonts w:hint="eastAsia" w:ascii="宋体" w:hAnsi="宋体" w:eastAsia="宋体" w:cs="宋体"/>
          <w:sz w:val="24"/>
          <w:szCs w:val="24"/>
          <w:highlight w:val="none"/>
        </w:rPr>
        <w:t>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_Toc19138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4"/>
        <w:tabs>
          <w:tab w:val="right" w:leader="dot" w:pos="9638"/>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_Toc18613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第二部分  磋商响应方须知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_Toc18613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4"/>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_Toc22085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第三部分  磋商组织、步骤与评审方法</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3</w:t>
      </w:r>
    </w:p>
    <w:p>
      <w:pPr>
        <w:pStyle w:val="14"/>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_Toc4171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第四部分  采购内容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6</w:t>
      </w:r>
    </w:p>
    <w:p>
      <w:pPr>
        <w:pStyle w:val="14"/>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_Toc3918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第五部分  合同授予</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3</w:t>
      </w:r>
    </w:p>
    <w:p>
      <w:pPr>
        <w:pStyle w:val="14"/>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_Toc19317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 xml:space="preserve">第六部分  </w:t>
      </w:r>
      <w:r>
        <w:rPr>
          <w:rFonts w:hint="eastAsia" w:ascii="宋体" w:hAnsi="宋体" w:eastAsia="宋体" w:cs="宋体"/>
          <w:sz w:val="24"/>
          <w:szCs w:val="24"/>
          <w:highlight w:val="none"/>
          <w:lang w:val="en-US" w:eastAsia="zh-CN"/>
        </w:rPr>
        <w:t>采购控制价</w:t>
      </w:r>
      <w:r>
        <w:rPr>
          <w:rFonts w:hint="eastAsia" w:ascii="宋体" w:hAnsi="宋体" w:eastAsia="宋体" w:cs="宋体"/>
          <w:sz w:val="24"/>
          <w:szCs w:val="24"/>
        </w:rPr>
        <w:tab/>
      </w:r>
      <w:r>
        <w:rPr>
          <w:rFonts w:hint="eastAsia" w:ascii="宋体" w:hAnsi="宋体" w:cs="宋体"/>
          <w:sz w:val="24"/>
          <w:szCs w:val="24"/>
          <w:lang w:val="en-US" w:eastAsia="zh-CN"/>
        </w:rPr>
        <w:t>8</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0</w:t>
      </w:r>
    </w:p>
    <w:p>
      <w:pPr>
        <w:pStyle w:val="14"/>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_Toc27167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部分  响应文件格式</w:t>
      </w:r>
      <w:r>
        <w:rPr>
          <w:rFonts w:hint="eastAsia" w:ascii="宋体" w:hAnsi="宋体" w:eastAsia="宋体" w:cs="宋体"/>
          <w:sz w:val="24"/>
          <w:szCs w:val="24"/>
        </w:rPr>
        <w:tab/>
      </w:r>
      <w:r>
        <w:rPr>
          <w:rFonts w:hint="eastAsia" w:ascii="宋体" w:hAnsi="宋体" w:cs="宋体"/>
          <w:sz w:val="24"/>
          <w:szCs w:val="24"/>
          <w:lang w:val="en-US" w:eastAsia="zh-CN"/>
        </w:rPr>
        <w:t>8</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1</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rPr>
        <w:sectPr>
          <w:footerReference r:id="rId5" w:type="default"/>
          <w:pgSz w:w="11906" w:h="16838"/>
          <w:pgMar w:top="1134" w:right="1134" w:bottom="1134" w:left="1134" w:header="851" w:footer="992" w:gutter="0"/>
          <w:pgNumType w:fmt="decimal" w:start="1"/>
          <w:cols w:space="720" w:num="1"/>
          <w:docGrid w:type="linesAndChars" w:linePitch="312" w:charSpace="0"/>
        </w:sectPr>
      </w:pPr>
      <w:r>
        <w:rPr>
          <w:rFonts w:hint="eastAsia" w:ascii="宋体" w:hAnsi="宋体" w:eastAsia="宋体" w:cs="宋体"/>
          <w:color w:val="auto"/>
          <w:sz w:val="24"/>
          <w:szCs w:val="24"/>
        </w:rPr>
        <w:fldChar w:fldCharType="end"/>
      </w:r>
      <w:bookmarkEnd w:id="1"/>
      <w:bookmarkEnd w:id="2"/>
      <w:bookmarkStart w:id="3" w:name="_Toc16430"/>
      <w:bookmarkStart w:id="4" w:name="_Toc19138"/>
      <w:bookmarkStart w:id="5" w:name="_Toc7799"/>
      <w:bookmarkStart w:id="6" w:name="_Toc10175"/>
      <w:bookmarkStart w:id="7" w:name="_Toc474"/>
      <w:bookmarkStart w:id="8" w:name="_Toc178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 xml:space="preserve">第一部分  </w:t>
      </w:r>
      <w:r>
        <w:rPr>
          <w:rFonts w:hint="eastAsia" w:ascii="宋体" w:hAnsi="宋体" w:eastAsia="宋体" w:cs="宋体"/>
          <w:b/>
          <w:color w:val="auto"/>
          <w:sz w:val="32"/>
          <w:szCs w:val="32"/>
          <w:highlight w:val="none"/>
        </w:rPr>
        <w:t>竞争性磋商公告</w:t>
      </w:r>
      <w:bookmarkEnd w:id="3"/>
      <w:bookmarkEnd w:id="4"/>
    </w:p>
    <w:p>
      <w:pPr>
        <w:pStyle w:val="21"/>
        <w:keepNext w:val="0"/>
        <w:keepLines w:val="0"/>
        <w:pageBreakBefore w:val="0"/>
        <w:widowControl w:val="0"/>
        <w:numPr>
          <w:ilvl w:val="0"/>
          <w:numId w:val="0"/>
        </w:numPr>
        <w:kinsoku/>
        <w:wordWrap w:val="0"/>
        <w:overflowPunct/>
        <w:topLinePunct/>
        <w:autoSpaceDE/>
        <w:autoSpaceDN/>
        <w:bidi w:val="0"/>
        <w:adjustRightInd w:val="0"/>
        <w:snapToGrid w:val="0"/>
        <w:spacing w:before="0" w:beforeAutospacing="0" w:afterAutospacing="0"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cs="宋体"/>
          <w:b/>
          <w:bCs/>
          <w:color w:val="auto"/>
          <w:sz w:val="24"/>
          <w:szCs w:val="24"/>
          <w:lang w:eastAsia="zh-CN"/>
        </w:rPr>
        <w:t>邹城市北宿镇圣和花园南区10KV配电工程（第三次）</w:t>
      </w:r>
      <w:r>
        <w:rPr>
          <w:rFonts w:hint="eastAsia" w:ascii="宋体" w:hAnsi="宋体" w:eastAsia="宋体" w:cs="宋体"/>
          <w:b/>
          <w:bCs/>
          <w:color w:val="auto"/>
          <w:sz w:val="24"/>
          <w:szCs w:val="24"/>
        </w:rPr>
        <w:t>竞争性磋商</w:t>
      </w:r>
      <w:r>
        <w:rPr>
          <w:rFonts w:hint="eastAsia" w:ascii="宋体" w:hAnsi="宋体" w:eastAsia="宋体" w:cs="宋体"/>
          <w:b/>
          <w:bCs/>
          <w:color w:val="auto"/>
          <w:sz w:val="24"/>
          <w:szCs w:val="24"/>
          <w:lang w:val="en-US" w:eastAsia="zh-CN"/>
        </w:rPr>
        <w:t>公告</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kern w:val="0"/>
          <w:sz w:val="24"/>
          <w:szCs w:val="24"/>
          <w:lang w:eastAsia="zh-CN"/>
        </w:rPr>
      </w:pPr>
      <w:r>
        <w:rPr>
          <w:rFonts w:hint="eastAsia" w:ascii="宋体" w:hAnsi="宋体" w:cs="宋体"/>
          <w:b/>
          <w:kern w:val="0"/>
          <w:sz w:val="24"/>
          <w:szCs w:val="24"/>
          <w:lang w:val="en-US" w:eastAsia="zh-CN"/>
        </w:rPr>
        <w:t>一、</w:t>
      </w:r>
      <w:r>
        <w:rPr>
          <w:rFonts w:hint="eastAsia" w:ascii="宋体" w:hAnsi="宋体" w:eastAsia="宋体" w:cs="宋体"/>
          <w:b/>
          <w:kern w:val="0"/>
          <w:sz w:val="24"/>
          <w:szCs w:val="24"/>
        </w:rPr>
        <w:t>采 购 人：</w:t>
      </w:r>
      <w:r>
        <w:rPr>
          <w:rFonts w:hint="eastAsia" w:ascii="宋体" w:hAnsi="宋体" w:cs="宋体"/>
          <w:b/>
          <w:kern w:val="0"/>
          <w:sz w:val="24"/>
          <w:szCs w:val="24"/>
          <w:lang w:eastAsia="zh-CN"/>
        </w:rPr>
        <w:t>邹城市北宿镇东故下村村民委员会</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Chars="0" w:right="0" w:rightChars="0"/>
        <w:jc w:val="left"/>
        <w:textAlignment w:val="auto"/>
        <w:rPr>
          <w:rFonts w:hint="eastAsia" w:ascii="宋体" w:hAnsi="宋体" w:cs="宋体"/>
          <w:b/>
          <w:kern w:val="0"/>
          <w:sz w:val="24"/>
          <w:szCs w:val="24"/>
          <w:lang w:eastAsia="zh-CN"/>
        </w:rPr>
      </w:pPr>
      <w:r>
        <w:rPr>
          <w:rFonts w:hint="eastAsia" w:ascii="宋体" w:hAnsi="宋体" w:cs="宋体"/>
          <w:b/>
          <w:kern w:val="0"/>
          <w:sz w:val="24"/>
          <w:szCs w:val="24"/>
          <w:lang w:val="en-US" w:eastAsia="zh-CN"/>
        </w:rPr>
        <w:t>二、</w:t>
      </w:r>
      <w:r>
        <w:rPr>
          <w:rFonts w:hint="eastAsia" w:ascii="宋体" w:hAnsi="宋体" w:eastAsia="宋体" w:cs="宋体"/>
          <w:b/>
          <w:kern w:val="0"/>
          <w:sz w:val="24"/>
          <w:szCs w:val="24"/>
        </w:rPr>
        <w:t>项目名称：</w:t>
      </w:r>
      <w:r>
        <w:rPr>
          <w:rFonts w:hint="eastAsia" w:ascii="宋体" w:hAnsi="宋体" w:cs="宋体"/>
          <w:b/>
          <w:kern w:val="0"/>
          <w:sz w:val="24"/>
          <w:szCs w:val="24"/>
          <w:lang w:eastAsia="zh-CN"/>
        </w:rPr>
        <w:t>邹城市北宿镇圣和花园南区10KV配电工程（第三次）</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Chars="0" w:right="0" w:rightChars="0"/>
        <w:jc w:val="left"/>
        <w:textAlignment w:val="auto"/>
        <w:rPr>
          <w:rFonts w:hint="default" w:ascii="宋体" w:hAnsi="宋体" w:eastAsia="宋体" w:cs="宋体"/>
          <w:b/>
          <w:kern w:val="0"/>
          <w:sz w:val="24"/>
          <w:szCs w:val="24"/>
          <w:lang w:val="en-US" w:eastAsia="zh-CN"/>
        </w:rPr>
      </w:pPr>
      <w:r>
        <w:rPr>
          <w:rFonts w:hint="eastAsia" w:ascii="宋体" w:hAnsi="宋体" w:cs="宋体"/>
          <w:b/>
          <w:kern w:val="0"/>
          <w:sz w:val="24"/>
          <w:szCs w:val="24"/>
          <w:lang w:val="en-US" w:eastAsia="zh-CN"/>
        </w:rPr>
        <w:t>三、</w:t>
      </w:r>
      <w:r>
        <w:rPr>
          <w:rFonts w:hint="eastAsia" w:ascii="宋体" w:hAnsi="宋体" w:eastAsia="宋体" w:cs="宋体"/>
          <w:b/>
          <w:kern w:val="0"/>
          <w:sz w:val="24"/>
          <w:szCs w:val="24"/>
        </w:rPr>
        <w:t>项目编号：</w:t>
      </w:r>
      <w:r>
        <w:rPr>
          <w:rFonts w:hint="eastAsia" w:ascii="宋体" w:hAnsi="宋体" w:cs="宋体"/>
          <w:b/>
          <w:kern w:val="0"/>
          <w:sz w:val="24"/>
          <w:szCs w:val="24"/>
          <w:lang w:val="en-US" w:eastAsia="zh-CN"/>
        </w:rPr>
        <w:t>SDYGZD-BS2023-0903</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kern w:val="0"/>
          <w:sz w:val="24"/>
          <w:szCs w:val="24"/>
          <w:u w:val="single"/>
        </w:rPr>
      </w:pPr>
      <w:r>
        <w:rPr>
          <w:rFonts w:hint="eastAsia" w:ascii="宋体" w:hAnsi="宋体" w:eastAsia="宋体" w:cs="宋体"/>
          <w:b/>
          <w:kern w:val="0"/>
          <w:sz w:val="24"/>
          <w:szCs w:val="24"/>
          <w:lang w:val="en-US" w:eastAsia="zh-CN"/>
        </w:rPr>
        <w:t>四、</w:t>
      </w:r>
      <w:r>
        <w:rPr>
          <w:rFonts w:hint="eastAsia" w:ascii="宋体" w:hAnsi="宋体" w:eastAsia="宋体" w:cs="宋体"/>
          <w:b/>
          <w:kern w:val="0"/>
          <w:sz w:val="24"/>
          <w:szCs w:val="24"/>
        </w:rPr>
        <w:t>采购内容：</w:t>
      </w:r>
      <w:r>
        <w:rPr>
          <w:rFonts w:hint="eastAsia" w:ascii="宋体" w:hAnsi="宋体" w:cs="宋体"/>
          <w:b/>
          <w:kern w:val="0"/>
          <w:sz w:val="24"/>
          <w:szCs w:val="24"/>
          <w:lang w:eastAsia="zh-CN"/>
        </w:rPr>
        <w:t>邹城市北宿镇圣和花园南区10KV配电工程（第三次），</w:t>
      </w:r>
      <w:r>
        <w:rPr>
          <w:rFonts w:hint="eastAsia" w:ascii="宋体" w:hAnsi="宋体" w:cs="宋体"/>
          <w:b w:val="0"/>
          <w:bCs/>
          <w:color w:val="auto"/>
          <w:sz w:val="24"/>
          <w:szCs w:val="24"/>
          <w:highlight w:val="none"/>
          <w:lang w:val="en-US" w:eastAsia="zh-CN"/>
        </w:rPr>
        <w:t>主要包含圣和花园南区4栋楼的高压配电、低压配电、配电室照明及接地、室外照明、弱电预埋及监控和配电室电缆沟等内容。</w:t>
      </w:r>
      <w:r>
        <w:rPr>
          <w:rFonts w:hint="eastAsia" w:ascii="宋体" w:hAnsi="宋体" w:eastAsia="宋体" w:cs="宋体"/>
          <w:b/>
          <w:bCs/>
          <w:kern w:val="0"/>
          <w:sz w:val="24"/>
          <w:szCs w:val="24"/>
          <w:lang w:eastAsia="zh-CN"/>
        </w:rPr>
        <w:t>采购预算（控制价）为</w:t>
      </w:r>
      <w:r>
        <w:rPr>
          <w:rFonts w:hint="eastAsia" w:ascii="宋体" w:hAnsi="宋体" w:cs="宋体"/>
          <w:b/>
          <w:bCs/>
          <w:kern w:val="0"/>
          <w:sz w:val="24"/>
          <w:szCs w:val="24"/>
          <w:lang w:val="en-US" w:eastAsia="zh-CN"/>
        </w:rPr>
        <w:t>2342102.12</w:t>
      </w:r>
      <w:r>
        <w:rPr>
          <w:rFonts w:hint="eastAsia" w:ascii="宋体" w:hAnsi="宋体" w:eastAsia="宋体" w:cs="宋体"/>
          <w:b/>
          <w:bCs/>
          <w:kern w:val="0"/>
          <w:sz w:val="24"/>
          <w:szCs w:val="24"/>
          <w:lang w:eastAsia="zh-CN"/>
        </w:rPr>
        <w:t>元</w:t>
      </w:r>
      <w:r>
        <w:rPr>
          <w:rFonts w:hint="eastAsia" w:ascii="宋体" w:hAnsi="宋体" w:eastAsia="宋体" w:cs="宋体"/>
          <w:kern w:val="0"/>
          <w:sz w:val="24"/>
          <w:szCs w:val="24"/>
          <w:lang w:eastAsia="zh-CN"/>
        </w:rPr>
        <w:t>，具体内容详见采购预算(控制价)。</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五、</w:t>
      </w:r>
      <w:r>
        <w:rPr>
          <w:rFonts w:hint="eastAsia" w:ascii="宋体" w:hAnsi="宋体" w:eastAsia="宋体" w:cs="宋体"/>
          <w:b/>
          <w:kern w:val="0"/>
          <w:sz w:val="24"/>
          <w:szCs w:val="24"/>
        </w:rPr>
        <w:t>供应商资格要求：</w:t>
      </w:r>
    </w:p>
    <w:p>
      <w:pPr>
        <w:shd w:val="clear" w:color="auto" w:fill="FFFFFF"/>
        <w:spacing w:line="560" w:lineRule="exact"/>
        <w:ind w:firstLine="480"/>
        <w:jc w:val="left"/>
        <w:rPr>
          <w:rFonts w:ascii="宋体" w:hAnsi="宋体" w:cs="黑体"/>
          <w:kern w:val="0"/>
          <w:sz w:val="24"/>
        </w:rPr>
      </w:pPr>
      <w:r>
        <w:rPr>
          <w:rFonts w:hint="eastAsia" w:ascii="宋体" w:hAnsi="宋体" w:cs="黑体"/>
          <w:kern w:val="0"/>
          <w:sz w:val="24"/>
        </w:rPr>
        <w:t>1、具备《政府采购法》第二十二条规定的条件。</w:t>
      </w:r>
    </w:p>
    <w:p>
      <w:pPr>
        <w:spacing w:line="560" w:lineRule="exact"/>
        <w:ind w:firstLine="480" w:firstLineChars="200"/>
        <w:rPr>
          <w:rFonts w:ascii="宋体" w:hAnsi="宋体"/>
          <w:bCs/>
          <w:sz w:val="24"/>
        </w:rPr>
      </w:pPr>
      <w:r>
        <w:rPr>
          <w:rFonts w:ascii="宋体" w:hAnsi="宋体"/>
          <w:bCs/>
          <w:sz w:val="24"/>
        </w:rPr>
        <w:t>（一）具有独立承担民事责任的能力；</w:t>
      </w:r>
    </w:p>
    <w:p>
      <w:pPr>
        <w:spacing w:line="560" w:lineRule="exact"/>
        <w:ind w:firstLine="480" w:firstLineChars="200"/>
        <w:rPr>
          <w:rFonts w:ascii="宋体" w:hAnsi="宋体"/>
          <w:bCs/>
          <w:sz w:val="24"/>
        </w:rPr>
      </w:pPr>
      <w:r>
        <w:rPr>
          <w:rFonts w:ascii="宋体" w:hAnsi="宋体"/>
          <w:bCs/>
          <w:sz w:val="24"/>
        </w:rPr>
        <w:t>（二）具有良好的商业信誉和健全的财务会计制度；</w:t>
      </w:r>
    </w:p>
    <w:p>
      <w:pPr>
        <w:spacing w:line="560" w:lineRule="exact"/>
        <w:ind w:firstLine="480" w:firstLineChars="200"/>
        <w:rPr>
          <w:rFonts w:ascii="宋体" w:hAnsi="宋体"/>
          <w:bCs/>
          <w:sz w:val="24"/>
        </w:rPr>
      </w:pPr>
      <w:r>
        <w:rPr>
          <w:rFonts w:ascii="宋体" w:hAnsi="宋体"/>
          <w:bCs/>
          <w:sz w:val="24"/>
        </w:rPr>
        <w:t>（三）具有履行合同所必需的货物和专业技术能力；</w:t>
      </w:r>
    </w:p>
    <w:p>
      <w:pPr>
        <w:spacing w:line="560" w:lineRule="exact"/>
        <w:ind w:firstLine="480" w:firstLineChars="200"/>
        <w:rPr>
          <w:rFonts w:ascii="宋体" w:hAnsi="宋体"/>
          <w:bCs/>
          <w:sz w:val="24"/>
        </w:rPr>
      </w:pPr>
      <w:r>
        <w:rPr>
          <w:rFonts w:ascii="宋体" w:hAnsi="宋体"/>
          <w:bCs/>
          <w:sz w:val="24"/>
        </w:rPr>
        <w:t>（四）</w:t>
      </w:r>
      <w:r>
        <w:rPr>
          <w:rFonts w:hint="eastAsia" w:ascii="宋体" w:hAnsi="宋体"/>
          <w:bCs/>
          <w:sz w:val="24"/>
        </w:rPr>
        <w:t>有依法缴纳税收和社会保障资金的良好记录；</w:t>
      </w:r>
    </w:p>
    <w:p>
      <w:pPr>
        <w:spacing w:line="560" w:lineRule="exact"/>
        <w:ind w:firstLine="480" w:firstLineChars="200"/>
        <w:rPr>
          <w:rFonts w:ascii="宋体" w:hAnsi="宋体"/>
          <w:bCs/>
          <w:sz w:val="24"/>
        </w:rPr>
      </w:pPr>
      <w:r>
        <w:rPr>
          <w:rFonts w:ascii="宋体" w:hAnsi="宋体"/>
          <w:bCs/>
          <w:sz w:val="24"/>
        </w:rPr>
        <w:t>（五）参加政府采购活动前三年内，在经营活动中没有重大违法记录；</w:t>
      </w:r>
    </w:p>
    <w:p>
      <w:pPr>
        <w:pageBreakBefore w:val="0"/>
        <w:widowControl/>
        <w:shd w:val="clear" w:color="auto" w:fill="FFFFFF"/>
        <w:kinsoku/>
        <w:wordWrap/>
        <w:overflowPunct/>
        <w:topLinePunct w:val="0"/>
        <w:autoSpaceDE/>
        <w:autoSpaceDN/>
        <w:bidi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（六）法律、行政法规规定的其他条件。 </w:t>
      </w:r>
    </w:p>
    <w:p>
      <w:pPr>
        <w:pageBreakBefore w:val="0"/>
        <w:widowControl/>
        <w:shd w:val="clear" w:color="auto" w:fill="FFFFFF"/>
        <w:kinsoku/>
        <w:wordWrap/>
        <w:overflowPunct/>
        <w:topLinePunct w:val="0"/>
        <w:autoSpaceDE/>
        <w:autoSpaceDN/>
        <w:bidi w:val="0"/>
        <w:spacing w:line="360" w:lineRule="auto"/>
        <w:ind w:firstLine="240" w:firstLineChars="1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2、供应商须具备：</w:t>
      </w:r>
      <w:r>
        <w:rPr>
          <w:rFonts w:hint="eastAsia" w:ascii="宋体" w:hAnsi="宋体"/>
          <w:b/>
          <w:bCs/>
          <w:sz w:val="24"/>
          <w:highlight w:val="none"/>
          <w:u w:val="single"/>
          <w:lang w:val="en-US" w:eastAsia="zh-CN"/>
        </w:rPr>
        <w:t>电力工程施工总承包叁级及以上资质或者</w:t>
      </w:r>
      <w:r>
        <w:rPr>
          <w:rFonts w:hint="eastAsia" w:ascii="宋体" w:hAnsi="宋体" w:eastAsia="宋体" w:cs="宋体"/>
          <w:b/>
          <w:bCs/>
          <w:color w:val="auto"/>
          <w:kern w:val="0"/>
          <w:sz w:val="24"/>
          <w:szCs w:val="24"/>
          <w:highlight w:val="none"/>
          <w:u w:val="single"/>
          <w:lang w:val="en-US" w:eastAsia="zh-CN"/>
        </w:rPr>
        <w:t>承装（修、试）电力设施许可证（承装承修承试三类必须齐全）类五级及以上资质</w:t>
      </w:r>
      <w:r>
        <w:rPr>
          <w:rFonts w:hint="eastAsia" w:ascii="宋体" w:hAnsi="宋体" w:eastAsia="宋体" w:cs="宋体"/>
          <w:color w:val="auto"/>
          <w:kern w:val="0"/>
          <w:sz w:val="24"/>
          <w:szCs w:val="24"/>
          <w:highlight w:val="none"/>
          <w:lang w:val="en-US" w:eastAsia="zh-CN"/>
        </w:rPr>
        <w:t>，并在人员、设备、资金等方面具有相应的施工能力，无拖欠农民工工资的不良行为。其中，供应商拟派项目经理须具备</w:t>
      </w:r>
      <w:r>
        <w:rPr>
          <w:rFonts w:hint="eastAsia" w:ascii="宋体" w:hAnsi="宋体" w:eastAsia="宋体" w:cs="宋体"/>
          <w:b/>
          <w:bCs/>
          <w:color w:val="auto"/>
          <w:kern w:val="0"/>
          <w:sz w:val="24"/>
          <w:szCs w:val="24"/>
          <w:highlight w:val="none"/>
          <w:u w:val="single"/>
          <w:lang w:val="en-US" w:eastAsia="zh-CN"/>
        </w:rPr>
        <w:t>本单位注册的机电工程专业贰级及以上注册建造师执业资格</w:t>
      </w:r>
      <w:r>
        <w:rPr>
          <w:rFonts w:hint="eastAsia" w:ascii="宋体" w:hAnsi="宋体" w:eastAsia="宋体" w:cs="宋体"/>
          <w:color w:val="auto"/>
          <w:kern w:val="0"/>
          <w:sz w:val="24"/>
          <w:szCs w:val="24"/>
          <w:highlight w:val="none"/>
          <w:lang w:val="en-US" w:eastAsia="zh-CN"/>
        </w:rPr>
        <w:t>，</w:t>
      </w:r>
      <w:r>
        <w:rPr>
          <w:rFonts w:hint="eastAsia" w:ascii="Times New Roman" w:hAnsi="宋体" w:eastAsia="宋体" w:cs="宋体"/>
          <w:b/>
          <w:bCs/>
          <w:kern w:val="2"/>
          <w:sz w:val="24"/>
          <w:szCs w:val="24"/>
          <w:lang w:val="zh-CN" w:eastAsia="zh-CN" w:bidi="ar-SA"/>
        </w:rPr>
        <w:t>并具备有效的安全生产考核合格证书</w:t>
      </w:r>
      <w:r>
        <w:rPr>
          <w:rFonts w:hint="eastAsia" w:hAnsi="宋体" w:eastAsia="宋体" w:cs="宋体"/>
          <w:b/>
          <w:bCs/>
          <w:kern w:val="2"/>
          <w:sz w:val="24"/>
          <w:szCs w:val="24"/>
          <w:lang w:val="zh-CN" w:eastAsia="zh-CN" w:bidi="ar-SA"/>
        </w:rPr>
        <w:t>，</w:t>
      </w:r>
      <w:r>
        <w:rPr>
          <w:rFonts w:hint="eastAsia" w:ascii="宋体" w:hAnsi="宋体" w:eastAsia="宋体" w:cs="宋体"/>
          <w:color w:val="auto"/>
          <w:kern w:val="0"/>
          <w:sz w:val="24"/>
          <w:szCs w:val="24"/>
          <w:highlight w:val="none"/>
          <w:lang w:val="en-US" w:eastAsia="zh-CN"/>
        </w:rPr>
        <w:t>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lang w:val="en-US" w:eastAsia="zh-CN"/>
        </w:rPr>
      </w:pPr>
      <w:r>
        <w:rPr>
          <w:rFonts w:hint="eastAsia" w:ascii="宋体" w:hAnsi="宋体" w:eastAsia="宋体" w:cs="宋体"/>
          <w:kern w:val="0"/>
          <w:sz w:val="24"/>
          <w:szCs w:val="24"/>
        </w:rPr>
        <w:t>3、供应商在递交响应文件时需同时提供本单位</w:t>
      </w:r>
      <w:r>
        <w:rPr>
          <w:rFonts w:hint="eastAsia" w:ascii="宋体" w:hAnsi="宋体" w:eastAsia="宋体" w:cs="宋体"/>
          <w:b/>
          <w:bCs/>
          <w:kern w:val="0"/>
          <w:sz w:val="24"/>
          <w:szCs w:val="24"/>
        </w:rPr>
        <w:t>营业执照(原件)、资质证书（原件或复印件加盖公章）、</w:t>
      </w:r>
      <w:r>
        <w:rPr>
          <w:rFonts w:hint="eastAsia" w:ascii="宋体" w:hAnsi="宋体" w:eastAsia="宋体" w:cs="宋体"/>
          <w:b/>
          <w:bCs/>
          <w:kern w:val="0"/>
          <w:sz w:val="24"/>
          <w:szCs w:val="24"/>
          <w:lang w:eastAsia="zh-CN"/>
        </w:rPr>
        <w:t>安全生产许可证副本原件</w:t>
      </w:r>
      <w:r>
        <w:rPr>
          <w:rFonts w:hint="eastAsia" w:ascii="宋体" w:hAnsi="宋体" w:eastAsia="宋体" w:cs="宋体"/>
          <w:b/>
          <w:bCs/>
          <w:kern w:val="0"/>
          <w:sz w:val="24"/>
          <w:szCs w:val="24"/>
        </w:rPr>
        <w:t>、项目经理建造师注册证原件及建造师安全生产考核合格证原件、</w:t>
      </w:r>
      <w:r>
        <w:rPr>
          <w:rFonts w:hint="eastAsia" w:ascii="宋体" w:hAnsi="宋体" w:eastAsia="宋体" w:cs="宋体"/>
          <w:b/>
          <w:bCs/>
          <w:color w:val="auto"/>
          <w:kern w:val="2"/>
          <w:sz w:val="24"/>
          <w:szCs w:val="24"/>
          <w:highlight w:val="none"/>
          <w:lang w:val="en-US" w:eastAsia="zh-CN" w:bidi="ar-SA"/>
        </w:rPr>
        <w:t>磋商保证金交纳凭证原件、</w:t>
      </w:r>
      <w:r>
        <w:rPr>
          <w:rFonts w:hint="eastAsia" w:ascii="宋体" w:hAnsi="宋体" w:eastAsia="宋体" w:cs="宋体"/>
          <w:b/>
          <w:bCs/>
          <w:kern w:val="0"/>
          <w:sz w:val="24"/>
          <w:szCs w:val="24"/>
        </w:rPr>
        <w:t>法人授权委托书原件、法定代表人（或授权委托人）有效身份证原件</w:t>
      </w:r>
      <w:r>
        <w:rPr>
          <w:rFonts w:hint="eastAsia" w:ascii="宋体" w:hAnsi="宋体" w:eastAsia="宋体" w:cs="宋体"/>
          <w:kern w:val="0"/>
          <w:sz w:val="24"/>
          <w:szCs w:val="24"/>
        </w:rPr>
        <w:t>,否则视为供应商资格证明文件不全。</w:t>
      </w:r>
      <w:r>
        <w:rPr>
          <w:rFonts w:hint="eastAsia" w:ascii="宋体" w:hAnsi="宋体" w:eastAsia="宋体" w:cs="宋体"/>
          <w:b/>
          <w:bCs/>
          <w:kern w:val="0"/>
          <w:sz w:val="24"/>
          <w:szCs w:val="24"/>
          <w:lang w:val="en-US" w:eastAsia="zh-CN"/>
        </w:rPr>
        <w:t>以上证件中如果具有电子证书，均可提供原件或加盖单位公章的电子证书打印件(打印件上注明查询网址)</w:t>
      </w:r>
      <w:r>
        <w:rPr>
          <w:rFonts w:hint="eastAsia" w:ascii="宋体" w:hAnsi="宋体" w:eastAsia="宋体" w:cs="宋体"/>
          <w:b/>
          <w:bCs/>
          <w:kern w:val="0"/>
          <w:sz w:val="24"/>
          <w:szCs w:val="24"/>
        </w:rPr>
        <w:t>。</w:t>
      </w:r>
    </w:p>
    <w:p>
      <w:pPr>
        <w:pageBreakBefore w:val="0"/>
        <w:widowControl/>
        <w:shd w:val="clear" w:color="auto" w:fill="FFFFFF"/>
        <w:kinsoku/>
        <w:wordWrap/>
        <w:overflowPunct/>
        <w:topLinePunct w:val="0"/>
        <w:autoSpaceDE/>
        <w:autoSpaceDN/>
        <w:bidi w:val="0"/>
        <w:spacing w:line="360" w:lineRule="auto"/>
        <w:ind w:firstLine="240" w:firstLineChars="100"/>
        <w:jc w:val="left"/>
        <w:rPr>
          <w:rFonts w:hint="eastAsia" w:ascii="宋体" w:hAnsi="宋体" w:eastAsia="宋体" w:cs="宋体"/>
          <w:color w:val="auto"/>
          <w:kern w:val="0"/>
          <w:sz w:val="24"/>
          <w:szCs w:val="24"/>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、因建设工地扬尘污染暂</w:t>
      </w:r>
      <w:r>
        <w:rPr>
          <w:rFonts w:hint="eastAsia" w:ascii="宋体" w:hAnsi="宋体" w:eastAsia="宋体" w:cs="宋体"/>
          <w:color w:val="auto"/>
          <w:kern w:val="0"/>
          <w:sz w:val="24"/>
          <w:szCs w:val="24"/>
        </w:rPr>
        <w:t>扣安全生产许可证的施工单位，不得参与本招标项目的投标;因拖欠农民工工资，计入济宁市诚信黑榜，被限制济宁市内建设工程投标资格的施工单位，不得参与本项目的磋商。</w:t>
      </w:r>
    </w:p>
    <w:p>
      <w:pPr>
        <w:pageBreakBefore w:val="0"/>
        <w:widowControl/>
        <w:shd w:val="clear" w:color="auto" w:fill="FFFFFF"/>
        <w:kinsoku/>
        <w:wordWrap/>
        <w:overflowPunct/>
        <w:topLinePunct w:val="0"/>
        <w:autoSpaceDE/>
        <w:autoSpaceDN/>
        <w:bidi w:val="0"/>
        <w:spacing w:line="360" w:lineRule="auto"/>
        <w:ind w:firstLine="360" w:firstLineChars="150"/>
        <w:jc w:val="left"/>
        <w:rPr>
          <w:rFonts w:hint="eastAsia" w:ascii="宋体" w:hAnsi="宋体" w:eastAsia="宋体" w:cs="宋体"/>
          <w:sz w:val="24"/>
          <w:szCs w:val="24"/>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、本次</w:t>
      </w:r>
      <w:r>
        <w:rPr>
          <w:rFonts w:hint="eastAsia" w:ascii="宋体" w:hAnsi="宋体" w:eastAsia="宋体" w:cs="宋体"/>
          <w:bCs/>
          <w:color w:val="auto"/>
          <w:sz w:val="24"/>
          <w:szCs w:val="24"/>
        </w:rPr>
        <w:t>竞争性</w:t>
      </w:r>
      <w:r>
        <w:rPr>
          <w:rFonts w:hint="eastAsia" w:ascii="宋体" w:hAnsi="宋体" w:eastAsia="宋体" w:cs="宋体"/>
          <w:color w:val="auto"/>
          <w:kern w:val="0"/>
          <w:sz w:val="24"/>
          <w:szCs w:val="24"/>
        </w:rPr>
        <w:t>磋商不接受联合体。</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kern w:val="0"/>
          <w:sz w:val="24"/>
          <w:szCs w:val="24"/>
        </w:rPr>
      </w:pPr>
      <w:r>
        <w:rPr>
          <w:rFonts w:hint="eastAsia" w:ascii="宋体" w:hAnsi="宋体" w:eastAsia="宋体" w:cs="宋体"/>
          <w:b/>
          <w:kern w:val="0"/>
          <w:sz w:val="24"/>
          <w:szCs w:val="24"/>
          <w:lang w:val="en-US" w:eastAsia="zh-CN"/>
        </w:rPr>
        <w:t>六、</w:t>
      </w:r>
      <w:r>
        <w:rPr>
          <w:rFonts w:hint="eastAsia" w:ascii="宋体" w:hAnsi="宋体" w:eastAsia="宋体" w:cs="宋体"/>
          <w:b/>
          <w:kern w:val="0"/>
          <w:sz w:val="24"/>
          <w:szCs w:val="24"/>
        </w:rPr>
        <w:t>磋商文件的获取：</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磋商文件获取时间：</w:t>
      </w:r>
      <w:r>
        <w:rPr>
          <w:rFonts w:hint="eastAsia" w:ascii="宋体" w:hAnsi="宋体" w:cs="宋体"/>
          <w:bCs/>
          <w:color w:val="auto"/>
          <w:kern w:val="0"/>
          <w:sz w:val="24"/>
          <w:szCs w:val="24"/>
          <w:highlight w:val="none"/>
          <w:lang w:eastAsia="zh-CN"/>
        </w:rPr>
        <w:t>2023 年</w:t>
      </w:r>
      <w:r>
        <w:rPr>
          <w:rFonts w:hint="eastAsia" w:ascii="宋体" w:hAnsi="宋体" w:cs="宋体"/>
          <w:bCs/>
          <w:color w:val="auto"/>
          <w:kern w:val="0"/>
          <w:sz w:val="24"/>
          <w:szCs w:val="24"/>
          <w:highlight w:val="none"/>
          <w:lang w:val="en-US" w:eastAsia="zh-CN"/>
        </w:rPr>
        <w:t>10</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8</w:t>
      </w:r>
      <w:r>
        <w:rPr>
          <w:rFonts w:hint="eastAsia" w:ascii="宋体" w:hAnsi="宋体" w:cs="宋体"/>
          <w:bCs/>
          <w:color w:val="auto"/>
          <w:kern w:val="0"/>
          <w:sz w:val="24"/>
          <w:szCs w:val="24"/>
          <w:highlight w:val="none"/>
          <w:lang w:eastAsia="zh-CN"/>
        </w:rPr>
        <w:t>日至2023 年</w:t>
      </w:r>
      <w:r>
        <w:rPr>
          <w:rFonts w:hint="eastAsia" w:ascii="宋体" w:hAnsi="宋体" w:cs="宋体"/>
          <w:bCs/>
          <w:color w:val="auto"/>
          <w:kern w:val="0"/>
          <w:sz w:val="24"/>
          <w:szCs w:val="24"/>
          <w:highlight w:val="none"/>
          <w:lang w:val="en-US" w:eastAsia="zh-CN"/>
        </w:rPr>
        <w:t>10</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19</w:t>
      </w:r>
      <w:r>
        <w:rPr>
          <w:rFonts w:hint="eastAsia" w:ascii="宋体" w:hAnsi="宋体" w:cs="宋体"/>
          <w:bCs/>
          <w:color w:val="auto"/>
          <w:kern w:val="0"/>
          <w:sz w:val="24"/>
          <w:szCs w:val="24"/>
          <w:highlight w:val="none"/>
          <w:lang w:eastAsia="zh-CN"/>
        </w:rPr>
        <w:t>日</w:t>
      </w:r>
      <w:r>
        <w:rPr>
          <w:rFonts w:hint="eastAsia" w:ascii="宋体" w:hAnsi="宋体" w:eastAsia="宋体" w:cs="宋体"/>
          <w:bCs/>
          <w:color w:val="auto"/>
          <w:kern w:val="0"/>
          <w:sz w:val="24"/>
          <w:szCs w:val="24"/>
          <w:highlight w:val="none"/>
          <w:lang w:val="en-US" w:eastAsia="zh-CN"/>
        </w:rPr>
        <w:t xml:space="preserve">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磋商文件获取方式：磋商响应方不必办理报名手续，登录邹城市外宣网(http://www.mencius.gov.cn/)-乡</w:t>
      </w:r>
      <w:r>
        <w:rPr>
          <w:rFonts w:hint="eastAsia" w:ascii="宋体" w:hAnsi="宋体" w:cs="宋体"/>
          <w:kern w:val="0"/>
          <w:sz w:val="24"/>
          <w:szCs w:val="24"/>
          <w:lang w:val="en-US" w:eastAsia="zh-CN"/>
        </w:rPr>
        <w:t>镇</w:t>
      </w:r>
      <w:r>
        <w:rPr>
          <w:rFonts w:hint="eastAsia" w:ascii="宋体" w:hAnsi="宋体" w:eastAsia="宋体" w:cs="宋体"/>
          <w:kern w:val="0"/>
          <w:sz w:val="24"/>
          <w:szCs w:val="24"/>
        </w:rPr>
        <w:t>采购直接点击公告下方附件下载竞争性磋商文件。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七、磋商响应文件的递交：</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w:t>
      </w:r>
      <w:r>
        <w:rPr>
          <w:rFonts w:hint="eastAsia" w:ascii="宋体" w:hAnsi="宋体" w:cs="宋体"/>
          <w:kern w:val="0"/>
          <w:sz w:val="24"/>
          <w:szCs w:val="24"/>
          <w:lang w:eastAsia="zh-CN"/>
        </w:rPr>
        <w:t>邹城市北宿镇东故下村村民委员会</w:t>
      </w:r>
      <w:r>
        <w:rPr>
          <w:rFonts w:hint="eastAsia" w:ascii="宋体" w:hAnsi="宋体" w:eastAsia="宋体" w:cs="宋体"/>
          <w:kern w:val="0"/>
          <w:sz w:val="24"/>
          <w:szCs w:val="24"/>
        </w:rPr>
        <w:t>于</w:t>
      </w:r>
      <w:r>
        <w:rPr>
          <w:rFonts w:hint="eastAsia" w:ascii="宋体" w:hAnsi="宋体" w:cs="宋体"/>
          <w:bCs/>
          <w:color w:val="auto"/>
          <w:kern w:val="0"/>
          <w:sz w:val="24"/>
          <w:szCs w:val="24"/>
          <w:highlight w:val="none"/>
          <w:u w:val="single"/>
          <w:lang w:eastAsia="zh-CN"/>
        </w:rPr>
        <w:t>2023</w:t>
      </w:r>
      <w:r>
        <w:rPr>
          <w:rFonts w:hint="eastAsia" w:ascii="宋体" w:hAnsi="宋体" w:eastAsia="宋体" w:cs="宋体"/>
          <w:bCs/>
          <w:color w:val="auto"/>
          <w:kern w:val="0"/>
          <w:sz w:val="24"/>
          <w:szCs w:val="24"/>
          <w:highlight w:val="none"/>
          <w:u w:val="single"/>
          <w:lang w:eastAsia="zh-CN"/>
        </w:rPr>
        <w:t>年</w:t>
      </w:r>
      <w:r>
        <w:rPr>
          <w:rFonts w:hint="eastAsia" w:ascii="宋体" w:hAnsi="宋体" w:cs="宋体"/>
          <w:bCs/>
          <w:color w:val="auto"/>
          <w:kern w:val="0"/>
          <w:sz w:val="24"/>
          <w:szCs w:val="24"/>
          <w:highlight w:val="none"/>
          <w:u w:val="single"/>
          <w:lang w:val="en-US" w:eastAsia="zh-CN"/>
        </w:rPr>
        <w:t>10</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19</w:t>
      </w:r>
      <w:r>
        <w:rPr>
          <w:rFonts w:hint="eastAsia" w:ascii="宋体" w:hAnsi="宋体" w:eastAsia="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09</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30</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kern w:val="0"/>
          <w:sz w:val="24"/>
          <w:szCs w:val="24"/>
        </w:rPr>
        <w:t>（北京时间）磋商开始前在</w:t>
      </w:r>
      <w:r>
        <w:rPr>
          <w:rFonts w:hint="eastAsia" w:ascii="宋体" w:hAnsi="宋体" w:eastAsia="宋体" w:cs="宋体"/>
          <w:sz w:val="24"/>
          <w:szCs w:val="24"/>
          <w:lang w:eastAsia="zh-CN"/>
        </w:rPr>
        <w:t>邹城市</w:t>
      </w:r>
      <w:r>
        <w:rPr>
          <w:rFonts w:hint="eastAsia" w:ascii="宋体" w:hAnsi="宋体" w:cs="宋体"/>
          <w:sz w:val="24"/>
          <w:szCs w:val="24"/>
          <w:lang w:eastAsia="zh-CN"/>
        </w:rPr>
        <w:t>北宿镇</w:t>
      </w:r>
      <w:r>
        <w:rPr>
          <w:rFonts w:hint="eastAsia" w:ascii="宋体" w:hAnsi="宋体" w:eastAsia="宋体" w:cs="宋体"/>
          <w:sz w:val="24"/>
          <w:szCs w:val="24"/>
          <w:lang w:eastAsia="zh-CN"/>
        </w:rPr>
        <w:t>公共资源交易中心</w:t>
      </w:r>
      <w:r>
        <w:rPr>
          <w:rFonts w:hint="eastAsia" w:ascii="宋体" w:hAnsi="宋体" w:eastAsia="宋体" w:cs="宋体"/>
          <w:sz w:val="24"/>
          <w:szCs w:val="24"/>
        </w:rPr>
        <w:t>开标室</w:t>
      </w:r>
      <w:r>
        <w:rPr>
          <w:rFonts w:hint="eastAsia" w:ascii="宋体" w:hAnsi="宋体" w:eastAsia="宋体" w:cs="宋体"/>
          <w:kern w:val="0"/>
          <w:sz w:val="24"/>
          <w:szCs w:val="24"/>
        </w:rPr>
        <w:t>受理供应商磋商响应文件的递交。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2、逾期</w:t>
      </w:r>
      <w:r>
        <w:rPr>
          <w:rFonts w:hint="eastAsia" w:ascii="宋体" w:hAnsi="宋体" w:eastAsia="宋体" w:cs="宋体"/>
          <w:bCs/>
          <w:sz w:val="24"/>
          <w:szCs w:val="24"/>
        </w:rPr>
        <w:t>送达</w:t>
      </w:r>
      <w:r>
        <w:rPr>
          <w:rFonts w:hint="eastAsia" w:ascii="宋体" w:hAnsi="宋体" w:eastAsia="宋体" w:cs="宋体"/>
          <w:sz w:val="24"/>
          <w:szCs w:val="24"/>
        </w:rPr>
        <w:t>或未送达指定地点的磋商响应文件，采购人不予受理。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八、磋商时间与地点：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rPr>
        <w:t>时间：</w:t>
      </w:r>
      <w:r>
        <w:rPr>
          <w:rFonts w:hint="eastAsia" w:ascii="宋体" w:hAnsi="宋体" w:cs="宋体"/>
          <w:bCs/>
          <w:color w:val="auto"/>
          <w:kern w:val="0"/>
          <w:sz w:val="24"/>
          <w:szCs w:val="24"/>
          <w:highlight w:val="none"/>
          <w:u w:val="single"/>
          <w:lang w:eastAsia="zh-CN"/>
        </w:rPr>
        <w:t>2023</w:t>
      </w:r>
      <w:r>
        <w:rPr>
          <w:rFonts w:hint="eastAsia" w:ascii="宋体" w:hAnsi="宋体" w:eastAsia="宋体" w:cs="宋体"/>
          <w:bCs/>
          <w:color w:val="auto"/>
          <w:kern w:val="0"/>
          <w:sz w:val="24"/>
          <w:szCs w:val="24"/>
          <w:highlight w:val="none"/>
          <w:u w:val="single"/>
          <w:lang w:eastAsia="zh-CN"/>
        </w:rPr>
        <w:t>年</w:t>
      </w:r>
      <w:r>
        <w:rPr>
          <w:rFonts w:hint="eastAsia" w:ascii="宋体" w:hAnsi="宋体" w:cs="宋体"/>
          <w:bCs/>
          <w:color w:val="auto"/>
          <w:kern w:val="0"/>
          <w:sz w:val="24"/>
          <w:szCs w:val="24"/>
          <w:highlight w:val="none"/>
          <w:u w:val="single"/>
          <w:lang w:val="en-US" w:eastAsia="zh-CN"/>
        </w:rPr>
        <w:t>10</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19</w:t>
      </w:r>
      <w:r>
        <w:rPr>
          <w:rFonts w:hint="eastAsia" w:ascii="宋体" w:hAnsi="宋体" w:eastAsia="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09</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30</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kern w:val="0"/>
          <w:sz w:val="24"/>
          <w:szCs w:val="24"/>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b/>
          <w:kern w:val="0"/>
          <w:sz w:val="24"/>
          <w:szCs w:val="24"/>
        </w:rPr>
      </w:pPr>
      <w:r>
        <w:rPr>
          <w:rFonts w:hint="eastAsia" w:ascii="宋体" w:hAnsi="宋体" w:eastAsia="宋体" w:cs="宋体"/>
          <w:sz w:val="24"/>
          <w:szCs w:val="24"/>
        </w:rPr>
        <w:t>地点：</w:t>
      </w:r>
      <w:r>
        <w:rPr>
          <w:rFonts w:hint="eastAsia" w:ascii="宋体" w:hAnsi="宋体" w:eastAsia="宋体" w:cs="宋体"/>
          <w:sz w:val="24"/>
          <w:szCs w:val="24"/>
          <w:lang w:eastAsia="zh-CN"/>
        </w:rPr>
        <w:t>邹城市</w:t>
      </w:r>
      <w:r>
        <w:rPr>
          <w:rFonts w:hint="eastAsia" w:ascii="宋体" w:hAnsi="宋体" w:cs="宋体"/>
          <w:sz w:val="24"/>
          <w:szCs w:val="24"/>
          <w:lang w:eastAsia="zh-CN"/>
        </w:rPr>
        <w:t>北宿镇</w:t>
      </w:r>
      <w:r>
        <w:rPr>
          <w:rFonts w:hint="eastAsia" w:ascii="宋体" w:hAnsi="宋体" w:eastAsia="宋体" w:cs="宋体"/>
          <w:sz w:val="24"/>
          <w:szCs w:val="24"/>
          <w:lang w:eastAsia="zh-CN"/>
        </w:rPr>
        <w:t>公共资源交易中心</w:t>
      </w:r>
      <w:r>
        <w:rPr>
          <w:rFonts w:hint="eastAsia" w:ascii="宋体" w:hAnsi="宋体" w:eastAsia="宋体" w:cs="宋体"/>
          <w:sz w:val="24"/>
          <w:szCs w:val="24"/>
        </w:rPr>
        <w:t>开标室。</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九、</w:t>
      </w:r>
      <w:r>
        <w:rPr>
          <w:rFonts w:hint="eastAsia" w:ascii="宋体" w:hAnsi="宋体" w:eastAsia="宋体" w:cs="宋体"/>
          <w:b/>
          <w:sz w:val="24"/>
          <w:szCs w:val="24"/>
        </w:rPr>
        <w:t>联系方式</w:t>
      </w:r>
      <w:r>
        <w:rPr>
          <w:rFonts w:hint="eastAsia" w:ascii="宋体" w:hAnsi="宋体" w:eastAsia="宋体" w:cs="宋体"/>
          <w:b/>
          <w:kern w:val="0"/>
          <w:sz w:val="24"/>
          <w:szCs w:val="24"/>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rPr>
        <w:t>采 购 人：</w:t>
      </w:r>
      <w:r>
        <w:rPr>
          <w:rFonts w:hint="eastAsia" w:ascii="宋体" w:hAnsi="宋体" w:cs="宋体"/>
          <w:kern w:val="0"/>
          <w:sz w:val="24"/>
          <w:szCs w:val="24"/>
          <w:lang w:eastAsia="zh-CN"/>
        </w:rPr>
        <w:t>邹城市北宿镇东故下村村民委员会</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bCs/>
          <w:kern w:val="0"/>
          <w:sz w:val="24"/>
          <w:szCs w:val="24"/>
          <w:lang w:eastAsia="zh-CN"/>
        </w:rPr>
      </w:pPr>
      <w:r>
        <w:rPr>
          <w:rFonts w:hint="eastAsia" w:ascii="宋体" w:hAnsi="宋体" w:eastAsia="宋体" w:cs="宋体"/>
          <w:kern w:val="0"/>
          <w:sz w:val="24"/>
          <w:szCs w:val="24"/>
        </w:rPr>
        <w:t>地</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址：</w:t>
      </w:r>
      <w:r>
        <w:rPr>
          <w:rFonts w:hint="eastAsia" w:ascii="宋体" w:hAnsi="宋体" w:eastAsia="宋体" w:cs="宋体"/>
          <w:bCs/>
          <w:kern w:val="0"/>
          <w:sz w:val="24"/>
          <w:szCs w:val="24"/>
        </w:rPr>
        <w:t>邹城市</w:t>
      </w:r>
      <w:r>
        <w:rPr>
          <w:rFonts w:hint="eastAsia" w:ascii="宋体" w:hAnsi="宋体" w:cs="宋体"/>
          <w:bCs/>
          <w:kern w:val="0"/>
          <w:sz w:val="24"/>
          <w:szCs w:val="24"/>
          <w:lang w:eastAsia="zh-CN"/>
        </w:rPr>
        <w:t>北宿镇</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联 系 人：</w:t>
      </w:r>
      <w:r>
        <w:rPr>
          <w:rFonts w:hint="eastAsia" w:ascii="宋体" w:hAnsi="宋体" w:cs="宋体"/>
          <w:kern w:val="0"/>
          <w:sz w:val="24"/>
          <w:szCs w:val="24"/>
          <w:lang w:eastAsia="zh-CN"/>
        </w:rPr>
        <w:t>孔书记</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sz w:val="24"/>
          <w:szCs w:val="24"/>
          <w:shd w:val="clear" w:color="auto" w:fill="FFFFFF"/>
          <w:lang w:val="en-US" w:eastAsia="zh-CN"/>
        </w:rPr>
      </w:pPr>
      <w:r>
        <w:rPr>
          <w:rFonts w:hint="eastAsia" w:ascii="宋体" w:hAnsi="宋体" w:eastAsia="宋体" w:cs="宋体"/>
          <w:kern w:val="0"/>
          <w:sz w:val="24"/>
          <w:szCs w:val="24"/>
        </w:rPr>
        <w:t>联系电话：</w:t>
      </w:r>
      <w:r>
        <w:rPr>
          <w:rFonts w:hint="eastAsia" w:ascii="宋体" w:hAnsi="宋体" w:cs="宋体"/>
          <w:kern w:val="0"/>
          <w:sz w:val="24"/>
          <w:szCs w:val="24"/>
          <w:lang w:val="en-US" w:eastAsia="zh-CN"/>
        </w:rPr>
        <w:t>13792360666</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代理机构：</w:t>
      </w:r>
      <w:r>
        <w:rPr>
          <w:rFonts w:hint="eastAsia" w:ascii="宋体" w:hAnsi="宋体" w:cs="宋体"/>
          <w:sz w:val="24"/>
          <w:szCs w:val="24"/>
          <w:shd w:val="clear" w:color="auto" w:fill="FFFFFF"/>
          <w:lang w:eastAsia="zh-CN"/>
        </w:rPr>
        <w:t>山东阳光正大建设项目管理有限公司</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sz w:val="24"/>
          <w:szCs w:val="24"/>
          <w:shd w:val="clear" w:color="auto" w:fill="FFFFFF"/>
          <w:lang w:val="en-US"/>
        </w:rPr>
      </w:pPr>
      <w:r>
        <w:rPr>
          <w:rFonts w:hint="eastAsia" w:ascii="宋体" w:hAnsi="宋体" w:eastAsia="宋体" w:cs="宋体"/>
          <w:sz w:val="24"/>
          <w:szCs w:val="24"/>
          <w:shd w:val="clear" w:color="auto" w:fill="FFFFFF"/>
        </w:rPr>
        <w:t>地    址：邹城市</w:t>
      </w:r>
      <w:r>
        <w:rPr>
          <w:rFonts w:hint="eastAsia" w:ascii="宋体" w:hAnsi="宋体" w:cs="宋体"/>
          <w:sz w:val="24"/>
          <w:szCs w:val="24"/>
          <w:shd w:val="clear" w:color="auto" w:fill="FFFFFF"/>
          <w:lang w:eastAsia="zh-CN"/>
        </w:rPr>
        <w:t>齐鲁时代</w:t>
      </w:r>
      <w:r>
        <w:rPr>
          <w:rFonts w:hint="eastAsia" w:ascii="宋体" w:hAnsi="宋体" w:cs="宋体"/>
          <w:sz w:val="24"/>
          <w:szCs w:val="24"/>
          <w:shd w:val="clear" w:color="auto" w:fill="FFFFFF"/>
          <w:lang w:val="en-US" w:eastAsia="zh-CN"/>
        </w:rPr>
        <w:t>SOHO营销中心15楼1509室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联 系 人：</w:t>
      </w:r>
      <w:r>
        <w:rPr>
          <w:rFonts w:hint="eastAsia" w:ascii="宋体" w:hAnsi="宋体" w:cs="宋体"/>
          <w:sz w:val="24"/>
          <w:szCs w:val="24"/>
          <w:shd w:val="clear" w:color="auto" w:fill="FFFFFF"/>
          <w:lang w:val="en-US" w:eastAsia="zh-CN"/>
        </w:rPr>
        <w:t>刘婷婷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bCs/>
          <w:sz w:val="24"/>
          <w:szCs w:val="24"/>
          <w:shd w:val="clear" w:color="auto" w:fill="FFFFFF"/>
          <w:lang w:val="en-US" w:eastAsia="zh-CN"/>
        </w:rPr>
      </w:pPr>
      <w:r>
        <w:rPr>
          <w:rFonts w:hint="eastAsia" w:ascii="宋体" w:hAnsi="宋体" w:eastAsia="宋体" w:cs="宋体"/>
          <w:sz w:val="24"/>
          <w:szCs w:val="24"/>
          <w:shd w:val="clear" w:color="auto" w:fill="FFFFFF"/>
        </w:rPr>
        <w:t>联系电话：</w:t>
      </w:r>
      <w:r>
        <w:rPr>
          <w:rFonts w:hint="eastAsia" w:ascii="宋体" w:hAnsi="宋体" w:cs="宋体"/>
          <w:sz w:val="24"/>
          <w:szCs w:val="24"/>
          <w:shd w:val="clear" w:color="auto" w:fill="FFFFFF"/>
          <w:lang w:val="en-US" w:eastAsia="zh-CN"/>
        </w:rPr>
        <w:t>15854746520</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电子邮箱：</w:t>
      </w:r>
      <w:r>
        <w:rPr>
          <w:rFonts w:hint="eastAsia" w:ascii="宋体" w:hAnsi="宋体" w:cs="宋体"/>
          <w:sz w:val="24"/>
          <w:szCs w:val="24"/>
          <w:lang w:val="en-US" w:eastAsia="zh-CN"/>
        </w:rPr>
        <w:t>sdygzdjnfgs</w:t>
      </w:r>
      <w:r>
        <w:rPr>
          <w:rFonts w:hint="eastAsia" w:ascii="宋体" w:hAnsi="宋体" w:eastAsia="宋体" w:cs="宋体"/>
          <w:sz w:val="24"/>
          <w:szCs w:val="24"/>
          <w:shd w:val="clear" w:color="auto" w:fill="FFFFFF"/>
        </w:rPr>
        <w:t>@163.com</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kern w:val="0"/>
          <w:sz w:val="24"/>
          <w:szCs w:val="24"/>
          <w:lang w:eastAsia="zh-CN"/>
        </w:rPr>
      </w:pPr>
      <w:r>
        <w:rPr>
          <w:rFonts w:hint="eastAsia" w:ascii="宋体" w:hAnsi="宋体" w:eastAsia="宋体" w:cs="宋体"/>
          <w:b/>
          <w:kern w:val="0"/>
          <w:sz w:val="24"/>
          <w:szCs w:val="24"/>
        </w:rPr>
        <w:t>十、重要说明</w:t>
      </w:r>
      <w:r>
        <w:rPr>
          <w:rFonts w:hint="eastAsia" w:ascii="宋体" w:hAnsi="宋体" w:eastAsia="宋体" w:cs="宋体"/>
          <w:b/>
          <w:kern w:val="0"/>
          <w:sz w:val="24"/>
          <w:szCs w:val="24"/>
          <w:lang w:eastAsia="zh-CN"/>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1、施工期间与周边地方关系的协调由成交单位自行处理。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2、竞争性磋商文件等相关资料一经在</w:t>
      </w:r>
      <w:r>
        <w:rPr>
          <w:rFonts w:hint="eastAsia" w:ascii="宋体" w:hAnsi="宋体" w:eastAsia="宋体" w:cs="宋体"/>
          <w:kern w:val="0"/>
          <w:sz w:val="24"/>
          <w:szCs w:val="24"/>
          <w:lang w:eastAsia="zh-CN"/>
        </w:rPr>
        <w:t>邹城市外宣网</w:t>
      </w:r>
      <w:r>
        <w:rPr>
          <w:rFonts w:hint="eastAsia" w:ascii="宋体" w:hAnsi="宋体" w:eastAsia="宋体" w:cs="宋体"/>
          <w:kern w:val="0"/>
          <w:sz w:val="24"/>
          <w:szCs w:val="24"/>
        </w:rPr>
        <w:t>（</w:t>
      </w:r>
      <w:r>
        <w:rPr>
          <w:rFonts w:hint="eastAsia" w:ascii="宋体" w:hAnsi="宋体" w:eastAsia="宋体" w:cs="宋体"/>
          <w:color w:val="auto"/>
          <w:kern w:val="15"/>
          <w:sz w:val="24"/>
          <w:szCs w:val="24"/>
          <w:lang w:eastAsia="zh-CN"/>
        </w:rPr>
        <w:t>http://www.mencius.gov.cn/</w:t>
      </w:r>
      <w:r>
        <w:rPr>
          <w:rFonts w:hint="eastAsia" w:ascii="宋体" w:hAnsi="宋体" w:eastAsia="宋体" w:cs="宋体"/>
          <w:kern w:val="0"/>
          <w:sz w:val="24"/>
          <w:szCs w:val="24"/>
        </w:rPr>
        <w:t>）发布，视作已发放给所有潜在供应商（发布时间即为发出磋商文件的时间），各供应商应随时关注</w:t>
      </w:r>
      <w:r>
        <w:rPr>
          <w:rFonts w:hint="eastAsia" w:ascii="宋体" w:hAnsi="宋体" w:eastAsia="宋体" w:cs="宋体"/>
          <w:kern w:val="0"/>
          <w:sz w:val="24"/>
          <w:szCs w:val="24"/>
          <w:lang w:eastAsia="zh-CN"/>
        </w:rPr>
        <w:t>邹城市外宣网</w:t>
      </w:r>
      <w:r>
        <w:rPr>
          <w:rFonts w:hint="eastAsia" w:ascii="宋体" w:hAnsi="宋体" w:eastAsia="宋体" w:cs="宋体"/>
          <w:kern w:val="0"/>
          <w:sz w:val="24"/>
          <w:szCs w:val="24"/>
        </w:rPr>
        <w:t>下载电子版磋商文件，否则所造成的一切后果由供应商自负。</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eastAsia="宋体" w:cs="宋体"/>
          <w:kern w:val="0"/>
          <w:sz w:val="24"/>
          <w:szCs w:val="24"/>
        </w:rPr>
      </w:pPr>
    </w:p>
    <w:p>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jc w:val="right"/>
        <w:rPr>
          <w:rFonts w:hint="eastAsia" w:ascii="宋体" w:hAnsi="宋体" w:eastAsia="宋体" w:cs="宋体"/>
          <w:color w:val="auto"/>
          <w:kern w:val="0"/>
          <w:sz w:val="24"/>
          <w:szCs w:val="24"/>
          <w:highlight w:val="none"/>
          <w:lang w:eastAsia="zh-CN"/>
        </w:rPr>
      </w:pPr>
    </w:p>
    <w:p>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邹城市北宿镇东故下村村民委员会</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eastAsia="宋体" w:cs="宋体"/>
          <w:sz w:val="24"/>
          <w:szCs w:val="24"/>
          <w:highlight w:val="none"/>
        </w:rPr>
        <w:sectPr>
          <w:footerReference r:id="rId6" w:type="default"/>
          <w:pgSz w:w="11906" w:h="16838"/>
          <w:pgMar w:top="1134" w:right="1134" w:bottom="1134" w:left="1134" w:header="851" w:footer="992" w:gutter="0"/>
          <w:pgNumType w:fmt="decimal"/>
          <w:cols w:space="720" w:num="1"/>
          <w:rtlGutter w:val="0"/>
          <w:docGrid w:type="linesAndChars" w:linePitch="321" w:charSpace="0"/>
        </w:sectPr>
      </w:pPr>
      <w:r>
        <w:rPr>
          <w:rFonts w:hint="eastAsia" w:ascii="宋体" w:hAnsi="宋体" w:cs="宋体"/>
          <w:sz w:val="24"/>
          <w:szCs w:val="24"/>
          <w:lang w:val="en-US" w:eastAsia="zh-CN"/>
        </w:rPr>
        <w:t xml:space="preserve">                                            山东阳光正大建设项目管理有限公司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2023</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 xml:space="preserve">8 </w:t>
      </w:r>
      <w:r>
        <w:rPr>
          <w:rFonts w:hint="eastAsia" w:ascii="宋体" w:hAnsi="宋体" w:eastAsia="宋体" w:cs="宋体"/>
          <w:sz w:val="24"/>
          <w:szCs w:val="24"/>
          <w:highlight w:val="none"/>
          <w:lang w:val="en-US" w:eastAsia="zh-CN"/>
        </w:rPr>
        <w:t>日</w:t>
      </w:r>
    </w:p>
    <w:bookmarkEnd w:id="5"/>
    <w:bookmarkEnd w:id="6"/>
    <w:p>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9" w:name="_Toc18613"/>
      <w:r>
        <w:rPr>
          <w:rFonts w:hint="eastAsia" w:ascii="宋体" w:hAnsi="宋体" w:eastAsia="宋体" w:cs="宋体"/>
          <w:b/>
          <w:color w:val="auto"/>
          <w:sz w:val="32"/>
          <w:szCs w:val="32"/>
          <w:highlight w:val="none"/>
        </w:rPr>
        <w:t xml:space="preserve"> 磋商响应方须知</w:t>
      </w:r>
      <w:bookmarkEnd w:id="9"/>
    </w:p>
    <w:p>
      <w:pPr>
        <w:pageBreakBefore w:val="0"/>
        <w:widowControl/>
        <w:shd w:val="clear" w:color="auto" w:fill="FFFFFF"/>
        <w:kinsoku/>
        <w:overflowPunct/>
        <w:bidi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一、响应方须知前附表</w:t>
      </w:r>
    </w:p>
    <w:tbl>
      <w:tblPr>
        <w:tblStyle w:val="18"/>
        <w:tblW w:w="50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827"/>
        <w:gridCol w:w="8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项号</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内容</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eastAsia="zh-CN"/>
              </w:rPr>
            </w:pPr>
            <w:r>
              <w:rPr>
                <w:rFonts w:hint="eastAsia" w:ascii="宋体" w:hAnsi="宋体" w:cs="宋体"/>
                <w:b w:val="0"/>
                <w:bCs/>
                <w:kern w:val="0"/>
                <w:sz w:val="24"/>
                <w:szCs w:val="24"/>
                <w:lang w:eastAsia="zh-CN"/>
              </w:rPr>
              <w:t>邹城市北宿镇圣和花园南区10KV配电工程（第三次）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kern w:val="0"/>
                <w:sz w:val="24"/>
                <w:szCs w:val="24"/>
                <w:lang w:eastAsia="zh-CN"/>
              </w:rPr>
              <w:t>SDYGZD-2023-090</w:t>
            </w:r>
            <w:r>
              <w:rPr>
                <w:rFonts w:hint="eastAsia" w:ascii="宋体" w:hAnsi="宋体" w:cs="宋体"/>
                <w:bCs/>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项目地点</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邹城市</w:t>
            </w:r>
            <w:r>
              <w:rPr>
                <w:rFonts w:hint="eastAsia" w:ascii="宋体" w:hAnsi="宋体" w:cs="宋体"/>
                <w:color w:val="000000"/>
                <w:sz w:val="24"/>
                <w:szCs w:val="24"/>
                <w:lang w:val="en-US" w:eastAsia="zh-CN"/>
              </w:rPr>
              <w:t>北宿</w:t>
            </w:r>
            <w:r>
              <w:rPr>
                <w:rFonts w:hint="eastAsia" w:ascii="宋体" w:hAnsi="宋体" w:eastAsia="宋体" w:cs="宋体"/>
                <w:color w:val="000000"/>
                <w:sz w:val="24"/>
                <w:szCs w:val="24"/>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工期</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施工总工期：</w:t>
            </w:r>
            <w:r>
              <w:rPr>
                <w:rFonts w:hint="eastAsia" w:ascii="宋体" w:hAnsi="宋体" w:eastAsia="宋体" w:cs="宋体"/>
                <w:color w:val="000000"/>
                <w:sz w:val="24"/>
                <w:szCs w:val="24"/>
                <w:highlight w:val="none"/>
                <w:u w:val="single"/>
                <w:lang w:val="en-US" w:eastAsia="zh-CN"/>
              </w:rPr>
              <w:t>30</w:t>
            </w:r>
            <w:r>
              <w:rPr>
                <w:rFonts w:hint="eastAsia" w:ascii="宋体" w:hAnsi="宋体" w:eastAsia="宋体" w:cs="宋体"/>
                <w:color w:val="000000"/>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采购内容</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付款方式</w:t>
            </w:r>
          </w:p>
        </w:tc>
        <w:tc>
          <w:tcPr>
            <w:tcW w:w="3782" w:type="pct"/>
            <w:noWrap w:val="0"/>
            <w:vAlign w:val="center"/>
          </w:tcPr>
          <w:p>
            <w:pPr>
              <w:widowControl/>
              <w:spacing w:line="360" w:lineRule="auto"/>
              <w:ind w:firstLine="472" w:firstLineChars="196"/>
              <w:jc w:val="left"/>
              <w:rPr>
                <w:rFonts w:hint="eastAsia" w:ascii="宋体" w:hAnsi="宋体" w:eastAsia="宋体" w:cs="宋体"/>
                <w:b/>
                <w:sz w:val="24"/>
                <w:szCs w:val="24"/>
                <w:highlight w:val="none"/>
                <w:u w:val="single"/>
                <w:lang w:eastAsia="zh-CN"/>
              </w:rPr>
            </w:pPr>
            <w:r>
              <w:rPr>
                <w:rFonts w:hint="eastAsia" w:ascii="宋体" w:hAnsi="宋体" w:eastAsia="宋体" w:cs="宋体"/>
                <w:b/>
                <w:sz w:val="24"/>
                <w:szCs w:val="24"/>
                <w:highlight w:val="none"/>
                <w:u w:val="single"/>
                <w:lang w:eastAsia="zh-CN"/>
              </w:rPr>
              <w:t>本工程无预付款，工程竣工验收合格并</w:t>
            </w:r>
            <w:r>
              <w:rPr>
                <w:rFonts w:hint="eastAsia" w:ascii="宋体" w:hAnsi="宋体" w:cs="宋体"/>
                <w:b/>
                <w:sz w:val="24"/>
                <w:szCs w:val="24"/>
                <w:highlight w:val="none"/>
                <w:u w:val="single"/>
                <w:lang w:val="en-US" w:eastAsia="zh-CN"/>
              </w:rPr>
              <w:t>通电完成后付至合同价款的40%，</w:t>
            </w:r>
            <w:r>
              <w:rPr>
                <w:rFonts w:hint="eastAsia" w:ascii="宋体" w:hAnsi="宋体" w:eastAsia="宋体" w:cs="宋体"/>
                <w:b/>
                <w:sz w:val="24"/>
                <w:szCs w:val="24"/>
                <w:highlight w:val="none"/>
                <w:u w:val="single"/>
                <w:lang w:eastAsia="zh-CN"/>
              </w:rPr>
              <w:t>经工程审计完成后付至审定价款的97%，剩余3%在质保期满后，无质量问题无息付清。工程最终结算造价以审核部门审定的造价为准。</w:t>
            </w:r>
          </w:p>
          <w:p>
            <w:pPr>
              <w:widowControl/>
              <w:spacing w:line="360" w:lineRule="auto"/>
              <w:ind w:firstLine="472" w:firstLineChars="196"/>
              <w:jc w:val="left"/>
              <w:rPr>
                <w:rFonts w:hint="eastAsia" w:ascii="宋体" w:hAnsi="宋体" w:eastAsia="宋体" w:cs="宋体"/>
                <w:b/>
                <w:color w:val="000000"/>
                <w:sz w:val="24"/>
                <w:szCs w:val="24"/>
                <w:highlight w:val="none"/>
                <w:u w:val="single"/>
                <w:lang w:eastAsia="zh-CN"/>
              </w:rPr>
            </w:pPr>
            <w:r>
              <w:rPr>
                <w:rFonts w:hint="eastAsia" w:ascii="宋体" w:hAnsi="宋体" w:eastAsia="宋体" w:cs="宋体"/>
                <w:b/>
                <w:sz w:val="24"/>
                <w:szCs w:val="24"/>
                <w:highlight w:val="none"/>
                <w:u w:val="single"/>
                <w:lang w:eastAsia="zh-CN"/>
              </w:rPr>
              <w:t>为确保工程保质保量按期完工，本项目工程款承包人必须专款专用，如发现承包人挪用工程款现象，由此造成的一切损失均有承包人承担。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磋商响应方资格要求</w:t>
            </w:r>
          </w:p>
        </w:tc>
        <w:tc>
          <w:tcPr>
            <w:tcW w:w="3782" w:type="pct"/>
            <w:noWrap w:val="0"/>
            <w:vAlign w:val="center"/>
          </w:tcPr>
          <w:p>
            <w:pPr>
              <w:pStyle w:val="16"/>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b/>
                <w:bCs/>
                <w:color w:val="000000"/>
                <w:kern w:val="2"/>
                <w:sz w:val="24"/>
                <w:szCs w:val="24"/>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资格审查方式</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磋商有效期</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响应文件份数及装订要求</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一份正本，</w:t>
            </w:r>
            <w:r>
              <w:rPr>
                <w:rFonts w:hint="eastAsia" w:ascii="宋体" w:hAnsi="宋体" w:eastAsia="宋体" w:cs="宋体"/>
                <w:b/>
                <w:bCs/>
                <w:color w:val="000000"/>
                <w:sz w:val="24"/>
                <w:szCs w:val="24"/>
                <w:lang w:val="en-US" w:eastAsia="zh-CN"/>
              </w:rPr>
              <w:t>五</w:t>
            </w:r>
            <w:r>
              <w:rPr>
                <w:rFonts w:hint="eastAsia" w:ascii="宋体" w:hAnsi="宋体" w:eastAsia="宋体" w:cs="宋体"/>
                <w:b/>
                <w:bCs/>
                <w:color w:val="000000"/>
                <w:sz w:val="24"/>
                <w:szCs w:val="24"/>
              </w:rPr>
              <w:t>份副本。</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rPr>
              <w:t>应按竞争性磋商文件提供的格式胶装成册，响应文件的正本与副本应分别装订成册，响应文件每册均须采用胶装方式装订，装订须牢固不易拆散和换页，不得采用活页方式装订。</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lang w:eastAsia="zh-CN"/>
              </w:rPr>
              <w:t>未按上述要求装订的，磋商小组将否决其磋商文件。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cs="宋体"/>
                <w:b/>
                <w:bCs/>
                <w:color w:val="auto"/>
                <w:sz w:val="24"/>
                <w:lang w:eastAsia="zh-CN"/>
              </w:rPr>
              <w:t>响应</w:t>
            </w:r>
            <w:r>
              <w:rPr>
                <w:rFonts w:hint="eastAsia" w:ascii="宋体" w:hAnsi="宋体" w:cs="宋体"/>
                <w:b/>
                <w:bCs/>
                <w:color w:val="auto"/>
                <w:sz w:val="24"/>
              </w:rPr>
              <w:t>文件签字和盖章要求</w:t>
            </w:r>
          </w:p>
        </w:tc>
        <w:tc>
          <w:tcPr>
            <w:tcW w:w="3782" w:type="pct"/>
            <w:noWrap w:val="0"/>
            <w:vAlign w:val="center"/>
          </w:tcPr>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w:t>
            </w:r>
            <w:r>
              <w:rPr>
                <w:rFonts w:hint="eastAsia" w:ascii="宋体" w:hAnsi="宋体" w:cs="宋体"/>
                <w:b/>
                <w:bCs/>
                <w:color w:val="auto"/>
                <w:sz w:val="24"/>
                <w:lang w:eastAsia="zh-CN"/>
              </w:rPr>
              <w:t>、供应商</w:t>
            </w:r>
            <w:r>
              <w:rPr>
                <w:rFonts w:hint="eastAsia" w:ascii="宋体" w:hAnsi="宋体" w:cs="宋体"/>
                <w:b/>
                <w:bCs/>
                <w:color w:val="auto"/>
                <w:sz w:val="24"/>
              </w:rPr>
              <w:t>公章，应为</w:t>
            </w:r>
            <w:r>
              <w:rPr>
                <w:rFonts w:hint="eastAsia" w:ascii="宋体" w:hAnsi="宋体" w:cs="宋体"/>
                <w:b/>
                <w:bCs/>
                <w:color w:val="auto"/>
                <w:sz w:val="24"/>
                <w:lang w:eastAsia="zh-CN"/>
              </w:rPr>
              <w:t>供应商</w:t>
            </w:r>
            <w:r>
              <w:rPr>
                <w:rFonts w:hint="eastAsia" w:ascii="宋体" w:hAnsi="宋体" w:cs="宋体"/>
                <w:b/>
                <w:bCs/>
                <w:color w:val="auto"/>
                <w:sz w:val="24"/>
                <w:highlight w:val="none"/>
              </w:rPr>
              <w:t>行政公章</w:t>
            </w:r>
            <w:r>
              <w:rPr>
                <w:rFonts w:hint="eastAsia" w:ascii="宋体" w:hAnsi="宋体" w:cs="宋体"/>
                <w:b/>
                <w:bCs/>
                <w:color w:val="auto"/>
                <w:sz w:val="24"/>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cs="宋体"/>
                <w:b/>
                <w:bCs/>
                <w:color w:val="auto"/>
                <w:sz w:val="24"/>
              </w:rPr>
              <w:t>2</w:t>
            </w:r>
            <w:r>
              <w:rPr>
                <w:rFonts w:hint="eastAsia" w:ascii="宋体" w:hAnsi="宋体" w:cs="宋体"/>
                <w:b/>
                <w:bCs/>
                <w:color w:val="auto"/>
                <w:sz w:val="24"/>
                <w:lang w:eastAsia="zh-CN"/>
              </w:rPr>
              <w:t>、响应</w:t>
            </w:r>
            <w:r>
              <w:rPr>
                <w:rFonts w:hint="eastAsia" w:ascii="宋体" w:hAnsi="宋体" w:cs="宋体"/>
                <w:b/>
                <w:bCs/>
                <w:color w:val="auto"/>
                <w:sz w:val="24"/>
              </w:rPr>
              <w:t>文件格式规定盖章、签字的地方均应按要求签字、盖章，签字、</w:t>
            </w:r>
            <w:r>
              <w:rPr>
                <w:rFonts w:hint="eastAsia" w:ascii="宋体" w:hAnsi="宋体" w:cs="宋体"/>
                <w:b/>
                <w:bCs/>
                <w:color w:val="auto"/>
                <w:sz w:val="24"/>
                <w:lang w:eastAsia="zh-CN"/>
              </w:rPr>
              <w:t>盖章应清晰可辨，不得涂改；出现漏签、漏盖、无法辨识及任意修改文件格式的，其响应文件予以否决。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响应文件递交地点及截止时间</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递交地点：</w:t>
            </w:r>
            <w:r>
              <w:rPr>
                <w:rFonts w:hint="eastAsia" w:ascii="宋体" w:hAnsi="宋体" w:eastAsia="宋体" w:cs="宋体"/>
                <w:color w:val="000000"/>
                <w:sz w:val="24"/>
                <w:szCs w:val="24"/>
                <w:highlight w:val="none"/>
                <w:lang w:val="en-US" w:eastAsia="zh-CN"/>
              </w:rPr>
              <w:t>邹城市北宿镇公共资源交易中心开标室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截止时间</w:t>
            </w:r>
            <w:r>
              <w:rPr>
                <w:rFonts w:hint="eastAsia" w:ascii="宋体" w:hAnsi="宋体" w:eastAsia="宋体" w:cs="宋体"/>
                <w:color w:val="000000"/>
                <w:sz w:val="24"/>
                <w:szCs w:val="24"/>
                <w:highlight w:val="none"/>
                <w:lang w:eastAsia="zh-CN"/>
              </w:rPr>
              <w:t>：2023年</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eastAsia="zh-CN"/>
              </w:rPr>
              <w:t>月</w:t>
            </w:r>
            <w:r>
              <w:rPr>
                <w:rFonts w:hint="eastAsia" w:ascii="宋体" w:hAnsi="宋体" w:cs="宋体"/>
                <w:color w:val="000000"/>
                <w:sz w:val="24"/>
                <w:szCs w:val="24"/>
                <w:highlight w:val="none"/>
                <w:lang w:val="en-US" w:eastAsia="zh-CN"/>
              </w:rPr>
              <w:t>19</w:t>
            </w:r>
            <w:r>
              <w:rPr>
                <w:rFonts w:hint="eastAsia" w:ascii="宋体" w:hAnsi="宋体" w:eastAsia="宋体" w:cs="宋体"/>
                <w:color w:val="000000"/>
                <w:sz w:val="24"/>
                <w:szCs w:val="24"/>
                <w:highlight w:val="none"/>
                <w:lang w:eastAsia="zh-CN"/>
              </w:rPr>
              <w:t>日</w:t>
            </w:r>
            <w:r>
              <w:rPr>
                <w:rFonts w:hint="eastAsia" w:ascii="宋体" w:hAnsi="宋体" w:cs="宋体"/>
                <w:color w:val="000000"/>
                <w:sz w:val="24"/>
                <w:szCs w:val="24"/>
                <w:highlight w:val="none"/>
                <w:lang w:val="en-US" w:eastAsia="zh-CN"/>
              </w:rPr>
              <w:t>09</w:t>
            </w:r>
            <w:r>
              <w:rPr>
                <w:rFonts w:hint="eastAsia" w:ascii="宋体" w:hAnsi="宋体" w:eastAsia="宋体" w:cs="宋体"/>
                <w:color w:val="000000"/>
                <w:sz w:val="24"/>
                <w:szCs w:val="24"/>
                <w:highlight w:val="none"/>
                <w:lang w:eastAsia="zh-CN"/>
              </w:rPr>
              <w:t>时</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0分</w:t>
            </w:r>
            <w:r>
              <w:rPr>
                <w:rFonts w:hint="eastAsia" w:ascii="宋体" w:hAnsi="宋体" w:eastAsia="宋体" w:cs="宋体"/>
                <w:color w:val="000000"/>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磋商时间及地点</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磋商时间：</w:t>
            </w:r>
            <w:r>
              <w:rPr>
                <w:rFonts w:hint="eastAsia" w:ascii="宋体" w:hAnsi="宋体" w:eastAsia="宋体" w:cs="宋体"/>
                <w:color w:val="000000"/>
                <w:sz w:val="24"/>
                <w:szCs w:val="24"/>
                <w:highlight w:val="none"/>
                <w:lang w:eastAsia="zh-CN"/>
              </w:rPr>
              <w:t>2023年</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eastAsia="zh-CN"/>
              </w:rPr>
              <w:t>月</w:t>
            </w:r>
            <w:r>
              <w:rPr>
                <w:rFonts w:hint="eastAsia" w:ascii="宋体" w:hAnsi="宋体" w:cs="宋体"/>
                <w:color w:val="000000"/>
                <w:sz w:val="24"/>
                <w:szCs w:val="24"/>
                <w:highlight w:val="none"/>
                <w:lang w:val="en-US" w:eastAsia="zh-CN"/>
              </w:rPr>
              <w:t>19</w:t>
            </w:r>
            <w:r>
              <w:rPr>
                <w:rFonts w:hint="eastAsia" w:ascii="宋体" w:hAnsi="宋体" w:eastAsia="宋体" w:cs="宋体"/>
                <w:color w:val="000000"/>
                <w:sz w:val="24"/>
                <w:szCs w:val="24"/>
                <w:highlight w:val="none"/>
                <w:lang w:eastAsia="zh-CN"/>
              </w:rPr>
              <w:t>日</w:t>
            </w:r>
            <w:r>
              <w:rPr>
                <w:rFonts w:hint="eastAsia" w:ascii="宋体" w:hAnsi="宋体" w:cs="宋体"/>
                <w:color w:val="000000"/>
                <w:sz w:val="24"/>
                <w:szCs w:val="24"/>
                <w:highlight w:val="none"/>
                <w:lang w:val="en-US" w:eastAsia="zh-CN"/>
              </w:rPr>
              <w:t>09</w:t>
            </w:r>
            <w:r>
              <w:rPr>
                <w:rFonts w:hint="eastAsia" w:ascii="宋体" w:hAnsi="宋体" w:eastAsia="宋体" w:cs="宋体"/>
                <w:color w:val="000000"/>
                <w:sz w:val="24"/>
                <w:szCs w:val="24"/>
                <w:highlight w:val="none"/>
                <w:lang w:eastAsia="zh-CN"/>
              </w:rPr>
              <w:t>时</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0分</w:t>
            </w:r>
            <w:r>
              <w:rPr>
                <w:rFonts w:hint="eastAsia" w:ascii="宋体" w:hAnsi="宋体" w:eastAsia="宋体" w:cs="宋体"/>
                <w:color w:val="000000"/>
                <w:kern w:val="0"/>
                <w:sz w:val="24"/>
                <w:szCs w:val="24"/>
                <w:highlight w:val="none"/>
              </w:rPr>
              <w:t>（北京时间）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磋商地点：</w:t>
            </w:r>
            <w:r>
              <w:rPr>
                <w:rFonts w:hint="eastAsia" w:ascii="宋体" w:hAnsi="宋体" w:eastAsia="宋体" w:cs="宋体"/>
                <w:color w:val="000000"/>
                <w:sz w:val="24"/>
                <w:szCs w:val="24"/>
                <w:highlight w:val="none"/>
                <w:lang w:val="en-US" w:eastAsia="zh-CN"/>
              </w:rPr>
              <w:t>邹城市北宿镇公共资源交易中心开标室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成交原则</w:t>
            </w:r>
          </w:p>
        </w:tc>
        <w:tc>
          <w:tcPr>
            <w:tcW w:w="3782" w:type="pct"/>
            <w:noWrap w:val="0"/>
            <w:vAlign w:val="center"/>
          </w:tcPr>
          <w:p>
            <w:pPr>
              <w:keepNext w:val="0"/>
              <w:keepLines w:val="0"/>
              <w:pageBreakBefore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总得分相同者，按最终报价低的名次在前；总得分相同，最终报价也相同的，施工组织设计总得分高者排名优先</w:t>
            </w:r>
            <w:r>
              <w:rPr>
                <w:rFonts w:hint="eastAsia" w:ascii="宋体" w:hAnsi="宋体" w:eastAsia="宋体" w:cs="宋体"/>
                <w:color w:val="000000"/>
                <w:sz w:val="24"/>
                <w:szCs w:val="24"/>
                <w:highlight w:val="none"/>
              </w:rPr>
              <w:t>；</w:t>
            </w:r>
            <w:r>
              <w:rPr>
                <w:rFonts w:hint="eastAsia" w:ascii="宋体" w:hAnsi="宋体" w:eastAsia="宋体" w:cs="宋体"/>
                <w:b/>
                <w:color w:val="000000"/>
                <w:sz w:val="24"/>
                <w:szCs w:val="24"/>
                <w:highlight w:val="none"/>
              </w:rPr>
              <w:t>总得分相同，最终报价、施工组织设计也相同的，依次按项目管理机构和</w:t>
            </w:r>
            <w:r>
              <w:rPr>
                <w:rFonts w:hint="eastAsia" w:ascii="宋体" w:hAnsi="宋体" w:eastAsia="宋体" w:cs="宋体"/>
                <w:b/>
                <w:bCs/>
                <w:color w:val="000000"/>
                <w:sz w:val="24"/>
                <w:szCs w:val="24"/>
                <w:highlight w:val="none"/>
              </w:rPr>
              <w:t>其他因素评分标准的高低顺序</w:t>
            </w:r>
            <w:r>
              <w:rPr>
                <w:rFonts w:hint="eastAsia" w:ascii="宋体" w:hAnsi="宋体" w:eastAsia="宋体" w:cs="宋体"/>
                <w:b/>
                <w:color w:val="000000"/>
                <w:sz w:val="24"/>
                <w:szCs w:val="24"/>
                <w:highlight w:val="none"/>
              </w:rPr>
              <w:t>确定排序。</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2、评分分值计算保留小数点后两位，小数点后第三位“四舍五入”。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磋商费用</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1、无论报价过程中的方法和结果如何，各磋商响应方自行承担所有参与磋商的有关费用。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2、本次采购代理费、编制费由成交供应商支付，共计人民币大写:</w:t>
            </w:r>
            <w:r>
              <w:rPr>
                <w:rFonts w:hint="eastAsia" w:ascii="宋体" w:hAnsi="宋体" w:eastAsia="宋体" w:cs="宋体"/>
                <w:color w:val="000000"/>
                <w:sz w:val="24"/>
                <w:szCs w:val="24"/>
                <w:highlight w:val="none"/>
                <w:lang w:val="en-US" w:eastAsia="zh-CN"/>
              </w:rPr>
              <w:t>叁万捌仟伍佰肆拾元整</w:t>
            </w: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lang w:val="en-US" w:eastAsia="zh-CN"/>
              </w:rPr>
              <w:t>38540.00</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其中，代理费31000.00元，评审费7540.00元）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磋商采购预算</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本工程采购预算（控制价）为</w:t>
            </w:r>
            <w:r>
              <w:rPr>
                <w:rFonts w:hint="eastAsia" w:ascii="宋体" w:hAnsi="宋体" w:cs="宋体"/>
                <w:b/>
                <w:bCs/>
                <w:kern w:val="0"/>
                <w:sz w:val="24"/>
                <w:szCs w:val="24"/>
                <w:lang w:val="en-US" w:eastAsia="zh-CN"/>
              </w:rPr>
              <w:t>2342102.12</w:t>
            </w:r>
            <w:r>
              <w:rPr>
                <w:rFonts w:hint="eastAsia" w:ascii="宋体" w:hAnsi="宋体" w:eastAsia="宋体" w:cs="宋体"/>
                <w:b/>
                <w:bCs/>
                <w:color w:val="000000"/>
                <w:sz w:val="24"/>
                <w:szCs w:val="24"/>
                <w:highlight w:val="none"/>
              </w:rPr>
              <w:t>元。</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采购预算价是采购人对采购项目期望的最高限价，磋商响应方的初次报价或最终报价不得高于采购预算价，</w:t>
            </w:r>
            <w:r>
              <w:rPr>
                <w:rFonts w:hint="eastAsia" w:ascii="宋体" w:hAnsi="宋体" w:eastAsia="宋体" w:cs="宋体"/>
                <w:b/>
                <w:bCs/>
                <w:color w:val="000000"/>
                <w:sz w:val="24"/>
                <w:szCs w:val="24"/>
                <w:highlight w:val="none"/>
                <w:lang w:eastAsia="zh-CN"/>
              </w:rPr>
              <w:t>且最终报价不得高于初次报价，</w:t>
            </w:r>
            <w:r>
              <w:rPr>
                <w:rFonts w:hint="eastAsia" w:ascii="宋体" w:hAnsi="宋体" w:eastAsia="宋体" w:cs="宋体"/>
                <w:b/>
                <w:bCs/>
                <w:color w:val="000000"/>
                <w:sz w:val="24"/>
                <w:szCs w:val="24"/>
                <w:highlight w:val="none"/>
              </w:rPr>
              <w:t>磋商响应方</w:t>
            </w:r>
            <w:r>
              <w:rPr>
                <w:rFonts w:hint="eastAsia" w:ascii="宋体" w:hAnsi="宋体" w:eastAsia="宋体" w:cs="宋体"/>
                <w:b/>
                <w:bCs/>
                <w:color w:val="000000"/>
                <w:sz w:val="24"/>
                <w:szCs w:val="24"/>
                <w:highlight w:val="none"/>
                <w:lang w:eastAsia="zh-CN"/>
              </w:rPr>
              <w:t>最终</w:t>
            </w:r>
            <w:r>
              <w:rPr>
                <w:rFonts w:hint="eastAsia" w:ascii="宋体" w:hAnsi="宋体" w:eastAsia="宋体" w:cs="宋体"/>
                <w:b/>
                <w:bCs/>
                <w:color w:val="000000"/>
                <w:sz w:val="24"/>
                <w:szCs w:val="24"/>
                <w:highlight w:val="none"/>
              </w:rPr>
              <w:t>报价高于采购预算价</w:t>
            </w:r>
            <w:r>
              <w:rPr>
                <w:rFonts w:hint="eastAsia" w:ascii="宋体" w:hAnsi="宋体" w:eastAsia="宋体" w:cs="宋体"/>
                <w:b/>
                <w:bCs/>
                <w:color w:val="000000"/>
                <w:sz w:val="24"/>
                <w:szCs w:val="24"/>
                <w:highlight w:val="none"/>
                <w:lang w:eastAsia="zh-CN"/>
              </w:rPr>
              <w:t>和初次报价</w:t>
            </w:r>
            <w:r>
              <w:rPr>
                <w:rFonts w:hint="eastAsia" w:ascii="宋体" w:hAnsi="宋体" w:eastAsia="宋体" w:cs="宋体"/>
                <w:b/>
                <w:bCs/>
                <w:color w:val="000000"/>
                <w:sz w:val="24"/>
                <w:szCs w:val="24"/>
                <w:highlight w:val="none"/>
              </w:rPr>
              <w:t>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质疑投诉内容</w:t>
            </w:r>
          </w:p>
        </w:tc>
        <w:tc>
          <w:tcPr>
            <w:tcW w:w="3782"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根据《政府采购法实施条例》第二十条规定：采购人或者采购代理机构有下列情形之一的，属于以不合理的条件对</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实行差别待遇或者歧视待遇：潜在磋商响应方（</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）可向有关部门提起质疑、投诉：</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（一）就同一采购项目向</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提供有差别的项目信息；</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（二）设定的资格、技术、商务条件与采购项目的具体特点和实际需要不相适应或者与合同履行无关；</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（三）采购需求中的技术、服务等要求指向特定</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、特定产品；</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（四）以特定行政区域或者特定行业的业绩、奖项作为加分条件或者中标、成交条件；</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（五）对</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采取不同的资格审查或者评审标准；</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（六）限定或者指定特定的专利、商标、品牌或者</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（七）非法限定</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的所有制形式、组织形式或者所在地；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bCs/>
                <w:color w:val="000000"/>
                <w:kern w:val="0"/>
                <w:sz w:val="24"/>
                <w:szCs w:val="24"/>
              </w:rPr>
              <w:t>（八）以其他不合理条件限制或者排斥潜在</w:t>
            </w:r>
            <w:r>
              <w:rPr>
                <w:rFonts w:hint="eastAsia" w:ascii="宋体" w:hAnsi="宋体" w:eastAsia="宋体" w:cs="宋体"/>
                <w:color w:val="000000"/>
                <w:sz w:val="24"/>
                <w:szCs w:val="24"/>
              </w:rPr>
              <w:t>供应商</w:t>
            </w:r>
            <w:r>
              <w:rPr>
                <w:rFonts w:hint="eastAsia" w:ascii="宋体" w:hAnsi="宋体" w:eastAsia="宋体" w:cs="宋体"/>
                <w:color w:val="000000"/>
                <w:kern w:val="0"/>
                <w:sz w:val="24"/>
                <w:szCs w:val="24"/>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在法定质疑期内需一次性提出针对同一采购程序环节的质疑。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质疑方式及电话</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eastAsia="宋体" w:cs="宋体"/>
                <w:color w:val="000000"/>
                <w:sz w:val="24"/>
                <w:szCs w:val="24"/>
                <w:lang w:val="en-US" w:eastAsia="zh-CN"/>
              </w:rPr>
              <w:t>sdygzdjnfgs@163.com。</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投诉：参加磋商的供应商对采购人的质疑答复不满意，或者采购人未在规定期限内作出答复的，供应商可以在答复期满后可以向相关监督部门投诉。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本次磋商是否接受联合体</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本次磋商是否接受备选方案</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建设工地扬尘污染防治</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rPr>
            </w:pPr>
            <w:r>
              <w:rPr>
                <w:rFonts w:hint="eastAsia" w:ascii="宋体" w:hAnsi="宋体" w:eastAsia="宋体" w:cs="宋体"/>
                <w:b/>
                <w:bCs w:val="0"/>
                <w:color w:val="000000"/>
                <w:sz w:val="24"/>
                <w:szCs w:val="24"/>
                <w:lang w:val="en-US" w:eastAsia="zh-CN"/>
              </w:rPr>
              <w:t>执行《济宁市建筑工地扬尘治理工作导则》（二〇二〇年十一月济宁市住房和城乡建筑局发布）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农民工工资支付</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按邹政办字【2017】85 号文件执行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restar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highlight w:val="none"/>
                <w:lang w:val="en-US" w:eastAsia="zh-CN"/>
              </w:rPr>
              <w:t>22</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highlight w:val="none"/>
              </w:rPr>
              <w:t>磋商保证金</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80" w:lineRule="atLeast"/>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磋商保证金的形式：</w:t>
            </w:r>
            <w:r>
              <w:rPr>
                <w:rFonts w:hint="eastAsia" w:ascii="宋体" w:hAnsi="宋体" w:eastAsia="宋体" w:cs="宋体"/>
                <w:b/>
                <w:color w:val="000000"/>
                <w:sz w:val="24"/>
                <w:szCs w:val="24"/>
                <w:highlight w:val="none"/>
              </w:rPr>
              <w:t>电汇或</w:t>
            </w:r>
            <w:r>
              <w:rPr>
                <w:rFonts w:hint="eastAsia" w:ascii="宋体" w:hAnsi="宋体" w:eastAsia="宋体" w:cs="宋体"/>
                <w:b/>
                <w:color w:val="000000"/>
                <w:sz w:val="24"/>
                <w:szCs w:val="24"/>
                <w:highlight w:val="none"/>
                <w:lang w:eastAsia="zh-CN"/>
              </w:rPr>
              <w:t>网上银行</w:t>
            </w:r>
            <w:r>
              <w:rPr>
                <w:rFonts w:hint="eastAsia" w:ascii="宋体" w:hAnsi="宋体" w:eastAsia="宋体" w:cs="宋体"/>
                <w:b/>
                <w:color w:val="000000"/>
                <w:sz w:val="24"/>
                <w:szCs w:val="24"/>
                <w:highlight w:val="none"/>
              </w:rPr>
              <w:t>（应从磋商响应方的账户转来），其他形式的磋商保证金或非磋商响应方账户转来的磋商保证金视为无效。磋商保证金应当在磋商响应文件递交截止时间前到达指定账户（以实际到账时间为准）。磋商响应方提交磋商保证金时必须计算资金在途时间，由于资金没有及时到帐而造成的后果，由磋商响应方自行承担。</w:t>
            </w:r>
          </w:p>
          <w:p>
            <w:pPr>
              <w:keepNext w:val="0"/>
              <w:keepLines w:val="0"/>
              <w:pageBreakBefore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磋商保证金的金额：</w:t>
            </w:r>
          </w:p>
          <w:p>
            <w:pPr>
              <w:keepNext w:val="0"/>
              <w:keepLines w:val="0"/>
              <w:pageBreakBefore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人民币小写：</w:t>
            </w:r>
            <w:r>
              <w:rPr>
                <w:rFonts w:hint="eastAsia" w:ascii="宋体" w:hAnsi="宋体" w:eastAsia="宋体" w:cs="宋体"/>
                <w:color w:val="000000"/>
                <w:sz w:val="24"/>
                <w:szCs w:val="24"/>
                <w:highlight w:val="none"/>
                <w:u w:val="single"/>
                <w:lang w:val="en-US" w:eastAsia="zh-CN"/>
              </w:rPr>
              <w:t>40000.00</w:t>
            </w:r>
            <w:r>
              <w:rPr>
                <w:rFonts w:hint="eastAsia" w:ascii="宋体" w:hAnsi="宋体" w:eastAsia="宋体" w:cs="宋体"/>
                <w:color w:val="000000"/>
                <w:sz w:val="24"/>
                <w:szCs w:val="24"/>
                <w:highlight w:val="none"/>
              </w:rPr>
              <w:t>元，大写：</w:t>
            </w:r>
            <w:r>
              <w:rPr>
                <w:rFonts w:hint="eastAsia" w:ascii="宋体" w:hAnsi="宋体" w:eastAsia="宋体" w:cs="宋体"/>
                <w:color w:val="000000"/>
                <w:sz w:val="24"/>
                <w:szCs w:val="24"/>
                <w:highlight w:val="none"/>
                <w:u w:val="single"/>
                <w:lang w:val="en-US" w:eastAsia="zh-CN"/>
              </w:rPr>
              <w:t>肆万元整</w:t>
            </w:r>
            <w:r>
              <w:rPr>
                <w:rFonts w:hint="eastAsia" w:ascii="宋体" w:hAnsi="宋体" w:eastAsia="宋体" w:cs="宋体"/>
                <w:color w:val="000000"/>
                <w:sz w:val="24"/>
                <w:szCs w:val="24"/>
                <w:highlight w:val="none"/>
              </w:rPr>
              <w:t>；</w:t>
            </w:r>
          </w:p>
          <w:p>
            <w:pPr>
              <w:snapToGrid w:val="0"/>
              <w:spacing w:line="460" w:lineRule="exact"/>
              <w:ind w:firstLine="482"/>
              <w:jc w:val="left"/>
              <w:rPr>
                <w:rFonts w:hint="default" w:ascii="宋体" w:hAnsi="宋体" w:eastAsia="宋体" w:cs="宋体"/>
                <w:b/>
                <w:sz w:val="24"/>
                <w:szCs w:val="24"/>
                <w:lang w:val="en-US" w:eastAsia="zh-CN"/>
              </w:rPr>
            </w:pPr>
            <w:r>
              <w:rPr>
                <w:rFonts w:hint="eastAsia" w:ascii="宋体" w:hAnsi="宋体" w:eastAsia="宋体" w:cs="宋体"/>
                <w:b/>
                <w:sz w:val="24"/>
                <w:szCs w:val="24"/>
              </w:rPr>
              <w:t>开户单位：</w:t>
            </w:r>
            <w:r>
              <w:rPr>
                <w:rFonts w:hint="eastAsia" w:ascii="宋体" w:hAnsi="宋体" w:eastAsia="宋体" w:cs="宋体"/>
                <w:b/>
                <w:sz w:val="24"/>
                <w:szCs w:val="24"/>
                <w:lang w:eastAsia="zh-CN"/>
              </w:rPr>
              <w:t>山东阳光正大建设项目管理有限公司</w:t>
            </w:r>
            <w:r>
              <w:rPr>
                <w:rFonts w:hint="eastAsia" w:ascii="宋体" w:hAnsi="宋体" w:eastAsia="宋体" w:cs="宋体"/>
                <w:b/>
                <w:sz w:val="24"/>
                <w:szCs w:val="24"/>
                <w:lang w:val="en-US" w:eastAsia="zh-CN"/>
              </w:rPr>
              <w:t>济宁分公司</w:t>
            </w:r>
          </w:p>
          <w:p>
            <w:pPr>
              <w:snapToGrid w:val="0"/>
              <w:spacing w:line="460" w:lineRule="exact"/>
              <w:ind w:firstLine="482"/>
              <w:jc w:val="left"/>
              <w:rPr>
                <w:rFonts w:hint="default" w:ascii="宋体" w:hAnsi="宋体" w:eastAsia="宋体" w:cs="宋体"/>
                <w:b/>
                <w:sz w:val="24"/>
                <w:szCs w:val="24"/>
                <w:lang w:val="en-US" w:eastAsia="zh-CN"/>
              </w:rPr>
            </w:pPr>
            <w:r>
              <w:rPr>
                <w:rFonts w:hint="eastAsia" w:ascii="宋体" w:hAnsi="宋体" w:eastAsia="宋体" w:cs="宋体"/>
                <w:b/>
                <w:sz w:val="24"/>
                <w:szCs w:val="24"/>
              </w:rPr>
              <w:t>开户银行：中国工商银行</w:t>
            </w:r>
            <w:r>
              <w:rPr>
                <w:rFonts w:hint="eastAsia" w:ascii="宋体" w:hAnsi="宋体" w:eastAsia="宋体" w:cs="宋体"/>
                <w:b/>
                <w:sz w:val="24"/>
                <w:szCs w:val="24"/>
                <w:lang w:val="en-US" w:eastAsia="zh-CN"/>
              </w:rPr>
              <w:t>邹城支行</w:t>
            </w:r>
          </w:p>
          <w:p>
            <w:pPr>
              <w:snapToGrid w:val="0"/>
              <w:spacing w:line="460" w:lineRule="exact"/>
              <w:ind w:firstLine="482"/>
              <w:jc w:val="left"/>
              <w:rPr>
                <w:rFonts w:hint="default" w:ascii="宋体" w:hAnsi="宋体" w:eastAsia="宋体" w:cs="宋体"/>
                <w:b/>
                <w:sz w:val="24"/>
                <w:szCs w:val="24"/>
                <w:lang w:val="en-US" w:eastAsia="zh-CN"/>
              </w:rPr>
            </w:pPr>
            <w:r>
              <w:rPr>
                <w:rFonts w:hint="eastAsia" w:ascii="宋体" w:hAnsi="宋体" w:eastAsia="宋体" w:cs="宋体"/>
                <w:b/>
                <w:sz w:val="24"/>
                <w:szCs w:val="24"/>
              </w:rPr>
              <w:t>账号：1608003009200400779</w:t>
            </w:r>
          </w:p>
          <w:p>
            <w:pPr>
              <w:keepNext w:val="0"/>
              <w:keepLines w:val="0"/>
              <w:pageBreakBefore w:val="0"/>
              <w:kinsoku/>
              <w:wordWrap/>
              <w:overflowPunct/>
              <w:topLinePunct w:val="0"/>
              <w:autoSpaceDE/>
              <w:autoSpaceDN/>
              <w:bidi w:val="0"/>
              <w:adjustRightInd/>
              <w:snapToGrid/>
              <w:spacing w:line="380" w:lineRule="atLeast"/>
              <w:textAlignment w:val="auto"/>
              <w:rPr>
                <w:rFonts w:hint="eastAsia" w:ascii="宋体" w:hAnsi="宋体" w:eastAsia="宋体" w:cs="宋体"/>
                <w:b/>
                <w:color w:val="000000"/>
                <w:sz w:val="24"/>
                <w:szCs w:val="24"/>
                <w:highlight w:val="none"/>
              </w:rPr>
            </w:pPr>
            <w:r>
              <w:rPr>
                <w:rFonts w:hint="eastAsia" w:ascii="宋体" w:hAnsi="宋体" w:eastAsia="宋体" w:cs="宋体"/>
                <w:b w:val="0"/>
                <w:bCs/>
                <w:color w:val="000000"/>
                <w:sz w:val="24"/>
                <w:szCs w:val="24"/>
                <w:highlight w:val="none"/>
              </w:rPr>
              <w:t>注：</w:t>
            </w:r>
            <w:r>
              <w:rPr>
                <w:rFonts w:hint="eastAsia" w:ascii="宋体" w:hAnsi="宋体" w:eastAsia="宋体" w:cs="宋体"/>
                <w:color w:val="000000"/>
                <w:sz w:val="24"/>
                <w:szCs w:val="24"/>
                <w:highlight w:val="none"/>
              </w:rPr>
              <w:t>1.磋商保证金注明“</w:t>
            </w:r>
            <w:r>
              <w:rPr>
                <w:rFonts w:hint="eastAsia" w:ascii="宋体" w:hAnsi="宋体" w:cs="宋体"/>
                <w:color w:val="000000"/>
                <w:sz w:val="24"/>
                <w:szCs w:val="24"/>
                <w:highlight w:val="none"/>
                <w:lang w:eastAsia="zh-CN"/>
              </w:rPr>
              <w:t>邹城市北宿镇圣和花园南区10KV配电工程</w:t>
            </w:r>
            <w:r>
              <w:rPr>
                <w:rFonts w:hint="eastAsia" w:ascii="宋体" w:hAnsi="宋体" w:eastAsia="宋体" w:cs="宋体"/>
                <w:color w:val="000000"/>
                <w:kern w:val="0"/>
                <w:sz w:val="24"/>
                <w:szCs w:val="24"/>
                <w:highlight w:val="none"/>
              </w:rPr>
              <w:t>”</w:t>
            </w:r>
          </w:p>
          <w:p>
            <w:pPr>
              <w:keepNext w:val="0"/>
              <w:keepLines w:val="0"/>
              <w:pageBreakBefore w:val="0"/>
              <w:kinsoku/>
              <w:wordWrap/>
              <w:overflowPunct/>
              <w:topLinePunct w:val="0"/>
              <w:autoSpaceDE/>
              <w:autoSpaceDN/>
              <w:bidi w:val="0"/>
              <w:adjustRightInd/>
              <w:snapToGrid/>
              <w:spacing w:line="380" w:lineRule="atLeast"/>
              <w:jc w:val="left"/>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highlight w:val="none"/>
              </w:rPr>
              <w:t>2.未成交磋商响应方的磋商保证金应当在成交通知书发出后5个工作日内退还，成交磋商响应方的磋商保证金</w:t>
            </w:r>
            <w:r>
              <w:rPr>
                <w:rFonts w:hint="eastAsia" w:ascii="宋体" w:hAnsi="宋体" w:eastAsia="宋体" w:cs="宋体"/>
                <w:color w:val="000000"/>
                <w:sz w:val="24"/>
                <w:szCs w:val="24"/>
                <w:highlight w:val="none"/>
                <w:lang w:val="en-US" w:eastAsia="zh-CN"/>
              </w:rPr>
              <w:t>在扣除代理费用后</w:t>
            </w:r>
            <w:r>
              <w:rPr>
                <w:rFonts w:hint="eastAsia" w:ascii="宋体" w:hAnsi="宋体" w:eastAsia="宋体" w:cs="宋体"/>
                <w:color w:val="000000"/>
                <w:sz w:val="24"/>
                <w:szCs w:val="24"/>
                <w:highlight w:val="none"/>
              </w:rPr>
              <w:t>应当在采购合同签订后5个工作日内退还。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continue"/>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color w:val="000000"/>
                <w:sz w:val="24"/>
                <w:szCs w:val="24"/>
                <w:highlight w:val="none"/>
                <w:lang w:val="en-US" w:eastAsia="zh-CN"/>
              </w:rPr>
            </w:pPr>
          </w:p>
        </w:tc>
        <w:tc>
          <w:tcPr>
            <w:tcW w:w="846"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color w:val="000000"/>
                <w:sz w:val="24"/>
                <w:szCs w:val="24"/>
                <w:highlight w:val="none"/>
              </w:rPr>
            </w:pPr>
            <w:r>
              <w:rPr>
                <w:rFonts w:hint="eastAsia" w:ascii="宋体" w:hAnsi="宋体" w:cs="宋体"/>
                <w:b/>
                <w:bCs/>
                <w:color w:val="auto"/>
                <w:sz w:val="24"/>
                <w:lang w:eastAsia="zh-CN"/>
              </w:rPr>
              <w:t>磋商保证金不予退还的情况</w:t>
            </w:r>
          </w:p>
        </w:tc>
        <w:tc>
          <w:tcPr>
            <w:tcW w:w="3782" w:type="pct"/>
            <w:noWrap w:val="0"/>
            <w:vAlign w:val="center"/>
          </w:tcPr>
          <w:p>
            <w:pPr>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（一）供应商在提交响应文件截止时间后撤回响应文件的（已提交响应文件的供应商，在提交最后报价之前，可以根据磋商情况退出磋商。应当退还退出磋商的供应商的磋商保证金。）；</w:t>
            </w:r>
          </w:p>
          <w:p>
            <w:pPr>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（二）供应商在响应文件中提供虚假材料的；</w:t>
            </w:r>
          </w:p>
          <w:p>
            <w:pPr>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（三）除因不可抗力或磋商文件认可的情形以外，成交供应商不与采购人签订合同的；</w:t>
            </w:r>
          </w:p>
          <w:p>
            <w:pPr>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（四）供应商与采购人、其他供应商或者采购代理机构恶意串通的；</w:t>
            </w:r>
          </w:p>
          <w:p>
            <w:pPr>
              <w:keepNext w:val="0"/>
              <w:keepLines w:val="0"/>
              <w:pageBreakBefore w:val="0"/>
              <w:kinsoku/>
              <w:wordWrap/>
              <w:overflowPunct/>
              <w:topLinePunct w:val="0"/>
              <w:autoSpaceDE/>
              <w:autoSpaceDN/>
              <w:bidi w:val="0"/>
              <w:adjustRightInd/>
              <w:snapToGrid/>
              <w:spacing w:line="380" w:lineRule="atLeast"/>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五</w:t>
            </w:r>
            <w:r>
              <w:rPr>
                <w:rFonts w:hint="eastAsia" w:ascii="宋体" w:hAnsi="宋体" w:eastAsia="宋体" w:cs="宋体"/>
                <w:b/>
                <w:bCs/>
                <w:color w:val="000000"/>
                <w:sz w:val="24"/>
                <w:szCs w:val="24"/>
              </w:rPr>
              <w:t>）磋商文件规定的其他情形。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23</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color w:val="000000"/>
                <w:sz w:val="24"/>
                <w:szCs w:val="24"/>
                <w:highlight w:val="none"/>
              </w:rPr>
            </w:pPr>
            <w:r>
              <w:rPr>
                <w:rFonts w:hint="eastAsia" w:ascii="宋体" w:hAnsi="宋体" w:cs="宋体"/>
                <w:b/>
                <w:bCs/>
                <w:color w:val="auto"/>
                <w:sz w:val="24"/>
                <w:lang w:val="en-US" w:eastAsia="zh-CN"/>
              </w:rPr>
              <w:t>供应商证件材料的提交</w:t>
            </w:r>
          </w:p>
        </w:tc>
        <w:tc>
          <w:tcPr>
            <w:tcW w:w="3782" w:type="pct"/>
            <w:noWrap w:val="0"/>
            <w:vAlign w:val="center"/>
          </w:tcPr>
          <w:p>
            <w:pPr>
              <w:tabs>
                <w:tab w:val="left" w:pos="180"/>
              </w:tabs>
              <w:snapToGrid w:val="0"/>
              <w:spacing w:line="360" w:lineRule="auto"/>
              <w:jc w:val="left"/>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供应商应提交的相关证件资料如下（如未特别说明，则均为原件）：</w:t>
            </w:r>
          </w:p>
          <w:p>
            <w:pPr>
              <w:tabs>
                <w:tab w:val="left" w:pos="180"/>
              </w:tabs>
              <w:snapToGrid w:val="0"/>
              <w:spacing w:line="360" w:lineRule="auto"/>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1、供应商资格验证证件资料：</w:t>
            </w:r>
          </w:p>
          <w:p>
            <w:pPr>
              <w:tabs>
                <w:tab w:val="left" w:pos="180"/>
              </w:tabs>
              <w:snapToGrid w:val="0"/>
              <w:spacing w:line="360" w:lineRule="auto"/>
              <w:ind w:firstLine="482" w:firstLineChars="2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（1）营业执照原件；</w:t>
            </w:r>
          </w:p>
          <w:p>
            <w:pPr>
              <w:tabs>
                <w:tab w:val="left" w:pos="180"/>
              </w:tabs>
              <w:snapToGrid w:val="0"/>
              <w:spacing w:line="360" w:lineRule="auto"/>
              <w:ind w:firstLine="482" w:firstLineChars="2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（2）资质证书原件或加盖公章的复印件；</w:t>
            </w:r>
          </w:p>
          <w:p>
            <w:pPr>
              <w:tabs>
                <w:tab w:val="left" w:pos="180"/>
              </w:tabs>
              <w:snapToGrid w:val="0"/>
              <w:spacing w:line="360" w:lineRule="auto"/>
              <w:ind w:firstLine="482" w:firstLineChars="2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（3）安全生产许可证副本原件；</w:t>
            </w:r>
          </w:p>
          <w:p>
            <w:pPr>
              <w:tabs>
                <w:tab w:val="left" w:pos="180"/>
              </w:tabs>
              <w:snapToGrid w:val="0"/>
              <w:spacing w:line="360" w:lineRule="auto"/>
              <w:ind w:firstLine="482" w:firstLineChars="2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（4）建造师注册证原件及建造师安全生产考核合格证原件；</w:t>
            </w:r>
          </w:p>
          <w:p>
            <w:pPr>
              <w:tabs>
                <w:tab w:val="left" w:pos="180"/>
              </w:tabs>
              <w:snapToGrid w:val="0"/>
              <w:spacing w:line="360" w:lineRule="auto"/>
              <w:ind w:firstLine="482" w:firstLineChars="200"/>
              <w:jc w:val="left"/>
              <w:rPr>
                <w:rFonts w:hint="eastAsia"/>
                <w:lang w:val="en-US" w:eastAsia="zh-CN"/>
              </w:rPr>
            </w:pPr>
            <w:r>
              <w:rPr>
                <w:rFonts w:hint="eastAsia" w:ascii="宋体" w:hAnsi="宋体" w:eastAsia="宋体" w:cs="宋体"/>
                <w:b/>
                <w:bCs/>
                <w:color w:val="auto"/>
                <w:sz w:val="24"/>
                <w:lang w:val="en-US" w:eastAsia="zh-CN"/>
              </w:rPr>
              <w:t>（5）磋商保证金交纳凭证原件；</w:t>
            </w:r>
          </w:p>
          <w:p>
            <w:pPr>
              <w:tabs>
                <w:tab w:val="left" w:pos="180"/>
              </w:tabs>
              <w:snapToGrid w:val="0"/>
              <w:spacing w:line="360" w:lineRule="auto"/>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2、磋商文件第三部分评审办法中要求的资料证件：</w:t>
            </w:r>
          </w:p>
          <w:p>
            <w:pPr>
              <w:tabs>
                <w:tab w:val="left" w:pos="180"/>
              </w:tabs>
              <w:snapToGrid w:val="0"/>
              <w:spacing w:line="360" w:lineRule="auto"/>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按照本磋商文件“第三部分磋商组织、步骤与评审方法”中规定，应提供的资料证件。</w:t>
            </w:r>
          </w:p>
          <w:p>
            <w:pPr>
              <w:tabs>
                <w:tab w:val="left" w:pos="180"/>
              </w:tabs>
              <w:snapToGrid w:val="0"/>
              <w:spacing w:line="360" w:lineRule="auto"/>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备注：（1）上述证件、资料未按要求递交、提供或者提供不全的，则：或不予接受其磋商，或磋商小组根据磋商文件规定否决其磋商，或按评分办法规定对相应内容不予计分。</w:t>
            </w:r>
          </w:p>
          <w:p>
            <w:pPr>
              <w:tabs>
                <w:tab w:val="left" w:pos="180"/>
              </w:tabs>
              <w:snapToGrid w:val="0"/>
              <w:spacing w:line="360" w:lineRule="auto"/>
              <w:ind w:firstLine="723" w:firstLineChars="3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上述材料的复印件，须编制在响应文件中，是响应文件的有效组成内容。评标是响应文件的评审，其相关原件仅作为对响应文件进行核实使用。若供应商未将复印件编制在响应文件中，则：涉及资格等无效磋商响应文件的，将否决其磋商；涉及评分项目的，将不予计分。且不因具有原件材料而改变。</w:t>
            </w:r>
          </w:p>
          <w:p>
            <w:pPr>
              <w:tabs>
                <w:tab w:val="left" w:pos="180"/>
              </w:tabs>
              <w:snapToGrid w:val="0"/>
              <w:spacing w:line="360" w:lineRule="auto"/>
              <w:ind w:firstLine="723" w:firstLineChars="3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（3）若部分响应文件中没有编制、装订相关复印件，则以响应文件正本为准，若正本中有则视为有复印件，正本中没有则视为没有复印件。若正本中有原件而副本中没有复印件，则视为有复印件。</w:t>
            </w:r>
          </w:p>
          <w:p>
            <w:pPr>
              <w:keepNext w:val="0"/>
              <w:keepLines w:val="0"/>
              <w:pageBreakBefore w:val="0"/>
              <w:kinsoku/>
              <w:wordWrap/>
              <w:overflowPunct/>
              <w:topLinePunct w:val="0"/>
              <w:autoSpaceDE/>
              <w:autoSpaceDN/>
              <w:bidi w:val="0"/>
              <w:adjustRightInd/>
              <w:snapToGrid/>
              <w:spacing w:line="380" w:lineRule="atLeast"/>
              <w:jc w:val="left"/>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24</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cs="宋体"/>
                <w:b/>
                <w:bCs/>
                <w:color w:val="auto"/>
                <w:sz w:val="24"/>
                <w:lang w:val="en-US" w:eastAsia="zh-CN"/>
              </w:rPr>
            </w:pPr>
            <w:r>
              <w:rPr>
                <w:rFonts w:hint="eastAsia" w:ascii="宋体" w:hAnsi="宋体" w:eastAsia="宋体" w:cs="宋体"/>
                <w:b/>
                <w:bCs/>
                <w:color w:val="000000"/>
                <w:sz w:val="24"/>
                <w:szCs w:val="24"/>
                <w:lang w:eastAsia="zh-CN"/>
              </w:rPr>
              <w:t>响应供应商不足三家</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80" w:lineRule="atLeast"/>
              <w:jc w:val="left"/>
              <w:textAlignment w:val="auto"/>
              <w:rPr>
                <w:rFonts w:hint="eastAsia" w:ascii="宋体" w:hAnsi="宋体" w:eastAsia="宋体" w:cs="宋体"/>
                <w:color w:val="000000"/>
                <w:sz w:val="24"/>
                <w:szCs w:val="24"/>
                <w:highlight w:val="none"/>
              </w:rPr>
            </w:pPr>
            <w:r>
              <w:rPr>
                <w:rFonts w:hint="eastAsia" w:ascii="宋体" w:hAnsi="宋体" w:cs="宋体"/>
                <w:b/>
                <w:bCs w:val="0"/>
                <w:color w:val="auto"/>
                <w:sz w:val="24"/>
                <w:lang w:val="en-US" w:eastAsia="zh-CN"/>
              </w:rPr>
              <w:t>递交响应文件或对磋商文件做出实质响应的磋商响应方不足三家时，采购人应当终止竞争性磋商采购活动，重新开展采购活动。</w:t>
            </w:r>
          </w:p>
        </w:tc>
      </w:tr>
    </w:tbl>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pStyle w:val="2"/>
        <w:jc w:val="center"/>
        <w:rPr>
          <w:rFonts w:hint="eastAsia"/>
        </w:rPr>
      </w:pPr>
      <w:r>
        <w:rPr>
          <w:rFonts w:hint="eastAsia" w:ascii="宋体" w:hAnsi="宋体" w:eastAsia="宋体" w:cs="宋体"/>
          <w:b/>
          <w:color w:val="000000"/>
          <w:kern w:val="0"/>
          <w:sz w:val="28"/>
          <w:szCs w:val="28"/>
          <w:lang w:val="en-US" w:eastAsia="zh-CN"/>
        </w:rPr>
        <w:t>二、</w:t>
      </w:r>
      <w:r>
        <w:rPr>
          <w:rFonts w:hint="eastAsia" w:ascii="宋体" w:hAnsi="宋体" w:eastAsia="宋体" w:cs="宋体"/>
          <w:b/>
          <w:color w:val="000000"/>
          <w:kern w:val="0"/>
          <w:sz w:val="28"/>
          <w:szCs w:val="28"/>
        </w:rPr>
        <w:t>磋商响应方须知</w:t>
      </w:r>
    </w:p>
    <w:p>
      <w:pPr>
        <w:pStyle w:val="2"/>
        <w:rPr>
          <w:rFonts w:hint="eastAsia"/>
        </w:rPr>
      </w:pP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1、“采购人”系指：</w:t>
      </w:r>
      <w:r>
        <w:rPr>
          <w:rFonts w:hint="eastAsia" w:ascii="宋体" w:hAnsi="宋体" w:cs="宋体"/>
          <w:color w:val="auto"/>
          <w:sz w:val="24"/>
          <w:szCs w:val="24"/>
          <w:highlight w:val="none"/>
          <w:lang w:eastAsia="zh-CN"/>
        </w:rPr>
        <w:t>邹城市北宿镇东故下村村民委员会</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2、“代理机构”系指：</w:t>
      </w:r>
      <w:r>
        <w:rPr>
          <w:rFonts w:hint="eastAsia" w:ascii="宋体" w:hAnsi="宋体" w:cs="宋体"/>
          <w:sz w:val="24"/>
          <w:szCs w:val="24"/>
          <w:shd w:val="clear" w:color="auto" w:fill="FFFFFF"/>
          <w:lang w:eastAsia="zh-CN"/>
        </w:rPr>
        <w:t>山东阳光正大建设项目管理有限公司</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3、“响应供应商”系指参与磋商并向采购人提交磋商响应文件的单位；</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4、“成交供应商”系指经法定程序确定并授予合同的响应供应商。</w:t>
      </w:r>
    </w:p>
    <w:bookmarkEnd w:id="7"/>
    <w:bookmarkEnd w:id="8"/>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1、具备《政府采购法》第二十二条规定的条件。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（三）具有履行合同所必需的货物和专业技术能力；</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供应商须具备：</w:t>
      </w:r>
      <w:r>
        <w:rPr>
          <w:rFonts w:hint="eastAsia" w:ascii="宋体" w:hAnsi="宋体" w:eastAsia="宋体" w:cs="宋体"/>
          <w:b/>
          <w:bCs/>
          <w:color w:val="auto"/>
          <w:sz w:val="24"/>
          <w:szCs w:val="24"/>
          <w:highlight w:val="none"/>
          <w:lang w:val="en-US" w:eastAsia="zh-CN"/>
        </w:rPr>
        <w:t>电力工程施工总承包叁级及以上资质或者承装（修、试）电力设施许可证（承装承修承试三类必须齐全）类五级及以上资质</w:t>
      </w:r>
      <w:r>
        <w:rPr>
          <w:rFonts w:hint="eastAsia" w:ascii="宋体" w:hAnsi="宋体" w:eastAsia="宋体" w:cs="宋体"/>
          <w:color w:val="auto"/>
          <w:sz w:val="24"/>
          <w:szCs w:val="24"/>
          <w:highlight w:val="none"/>
          <w:lang w:val="en-US" w:eastAsia="zh-CN"/>
        </w:rPr>
        <w:t>，并在人员、设备、资金等方面具有相应的施工能力，无拖欠农民工工资的不良行为。其中，供应商拟派项目经理须具备</w:t>
      </w:r>
      <w:r>
        <w:rPr>
          <w:rFonts w:hint="eastAsia" w:ascii="宋体" w:hAnsi="宋体" w:eastAsia="宋体" w:cs="宋体"/>
          <w:b/>
          <w:bCs/>
          <w:color w:val="auto"/>
          <w:sz w:val="24"/>
          <w:szCs w:val="24"/>
          <w:highlight w:val="none"/>
          <w:lang w:val="en-US" w:eastAsia="zh-CN"/>
        </w:rPr>
        <w:t>本单位注册的机电工程专业贰级及以上注册建造师执业资格</w:t>
      </w:r>
      <w:r>
        <w:rPr>
          <w:rFonts w:hint="eastAsia" w:ascii="宋体" w:hAnsi="宋体" w:eastAsia="宋体" w:cs="宋体"/>
          <w:color w:val="auto"/>
          <w:sz w:val="24"/>
          <w:szCs w:val="24"/>
          <w:highlight w:val="none"/>
          <w:lang w:val="en-US" w:eastAsia="zh-CN"/>
        </w:rPr>
        <w:t>，</w:t>
      </w:r>
      <w:r>
        <w:rPr>
          <w:rFonts w:hint="eastAsia" w:ascii="Times New Roman" w:hAnsi="宋体" w:eastAsia="宋体" w:cs="宋体"/>
          <w:b/>
          <w:bCs/>
          <w:kern w:val="2"/>
          <w:sz w:val="24"/>
          <w:szCs w:val="24"/>
          <w:lang w:val="zh-CN" w:eastAsia="zh-CN" w:bidi="ar-SA"/>
        </w:rPr>
        <w:t>并具备有效的安全生产考核合格证书</w:t>
      </w:r>
      <w:r>
        <w:rPr>
          <w:rFonts w:hint="eastAsia" w:hAnsi="宋体" w:eastAsia="宋体" w:cs="宋体"/>
          <w:b/>
          <w:bCs/>
          <w:kern w:val="2"/>
          <w:sz w:val="24"/>
          <w:szCs w:val="24"/>
          <w:lang w:val="zh-CN" w:eastAsia="zh-CN" w:bidi="ar-SA"/>
        </w:rPr>
        <w:t>，</w:t>
      </w:r>
      <w:r>
        <w:rPr>
          <w:rFonts w:hint="eastAsia" w:ascii="宋体" w:hAnsi="宋体" w:eastAsia="宋体" w:cs="宋体"/>
          <w:color w:val="auto"/>
          <w:sz w:val="24"/>
          <w:szCs w:val="24"/>
          <w:highlight w:val="none"/>
          <w:lang w:val="en-US" w:eastAsia="zh-CN"/>
        </w:rPr>
        <w:t>且未担任其他在施建设工程项目的项目经理。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供应商在递交响应文件时需同时提供本单位营业执照(原件)、资质证书（原件或加盖公章的复印件）、项目经理机电工程专业建造师注册证（原件）、</w:t>
      </w:r>
      <w:r>
        <w:rPr>
          <w:rFonts w:hint="eastAsia" w:ascii="宋体" w:hAnsi="宋体" w:eastAsia="宋体" w:cs="宋体"/>
          <w:b/>
          <w:bCs/>
          <w:color w:val="000000"/>
          <w:sz w:val="24"/>
          <w:szCs w:val="24"/>
          <w:shd w:val="clear" w:color="auto" w:fill="FFFFFF"/>
          <w:lang w:val="en-US" w:eastAsia="zh-CN"/>
        </w:rPr>
        <w:t>项目经理的建造师安全生产考核合格证书原件、</w:t>
      </w:r>
      <w:r>
        <w:rPr>
          <w:rFonts w:hint="eastAsia" w:ascii="宋体" w:hAnsi="宋体" w:eastAsia="宋体" w:cs="宋体"/>
          <w:b/>
          <w:bCs/>
          <w:kern w:val="0"/>
          <w:sz w:val="24"/>
          <w:szCs w:val="24"/>
        </w:rPr>
        <w:t>、</w:t>
      </w:r>
      <w:r>
        <w:rPr>
          <w:rFonts w:hint="eastAsia" w:ascii="宋体" w:hAnsi="宋体" w:eastAsia="宋体" w:cs="宋体"/>
          <w:b/>
          <w:bCs/>
          <w:color w:val="auto"/>
          <w:kern w:val="2"/>
          <w:sz w:val="24"/>
          <w:szCs w:val="24"/>
          <w:highlight w:val="none"/>
          <w:lang w:val="en-US" w:eastAsia="zh-CN" w:bidi="ar-SA"/>
        </w:rPr>
        <w:t>磋商保证金交纳凭证原件</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sz w:val="24"/>
          <w:szCs w:val="24"/>
          <w:highlight w:val="none"/>
          <w:lang w:val="en-US" w:eastAsia="zh-CN"/>
        </w:rPr>
        <w:t>法人授权委托书原件、法定代表人（或授权委托人）有效身份证原件。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、本次竞争性磋商不接受联合体。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文件由以下内容组成：</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sz w:val="24"/>
          <w:szCs w:val="24"/>
          <w:highlight w:val="none"/>
        </w:rPr>
        <w:t>磋商公告；</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2、磋商响应方须知；</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3、磋商组织、步骤与评审方法；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4、采购内容及要求；</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5、合同授予；</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采购控制价；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1、各潜在供应商对磋商文件内容如有疑问，必须于磋商开始前五个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将疑问以书面形式送至采购人或电子邮件形式发至</w:t>
      </w:r>
      <w:r>
        <w:rPr>
          <w:rFonts w:hint="eastAsia" w:ascii="宋体" w:hAnsi="宋体" w:cs="宋体"/>
          <w:bCs/>
          <w:color w:val="auto"/>
          <w:kern w:val="0"/>
          <w:sz w:val="24"/>
          <w:szCs w:val="24"/>
          <w:highlight w:val="none"/>
          <w:lang w:val="en-US" w:eastAsia="zh-CN"/>
        </w:rPr>
        <w:t>sdygzdjnfgs</w:t>
      </w:r>
      <w:r>
        <w:rPr>
          <w:rFonts w:hint="eastAsia" w:ascii="宋体" w:hAnsi="宋体" w:eastAsia="宋体" w:cs="宋体"/>
          <w:bCs/>
          <w:color w:val="auto"/>
          <w:kern w:val="0"/>
          <w:sz w:val="24"/>
          <w:szCs w:val="24"/>
          <w:highlight w:val="none"/>
        </w:rPr>
        <w:t>@163.com</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2、采购人对磋商文件必要的澄清或修改的内容将在提交磋商文件截止时间五个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前，在邹城市外宣网（http://www.mencius.gov.cn/）等网站上予以公告，澄清和修改的内容将构成磋商文件的组成部分。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供应商应按磋商文件的要求准备磋商响应文件，并保证所提供全部资料的真实性、准确性及完整性，并对磋商文件做出实质性响应。</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rPr>
        <w:t>（一）磋商响应文件的组成：</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1、磋商响应函</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2、法定代表人身份证明及法定代表人授权委托书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3、初次报价表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4、初次报价的已标价工程量清单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5、施工组织设计</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6、项目管理机构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7、资格审查资料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8、建设工程扬尘治理工作承诺书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9、其他资料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（二）磋商响应文件的密封和标记：</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文件需加盖磋商响应方公章并采用胶装的方式装订成册；</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2、供应商应准备磋商响应文件</w:t>
      </w:r>
      <w:r>
        <w:rPr>
          <w:rFonts w:hint="eastAsia" w:ascii="宋体" w:hAnsi="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份，一份正本和</w:t>
      </w:r>
      <w:r>
        <w:rPr>
          <w:rFonts w:hint="eastAsia" w:ascii="宋体" w:hAnsi="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份副本。在每一份磋商响应文件上要明确注明“正本”或“副本”字样，一旦正本和副本有差异，以正本为准；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3、响应供应商应将磋商响应文件密封，并在封口处加盖磋商响应方公章，未按本条要求密封的磋商响应文件将有权被拒绝接收。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（三）磋商响应文件的递交：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1、磋商响应文件应于</w:t>
      </w:r>
      <w:r>
        <w:rPr>
          <w:rFonts w:hint="eastAsia" w:ascii="宋体" w:hAnsi="宋体" w:cs="宋体"/>
          <w:bCs/>
          <w:color w:val="auto"/>
          <w:kern w:val="0"/>
          <w:sz w:val="24"/>
          <w:szCs w:val="24"/>
          <w:highlight w:val="none"/>
          <w:u w:val="single"/>
          <w:lang w:eastAsia="zh-CN"/>
        </w:rPr>
        <w:t>2023</w:t>
      </w:r>
      <w:r>
        <w:rPr>
          <w:rFonts w:hint="eastAsia" w:ascii="宋体" w:hAnsi="宋体" w:eastAsia="宋体" w:cs="宋体"/>
          <w:bCs/>
          <w:color w:val="auto"/>
          <w:kern w:val="0"/>
          <w:sz w:val="24"/>
          <w:szCs w:val="24"/>
          <w:highlight w:val="none"/>
          <w:u w:val="single"/>
          <w:lang w:eastAsia="zh-CN"/>
        </w:rPr>
        <w:t>年</w:t>
      </w:r>
      <w:r>
        <w:rPr>
          <w:rFonts w:hint="eastAsia" w:ascii="宋体" w:hAnsi="宋体" w:cs="宋体"/>
          <w:bCs/>
          <w:color w:val="auto"/>
          <w:kern w:val="0"/>
          <w:sz w:val="24"/>
          <w:szCs w:val="24"/>
          <w:highlight w:val="none"/>
          <w:u w:val="single"/>
          <w:lang w:val="en-US" w:eastAsia="zh-CN"/>
        </w:rPr>
        <w:t>10</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19</w:t>
      </w:r>
      <w:r>
        <w:rPr>
          <w:rFonts w:hint="eastAsia" w:ascii="宋体" w:hAnsi="宋体" w:eastAsia="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09</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30</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color w:val="auto"/>
          <w:kern w:val="0"/>
          <w:sz w:val="24"/>
          <w:szCs w:val="24"/>
          <w:highlight w:val="none"/>
        </w:rPr>
        <w:t>前递交至</w:t>
      </w:r>
      <w:r>
        <w:rPr>
          <w:rFonts w:hint="eastAsia" w:ascii="宋体" w:hAnsi="宋体" w:eastAsia="宋体" w:cs="宋体"/>
          <w:color w:val="auto"/>
          <w:kern w:val="0"/>
          <w:sz w:val="24"/>
          <w:szCs w:val="24"/>
          <w:highlight w:val="none"/>
          <w:lang w:eastAsia="zh-CN"/>
        </w:rPr>
        <w:t>邹城市</w:t>
      </w:r>
      <w:r>
        <w:rPr>
          <w:rFonts w:hint="eastAsia" w:ascii="宋体" w:hAnsi="宋体" w:cs="宋体"/>
          <w:color w:val="auto"/>
          <w:kern w:val="0"/>
          <w:sz w:val="24"/>
          <w:szCs w:val="24"/>
          <w:highlight w:val="none"/>
          <w:lang w:eastAsia="zh-CN"/>
        </w:rPr>
        <w:t>北宿镇</w:t>
      </w:r>
      <w:r>
        <w:rPr>
          <w:rFonts w:hint="eastAsia" w:ascii="宋体" w:hAnsi="宋体" w:eastAsia="宋体" w:cs="宋体"/>
          <w:color w:val="auto"/>
          <w:kern w:val="0"/>
          <w:sz w:val="24"/>
          <w:szCs w:val="24"/>
          <w:highlight w:val="none"/>
          <w:lang w:eastAsia="zh-CN"/>
        </w:rPr>
        <w:t>公共资源交易中心</w:t>
      </w:r>
      <w:r>
        <w:rPr>
          <w:rFonts w:hint="eastAsia" w:ascii="宋体" w:hAnsi="宋体" w:eastAsia="宋体" w:cs="宋体"/>
          <w:color w:val="auto"/>
          <w:kern w:val="0"/>
          <w:sz w:val="24"/>
          <w:szCs w:val="24"/>
          <w:highlight w:val="none"/>
        </w:rPr>
        <w:t>开标室。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2、递交磋商</w:t>
      </w:r>
      <w:r>
        <w:rPr>
          <w:rFonts w:hint="eastAsia" w:ascii="宋体" w:hAnsi="宋体" w:eastAsia="宋体" w:cs="宋体"/>
          <w:color w:val="auto"/>
          <w:sz w:val="24"/>
          <w:szCs w:val="24"/>
          <w:highlight w:val="none"/>
        </w:rPr>
        <w:t>响应文件时，供应商如出现以下情况，磋商响应文件将有权被拒绝。</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（1）逾期送达或未送达指定地点的磋商响应文件。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（2）磋商响应文件未按磋商文件要求密封的。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3、对供应商的磋商响应文件、材料不予退还。</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（四）报价要求：</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2、报价时考虑可调以外的材料价格上涨等一切风险因素；</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施工期间与周边地方关系的协调由成交单位自行处理，产生的任何费用自行承担</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kern w:val="0"/>
          <w:sz w:val="24"/>
          <w:szCs w:val="24"/>
          <w:highlight w:val="none"/>
        </w:rPr>
        <w:t>本次磋商采用初次报价及最终报价，共二次的报价方式；初次报价按磋商文件格式报价，最终报价为竞争性磋商后，由法定代表人或其委托代理人在最终磋</w:t>
      </w:r>
      <w:bookmarkStart w:id="100" w:name="_GoBack"/>
      <w:bookmarkEnd w:id="100"/>
      <w:r>
        <w:rPr>
          <w:rFonts w:hint="eastAsia" w:ascii="宋体" w:hAnsi="宋体" w:eastAsia="宋体" w:cs="宋体"/>
          <w:b/>
          <w:bCs/>
          <w:color w:val="auto"/>
          <w:kern w:val="0"/>
          <w:sz w:val="24"/>
          <w:szCs w:val="24"/>
          <w:highlight w:val="none"/>
        </w:rPr>
        <w:t>商后递交。最终报价只报总价，</w:t>
      </w:r>
      <w:bookmarkStart w:id="10" w:name="OLE_LINK16"/>
      <w:r>
        <w:rPr>
          <w:rFonts w:hint="eastAsia" w:ascii="宋体" w:hAnsi="宋体" w:eastAsia="宋体" w:cs="宋体"/>
          <w:b/>
          <w:color w:val="auto"/>
          <w:kern w:val="0"/>
          <w:sz w:val="24"/>
          <w:szCs w:val="24"/>
          <w:highlight w:val="none"/>
        </w:rPr>
        <w:t>分项明细报价</w:t>
      </w:r>
      <w:bookmarkEnd w:id="10"/>
      <w:r>
        <w:rPr>
          <w:rFonts w:hint="eastAsia" w:ascii="宋体" w:hAnsi="宋体" w:eastAsia="宋体" w:cs="宋体"/>
          <w:b/>
          <w:color w:val="auto"/>
          <w:kern w:val="0"/>
          <w:sz w:val="24"/>
          <w:szCs w:val="24"/>
          <w:highlight w:val="none"/>
        </w:rPr>
        <w:t>（分部分项工程量清单单价和合价、措施项目费、其他项目费、规费、税金）按</w:t>
      </w:r>
      <w:r>
        <w:rPr>
          <w:rFonts w:hint="eastAsia" w:ascii="宋体" w:hAnsi="宋体" w:eastAsia="宋体" w:cs="宋体"/>
          <w:b/>
          <w:color w:val="auto"/>
          <w:kern w:val="0"/>
          <w:sz w:val="24"/>
          <w:szCs w:val="24"/>
          <w:highlight w:val="none"/>
          <w:u w:val="single"/>
        </w:rPr>
        <w:t>最终报价</w:t>
      </w:r>
      <w:r>
        <w:rPr>
          <w:rFonts w:hint="eastAsia" w:ascii="宋体" w:hAnsi="宋体" w:eastAsia="宋体" w:cs="宋体"/>
          <w:b/>
          <w:color w:val="auto"/>
          <w:kern w:val="0"/>
          <w:sz w:val="24"/>
          <w:szCs w:val="24"/>
          <w:highlight w:val="none"/>
        </w:rPr>
        <w:t>与</w:t>
      </w:r>
      <w:r>
        <w:rPr>
          <w:rFonts w:hint="eastAsia" w:ascii="宋体" w:hAnsi="宋体" w:eastAsia="宋体" w:cs="宋体"/>
          <w:b/>
          <w:color w:val="auto"/>
          <w:kern w:val="0"/>
          <w:sz w:val="24"/>
          <w:szCs w:val="24"/>
          <w:highlight w:val="none"/>
          <w:u w:val="single"/>
        </w:rPr>
        <w:t>初次报价</w:t>
      </w:r>
      <w:r>
        <w:rPr>
          <w:rFonts w:hint="eastAsia" w:ascii="宋体" w:hAnsi="宋体" w:eastAsia="宋体" w:cs="宋体"/>
          <w:b/>
          <w:color w:val="auto"/>
          <w:kern w:val="0"/>
          <w:sz w:val="24"/>
          <w:szCs w:val="24"/>
          <w:highlight w:val="none"/>
        </w:rPr>
        <w:t>的比率，同比例下调。供应商两次报价均不得超出采购预算（控制价），如若超出按无效响应处理。</w:t>
      </w:r>
      <w:r>
        <w:rPr>
          <w:rFonts w:hint="eastAsia" w:ascii="宋体" w:hAnsi="宋体" w:eastAsia="宋体" w:cs="宋体"/>
          <w:b/>
          <w:color w:val="auto"/>
          <w:sz w:val="24"/>
          <w:szCs w:val="24"/>
          <w:highlight w:val="none"/>
        </w:rPr>
        <w:t>其中，磋商代理服务费应分摊在报价中。</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计算</w:t>
      </w:r>
      <w:r>
        <w:rPr>
          <w:rFonts w:hint="eastAsia" w:ascii="宋体" w:hAnsi="宋体" w:eastAsia="宋体" w:cs="宋体"/>
          <w:b/>
          <w:color w:val="auto"/>
          <w:kern w:val="0"/>
          <w:sz w:val="24"/>
          <w:szCs w:val="24"/>
          <w:highlight w:val="none"/>
        </w:rPr>
        <w:t>公式</w:t>
      </w:r>
      <w:r>
        <w:rPr>
          <w:rFonts w:hint="eastAsia" w:ascii="宋体" w:hAnsi="宋体" w:eastAsia="宋体" w:cs="宋体"/>
          <w:b/>
          <w:bCs/>
          <w:color w:val="auto"/>
          <w:sz w:val="24"/>
          <w:szCs w:val="24"/>
          <w:highlight w:val="none"/>
        </w:rPr>
        <w:t>为：</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报价比率=（供应商报价-暂估项目费及相应规费、税金）/（初次报价-暂估项目费及相应规费、税金）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报价的分部分项工程单价与合价=报价比率×初次报价中的分部分项工程单价与合价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报价的措施费=报价比率×初次报价中的措施费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报价的规费=报价比率×初次报价中的规费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报价的税金=报价比率×初次报价中的税金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报价币种为</w:t>
      </w:r>
      <w:r>
        <w:rPr>
          <w:rFonts w:hint="eastAsia" w:ascii="宋体" w:hAnsi="宋体" w:eastAsia="宋体" w:cs="宋体"/>
          <w:color w:val="auto"/>
          <w:sz w:val="24"/>
          <w:szCs w:val="24"/>
          <w:highlight w:val="none"/>
        </w:rPr>
        <w:t>人民币，如果报价表大写金额与小写金额不一致，以大写的金额为准。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bCs/>
          <w:color w:val="auto"/>
          <w:kern w:val="0"/>
          <w:sz w:val="24"/>
          <w:szCs w:val="24"/>
          <w:highlight w:val="none"/>
        </w:rPr>
        <w:t>采购预算（控制价）为</w:t>
      </w:r>
      <w:r>
        <w:rPr>
          <w:rFonts w:hint="eastAsia" w:ascii="宋体" w:hAnsi="宋体" w:cs="宋体"/>
          <w:b/>
          <w:bCs/>
          <w:color w:val="auto"/>
          <w:kern w:val="0"/>
          <w:sz w:val="24"/>
          <w:szCs w:val="24"/>
          <w:highlight w:val="none"/>
          <w:lang w:val="en-US" w:eastAsia="zh-CN"/>
        </w:rPr>
        <w:t>2342102.12</w:t>
      </w:r>
      <w:r>
        <w:rPr>
          <w:rFonts w:hint="eastAsia" w:ascii="宋体" w:hAnsi="宋体" w:eastAsia="宋体" w:cs="宋体"/>
          <w:b/>
          <w:bCs/>
          <w:color w:val="auto"/>
          <w:kern w:val="0"/>
          <w:sz w:val="24"/>
          <w:szCs w:val="24"/>
          <w:highlight w:val="none"/>
        </w:rPr>
        <w:t>元。</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自递交磋商响应文件截止之日起60个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w:t>
      </w:r>
      <w:r>
        <w:rPr>
          <w:rFonts w:hint="eastAsia" w:ascii="宋体" w:hAnsi="宋体" w:eastAsia="宋体" w:cs="宋体"/>
          <w:color w:val="auto"/>
          <w:kern w:val="0"/>
          <w:sz w:val="24"/>
          <w:szCs w:val="24"/>
          <w:highlight w:val="none"/>
        </w:rPr>
        <w:t>报价</w:t>
      </w:r>
      <w:r>
        <w:rPr>
          <w:rFonts w:hint="eastAsia" w:ascii="宋体" w:hAnsi="宋体" w:eastAsia="宋体" w:cs="宋体"/>
          <w:color w:val="auto"/>
          <w:sz w:val="24"/>
          <w:szCs w:val="24"/>
          <w:highlight w:val="none"/>
        </w:rPr>
        <w:t>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2、本次采购</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费为</w:t>
      </w:r>
      <w:r>
        <w:rPr>
          <w:rFonts w:hint="eastAsia" w:ascii="宋体" w:hAnsi="宋体" w:eastAsia="宋体" w:cs="宋体"/>
          <w:color w:val="000000"/>
          <w:sz w:val="24"/>
          <w:szCs w:val="24"/>
          <w:highlight w:val="none"/>
          <w:lang w:val="en-US" w:eastAsia="zh-CN"/>
        </w:rPr>
        <w:t>38540.00（大写：叁万捌仟伍佰肆拾元整</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其中代理费31000.00元，评审费7540.00元）</w:t>
      </w:r>
      <w:r>
        <w:rPr>
          <w:rFonts w:hint="eastAsia" w:ascii="宋体" w:hAnsi="宋体" w:eastAsia="宋体" w:cs="宋体"/>
          <w:color w:val="auto"/>
          <w:sz w:val="24"/>
          <w:szCs w:val="24"/>
          <w:highlight w:val="none"/>
          <w:lang w:eastAsia="zh-CN"/>
        </w:rPr>
        <w:t>以上费用由成交供应商支付，供应商报价时应将该费用考虑到综合报价中。成交通知书发出前，成交供应商从其账户一次性汇入代理机构指定账户。</w:t>
      </w:r>
      <w:r>
        <w:rPr>
          <w:rFonts w:hint="eastAsia" w:ascii="宋体" w:hAnsi="宋体" w:cs="宋体"/>
          <w:color w:val="auto"/>
          <w:sz w:val="24"/>
          <w:szCs w:val="24"/>
          <w:highlight w:val="none"/>
          <w:lang w:eastAsia="zh-CN"/>
        </w:rPr>
        <w:t>）</w:t>
      </w:r>
    </w:p>
    <w:p>
      <w:pPr>
        <w:tabs>
          <w:tab w:val="left" w:pos="315"/>
        </w:tabs>
        <w:spacing w:line="360" w:lineRule="auto"/>
        <w:ind w:firstLine="600" w:firstLineChars="249"/>
        <w:rPr>
          <w:rFonts w:hint="eastAsia"/>
          <w:lang w:eastAsia="zh-CN"/>
        </w:rPr>
      </w:pPr>
      <w:r>
        <w:rPr>
          <w:rFonts w:hint="eastAsia" w:ascii="宋体" w:hAnsi="宋体" w:eastAsia="宋体" w:cs="宋体"/>
          <w:b/>
          <w:sz w:val="24"/>
          <w:szCs w:val="24"/>
        </w:rPr>
        <w:t>递交时间：中标通知书发出前缴纳。</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本工程无预付款，工程竣工验收合格并</w:t>
      </w:r>
      <w:r>
        <w:rPr>
          <w:rFonts w:hint="eastAsia" w:ascii="宋体" w:hAnsi="宋体" w:eastAsia="宋体" w:cs="宋体"/>
          <w:b/>
          <w:color w:val="auto"/>
          <w:sz w:val="24"/>
          <w:szCs w:val="24"/>
          <w:highlight w:val="none"/>
          <w:lang w:val="en-US" w:eastAsia="zh-CN"/>
        </w:rPr>
        <w:t>通电完成后付至合同价款的40%，</w:t>
      </w:r>
      <w:r>
        <w:rPr>
          <w:rFonts w:hint="eastAsia" w:ascii="宋体" w:hAnsi="宋体" w:eastAsia="宋体" w:cs="宋体"/>
          <w:b/>
          <w:color w:val="auto"/>
          <w:sz w:val="24"/>
          <w:szCs w:val="24"/>
          <w:highlight w:val="none"/>
          <w:lang w:eastAsia="zh-CN"/>
        </w:rPr>
        <w:t>经工程审计完成后付至审定价款的97%，剩余3%在质保期满后，无质量问题无息付清。工程最终结算造价以审核部门审定的造价为准。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为确保工程保质保量按期完工，本项目工程款承包人必须专款专用，如发现承包人挪用工程款现象，由此造成的一切损失均有承包人承担。</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十、磋商保证金</w:t>
      </w:r>
      <w:r>
        <w:rPr>
          <w:rFonts w:hint="eastAsia" w:ascii="宋体" w:hAnsi="宋体" w:eastAsia="宋体" w:cs="宋体"/>
          <w:b/>
          <w:color w:val="auto"/>
          <w:sz w:val="24"/>
          <w:szCs w:val="24"/>
          <w:highlight w:val="none"/>
          <w:lang w:eastAsia="zh-CN"/>
        </w:rPr>
        <w:t>：</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val="en-US" w:eastAsia="zh-CN" w:bidi="ar"/>
        </w:rPr>
        <w:t>1</w:t>
      </w:r>
      <w:r>
        <w:rPr>
          <w:rFonts w:hint="eastAsia" w:ascii="宋体" w:hAnsi="宋体" w:eastAsia="宋体" w:cs="宋体"/>
          <w:b w:val="0"/>
          <w:bCs/>
          <w:color w:val="000000"/>
          <w:sz w:val="24"/>
          <w:szCs w:val="24"/>
          <w:highlight w:val="none"/>
          <w:lang w:bidi="ar"/>
        </w:rPr>
        <w:t>、磋商保证金应当在磋商响应文件递交截止时间前到达指定账户（以实际到账为准）。</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val="en-US" w:eastAsia="zh-CN" w:bidi="ar"/>
        </w:rPr>
        <w:t>2</w:t>
      </w:r>
      <w:r>
        <w:rPr>
          <w:rFonts w:hint="eastAsia" w:ascii="宋体" w:hAnsi="宋体" w:eastAsia="宋体" w:cs="宋体"/>
          <w:b w:val="0"/>
          <w:bCs/>
          <w:color w:val="000000"/>
          <w:sz w:val="24"/>
          <w:szCs w:val="24"/>
          <w:highlight w:val="none"/>
          <w:lang w:bidi="ar"/>
        </w:rPr>
        <w:t>、采购活动结束后及时退还磋商响应方的磋商保证金，但因磋商响应方自身原因导致无法及时退还的除外。未成交磋商响应方的磋商保证金应当在成交通知书发出后5个工作日内退还，成交磋商响应方的磋商保证金应当在采购合同签订后5个工作日内退还。</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val="en-US" w:eastAsia="zh-CN" w:bidi="ar"/>
        </w:rPr>
        <w:t>3</w:t>
      </w:r>
      <w:r>
        <w:rPr>
          <w:rFonts w:hint="eastAsia" w:ascii="宋体" w:hAnsi="宋体" w:eastAsia="宋体" w:cs="宋体"/>
          <w:b w:val="0"/>
          <w:bCs/>
          <w:color w:val="000000"/>
          <w:sz w:val="24"/>
          <w:szCs w:val="24"/>
          <w:highlight w:val="none"/>
          <w:lang w:bidi="ar"/>
        </w:rPr>
        <w:t>、有下列情形之一的，磋商保证金不予退还：</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bidi="ar"/>
        </w:rPr>
        <w:t>（一）供应商在提交响应文件截止时间后撤回响应文件的（已提交响应文件的供应商，在提交最后报价之前，可以根据磋商情况退出磋商。应当退还退出磋商的供应商的磋商保证金。）；</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bidi="ar"/>
        </w:rPr>
        <w:t>（二）供应商在响应文件中提供虚假材料的；</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bidi="ar"/>
        </w:rPr>
        <w:t>（三）除因不可抗力或磋商文件认可的情形以外，成交供应商不与采购人签订合同的；</w:t>
      </w:r>
    </w:p>
    <w:p>
      <w:pPr>
        <w:tabs>
          <w:tab w:val="left" w:pos="315"/>
        </w:tabs>
        <w:spacing w:line="360" w:lineRule="auto"/>
        <w:ind w:firstLine="352" w:firstLineChars="147"/>
        <w:rPr>
          <w:rFonts w:hint="eastAsia" w:ascii="宋体" w:hAnsi="宋体" w:eastAsia="宋体" w:cs="宋体"/>
          <w:b/>
          <w:color w:val="000000"/>
          <w:sz w:val="24"/>
          <w:szCs w:val="24"/>
          <w:highlight w:val="none"/>
          <w:lang w:bidi="ar"/>
        </w:rPr>
      </w:pPr>
      <w:r>
        <w:rPr>
          <w:rFonts w:hint="eastAsia" w:ascii="宋体" w:hAnsi="宋体" w:eastAsia="宋体" w:cs="宋体"/>
          <w:b w:val="0"/>
          <w:bCs/>
          <w:color w:val="000000"/>
          <w:sz w:val="24"/>
          <w:szCs w:val="24"/>
          <w:highlight w:val="none"/>
          <w:lang w:bidi="ar"/>
        </w:rPr>
        <w:t>（四）供应商与采购人、其他供应商或者采购代理机构恶意串通的；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eastAsia="zh-CN"/>
        </w:rPr>
        <w:t>一</w:t>
      </w:r>
      <w:r>
        <w:rPr>
          <w:rFonts w:hint="eastAsia" w:ascii="宋体" w:hAnsi="宋体" w:eastAsia="宋体" w:cs="宋体"/>
          <w:b/>
          <w:color w:val="auto"/>
          <w:sz w:val="24"/>
          <w:szCs w:val="24"/>
          <w:highlight w:val="none"/>
        </w:rPr>
        <w:t>、无效磋商响应文件：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凡具有下列情形之一的，作无效磋商响应文件：</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、资格证明文件不全或无效的，或者不符合采购文件标明的资格要求的；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、提供的有关资格、资质证明文件不真实，提供虚假报价材料的；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、未按响应文件格式规定盖章、签字的；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、工期、质量等不满足磋商文件要求的；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、磋商响应方的初次报价或最终报价超过采购预算（控制价）的；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、初次报价的已标价工程量清单不符合第四部分采购内容及要求中“工程量清单”给出的子目</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编码、子目名称、子目特征、计量单位和工程量；</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、初次报价没有按磋商文件要求报价，增减或修改磋商文件提供的工程量清单的；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、降低本磋商文件规定不可竞争费的；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、不响应或者擅自改变采购文件要求或者响应文件有采购人不能接受的附加条件的；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、磋商响应方串通报价的；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、磋商响应方向采购人、采购代理机构、评审专家提供不正当利益的；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、磋商响应方的最终报价高于初次报价的；</w:t>
      </w:r>
    </w:p>
    <w:p>
      <w:pPr>
        <w:tabs>
          <w:tab w:val="left" w:pos="315"/>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13、未按照磋商文件给定的暂估价或暂列金额进行报价的；</w:t>
      </w:r>
    </w:p>
    <w:p>
      <w:pPr>
        <w:tabs>
          <w:tab w:val="left" w:pos="315"/>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14、未按磋商文件规定缴纳磋商保证金的；</w:t>
      </w:r>
    </w:p>
    <w:p>
      <w:pPr>
        <w:tabs>
          <w:tab w:val="left" w:pos="315"/>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15、法律、法规规定的其他情况；</w:t>
      </w:r>
    </w:p>
    <w:p>
      <w:pPr>
        <w:tabs>
          <w:tab w:val="left" w:pos="315"/>
        </w:tabs>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十二、响应供应商不足三家：</w:t>
      </w:r>
    </w:p>
    <w:p>
      <w:pPr>
        <w:tabs>
          <w:tab w:val="left" w:pos="315"/>
        </w:tabs>
        <w:spacing w:line="360" w:lineRule="auto"/>
        <w:ind w:firstLine="482" w:firstLineChars="200"/>
        <w:rPr>
          <w:rFonts w:hint="default"/>
          <w:lang w:val="en-US" w:eastAsia="zh-CN"/>
        </w:rPr>
      </w:pPr>
      <w:r>
        <w:rPr>
          <w:rFonts w:hint="eastAsia" w:ascii="宋体" w:hAnsi="宋体" w:eastAsia="宋体" w:cs="宋体"/>
          <w:b/>
          <w:sz w:val="24"/>
          <w:szCs w:val="24"/>
          <w:lang w:val="en-US" w:eastAsia="zh-CN"/>
        </w:rPr>
        <w:t>递交响应文件或对磋商文件做出实质响应的磋商响应方不足三家时，采购人应当终止竞争性磋商采购活动，重新开展采购活动。</w:t>
      </w:r>
    </w:p>
    <w:p>
      <w:pPr>
        <w:tabs>
          <w:tab w:val="left" w:pos="315"/>
        </w:tabs>
        <w:spacing w:line="360" w:lineRule="auto"/>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三</w:t>
      </w:r>
      <w:r>
        <w:rPr>
          <w:rFonts w:hint="eastAsia" w:ascii="宋体" w:hAnsi="宋体" w:eastAsia="宋体" w:cs="宋体"/>
          <w:b/>
          <w:sz w:val="24"/>
          <w:szCs w:val="24"/>
        </w:rPr>
        <w:t>、建设工地扬尘污染防治</w:t>
      </w:r>
    </w:p>
    <w:p>
      <w:pPr>
        <w:tabs>
          <w:tab w:val="left" w:pos="315"/>
        </w:tabs>
        <w:spacing w:line="360" w:lineRule="auto"/>
        <w:ind w:firstLine="482" w:firstLineChars="200"/>
        <w:rPr>
          <w:rFonts w:hint="eastAsia"/>
          <w:lang w:val="en-US" w:eastAsia="zh-CN"/>
        </w:rPr>
      </w:pPr>
      <w:r>
        <w:rPr>
          <w:rFonts w:hint="eastAsia" w:ascii="宋体" w:hAnsi="宋体" w:eastAsia="宋体" w:cs="宋体"/>
          <w:b/>
          <w:sz w:val="24"/>
          <w:szCs w:val="24"/>
          <w:lang w:val="en-US" w:eastAsia="zh-CN"/>
        </w:rPr>
        <w:t>执行《济宁市建筑工地扬尘治理工作导则》（二〇二〇年十一月济宁市住房和城乡建筑局发布）</w:t>
      </w:r>
      <w:r>
        <w:rPr>
          <w:rFonts w:hint="eastAsia" w:ascii="宋体" w:hAnsi="宋体" w:eastAsia="宋体" w:cs="宋体"/>
          <w:b/>
          <w:sz w:val="24"/>
          <w:szCs w:val="24"/>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rPr>
        <w:t>、质疑和投诉：</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质疑：参加磋商的供应商认为磋商文件、采购过程和成交结果使自己的合法权益受到损害的，有权依法向采购人或采购代理机构提出质疑。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2"/>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24"/>
          <w:szCs w:val="24"/>
          <w:highlight w:val="none"/>
        </w:rPr>
        <w:br w:type="page"/>
      </w:r>
      <w:bookmarkStart w:id="11" w:name="_Toc11977"/>
      <w:bookmarkStart w:id="12" w:name="_Toc31011"/>
      <w:bookmarkStart w:id="13" w:name="_Toc21211"/>
      <w:bookmarkStart w:id="14" w:name="_Toc22085"/>
      <w:bookmarkStart w:id="15" w:name="_Toc30291"/>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小组对</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8"/>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169"/>
        <w:gridCol w:w="992"/>
        <w:gridCol w:w="62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660" w:type="dxa"/>
            <w:gridSpan w:val="2"/>
            <w:tcBorders>
              <w:top w:val="single" w:color="auto" w:sz="4" w:space="0"/>
              <w:right w:val="single" w:color="auto" w:sz="4" w:space="0"/>
            </w:tcBorders>
            <w:vAlign w:val="center"/>
          </w:tcPr>
          <w:p>
            <w:pPr>
              <w:spacing w:line="560" w:lineRule="exact"/>
              <w:jc w:val="center"/>
              <w:rPr>
                <w:rFonts w:ascii="宋体" w:hAnsi="宋体"/>
                <w:b/>
                <w:sz w:val="24"/>
              </w:rPr>
            </w:pPr>
            <w:r>
              <w:rPr>
                <w:rFonts w:ascii="宋体" w:hAnsi="宋体"/>
                <w:b/>
                <w:sz w:val="24"/>
              </w:rPr>
              <w:t>条款号</w:t>
            </w:r>
          </w:p>
        </w:tc>
        <w:tc>
          <w:tcPr>
            <w:tcW w:w="992" w:type="dxa"/>
            <w:tcBorders>
              <w:top w:val="single" w:color="auto" w:sz="4" w:space="0"/>
              <w:left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评分</w:t>
            </w:r>
          </w:p>
          <w:p>
            <w:pPr>
              <w:spacing w:line="560" w:lineRule="exact"/>
              <w:jc w:val="center"/>
              <w:rPr>
                <w:rFonts w:ascii="宋体" w:hAnsi="宋体"/>
                <w:b/>
                <w:sz w:val="24"/>
              </w:rPr>
            </w:pPr>
            <w:r>
              <w:rPr>
                <w:rFonts w:hint="eastAsia" w:ascii="宋体" w:hAnsi="宋体"/>
                <w:b/>
                <w:sz w:val="24"/>
              </w:rPr>
              <w:t>因素</w:t>
            </w:r>
          </w:p>
        </w:tc>
        <w:tc>
          <w:tcPr>
            <w:tcW w:w="6226" w:type="dxa"/>
            <w:tcBorders>
              <w:top w:val="single" w:color="auto" w:sz="4" w:space="0"/>
              <w:left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一</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报价得分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lang w:val="en-US" w:eastAsia="zh-CN"/>
              </w:rPr>
              <w:t>30</w:t>
            </w:r>
            <w:r>
              <w:rPr>
                <w:rFonts w:ascii="宋体" w:hAnsi="宋体"/>
                <w:b/>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sz w:val="24"/>
              </w:rPr>
              <w:t>供应商的报价得分统一采用最低价优先法计算，即满足磋商文件要求且最终报价最低的供应商的价格为磋商基准价，其报价得分为满分</w:t>
            </w:r>
            <w:r>
              <w:rPr>
                <w:rFonts w:hint="eastAsia" w:ascii="宋体" w:hAnsi="宋体"/>
                <w:sz w:val="24"/>
                <w:lang w:val="en-US" w:eastAsia="zh-CN"/>
              </w:rPr>
              <w:t>30</w:t>
            </w:r>
            <w:r>
              <w:rPr>
                <w:rFonts w:hint="eastAsia" w:ascii="宋体" w:hAnsi="宋体"/>
                <w:sz w:val="24"/>
              </w:rPr>
              <w:t>分。其他供应商的报价得分统一按照下列公式计算：磋商报价得分=（磋商基准价/最终磋商报价）×</w:t>
            </w:r>
            <w:r>
              <w:rPr>
                <w:rFonts w:hint="eastAsia" w:ascii="宋体" w:hAnsi="宋体"/>
                <w:sz w:val="24"/>
                <w:lang w:val="en-US" w:eastAsia="zh-CN"/>
              </w:rPr>
              <w:t>30</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二</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施工组织设计</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lang w:val="en-US" w:eastAsia="zh-CN"/>
              </w:rPr>
              <w:t>70</w:t>
            </w:r>
            <w:r>
              <w:rPr>
                <w:rFonts w:hint="eastAsia" w:ascii="宋体" w:hAnsi="宋体"/>
                <w:b/>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1</w:t>
            </w:r>
          </w:p>
        </w:tc>
        <w:tc>
          <w:tcPr>
            <w:tcW w:w="2169" w:type="dxa"/>
            <w:tcBorders>
              <w:top w:val="single" w:color="auto" w:sz="4" w:space="0"/>
              <w:bottom w:val="single" w:color="auto" w:sz="4" w:space="0"/>
              <w:right w:val="single" w:color="auto" w:sz="4" w:space="0"/>
            </w:tcBorders>
            <w:vAlign w:val="center"/>
          </w:tcPr>
          <w:p>
            <w:pPr>
              <w:widowControl/>
              <w:spacing w:line="560" w:lineRule="exact"/>
              <w:jc w:val="center"/>
              <w:rPr>
                <w:rFonts w:ascii="宋体" w:hAnsi="宋体"/>
                <w:sz w:val="24"/>
              </w:rPr>
            </w:pPr>
            <w:r>
              <w:rPr>
                <w:rFonts w:hint="eastAsia" w:ascii="宋体" w:hAnsi="宋体"/>
                <w:sz w:val="24"/>
              </w:rPr>
              <w:t>针对项目特点内容规范完整性和整体编制水平</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eastAsia="宋体" w:cs="宋体"/>
                <w:sz w:val="24"/>
                <w:szCs w:val="24"/>
              </w:rPr>
              <w:t>有该项得基本分</w:t>
            </w:r>
            <w:r>
              <w:rPr>
                <w:rFonts w:hint="eastAsia" w:ascii="宋体" w:hAnsi="宋体" w:eastAsia="宋体" w:cs="宋体"/>
                <w:sz w:val="24"/>
                <w:szCs w:val="24"/>
                <w:u w:val="none"/>
                <w:lang w:val="en-US" w:eastAsia="zh-CN"/>
              </w:rPr>
              <w:t>2</w:t>
            </w:r>
            <w:r>
              <w:rPr>
                <w:rFonts w:hint="eastAsia" w:ascii="宋体" w:hAnsi="宋体" w:eastAsia="宋体" w:cs="宋体"/>
                <w:sz w:val="24"/>
                <w:szCs w:val="24"/>
              </w:rPr>
              <w:t>分，缺项不得分，根据对工程整体有深刻认识，施工组织设计内容针对项目特点完整规范、表述清晰，具体可行和整体编制水平再加0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2</w:t>
            </w:r>
          </w:p>
        </w:tc>
        <w:tc>
          <w:tcPr>
            <w:tcW w:w="2169" w:type="dxa"/>
            <w:tcBorders>
              <w:top w:val="single" w:color="auto" w:sz="4" w:space="0"/>
              <w:bottom w:val="single" w:color="auto" w:sz="4" w:space="0"/>
              <w:right w:val="single" w:color="auto" w:sz="4" w:space="0"/>
            </w:tcBorders>
            <w:vAlign w:val="center"/>
          </w:tcPr>
          <w:p>
            <w:pPr>
              <w:widowControl/>
              <w:spacing w:line="560" w:lineRule="exact"/>
              <w:jc w:val="center"/>
              <w:rPr>
                <w:rFonts w:ascii="宋体" w:hAnsi="宋体"/>
                <w:sz w:val="24"/>
              </w:rPr>
            </w:pPr>
            <w:r>
              <w:rPr>
                <w:rFonts w:hint="eastAsia" w:ascii="宋体" w:hAnsi="宋体" w:cs="宋体"/>
                <w:sz w:val="24"/>
              </w:rPr>
              <w:t>施工进度计划和保证措施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none"/>
                <w:lang w:val="en-US" w:eastAsia="zh-CN"/>
              </w:rPr>
              <w:t>2</w:t>
            </w:r>
            <w:r>
              <w:rPr>
                <w:rFonts w:hint="eastAsia" w:ascii="宋体" w:hAnsi="宋体" w:cs="宋体"/>
                <w:sz w:val="24"/>
              </w:rPr>
              <w:t>分，缺项不得分，根据施工进度计划编排合理，可行、关键路线清晰准确和各阶段进度的保证措施可靠、内容齐全可行再加0-</w:t>
            </w:r>
            <w:r>
              <w:rPr>
                <w:rFonts w:hint="eastAsia" w:ascii="宋体" w:hAnsi="宋体" w:cs="宋体"/>
                <w:sz w:val="24"/>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3</w:t>
            </w:r>
          </w:p>
        </w:tc>
        <w:tc>
          <w:tcPr>
            <w:tcW w:w="2169" w:type="dxa"/>
            <w:tcBorders>
              <w:top w:val="single" w:color="auto" w:sz="4" w:space="0"/>
              <w:bottom w:val="single" w:color="auto" w:sz="4" w:space="0"/>
              <w:right w:val="single" w:color="auto" w:sz="4" w:space="0"/>
            </w:tcBorders>
            <w:vAlign w:val="center"/>
          </w:tcPr>
          <w:p>
            <w:pPr>
              <w:widowControl/>
              <w:spacing w:line="560" w:lineRule="exact"/>
              <w:jc w:val="center"/>
              <w:rPr>
                <w:rFonts w:ascii="宋体" w:hAnsi="宋体"/>
                <w:kern w:val="0"/>
                <w:sz w:val="24"/>
              </w:rPr>
            </w:pPr>
            <w:r>
              <w:rPr>
                <w:rFonts w:hint="eastAsia" w:ascii="宋体" w:hAnsi="宋体" w:cs="宋体"/>
                <w:sz w:val="24"/>
              </w:rPr>
              <w:t>质量管理体系与措施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none"/>
                <w:lang w:val="en-US" w:eastAsia="zh-CN"/>
              </w:rPr>
              <w:t>2</w:t>
            </w:r>
            <w:r>
              <w:rPr>
                <w:rFonts w:hint="eastAsia" w:ascii="宋体" w:hAnsi="宋体" w:cs="宋体"/>
                <w:sz w:val="24"/>
              </w:rPr>
              <w:t>分，缺项不得分，根据体系完整、内容齐全、安排合理、针对项目特点措施先进可行、通病治理措施具体可靠再加0-</w:t>
            </w:r>
            <w:r>
              <w:rPr>
                <w:rFonts w:hint="eastAsia" w:ascii="宋体" w:hAnsi="宋体" w:cs="宋体"/>
                <w:sz w:val="24"/>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491" w:type="dxa"/>
            <w:tcBorders>
              <w:top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4</w:t>
            </w:r>
          </w:p>
        </w:tc>
        <w:tc>
          <w:tcPr>
            <w:tcW w:w="2169" w:type="dxa"/>
            <w:tcBorders>
              <w:top w:val="single" w:color="auto" w:sz="4" w:space="0"/>
              <w:right w:val="single" w:color="auto" w:sz="4" w:space="0"/>
            </w:tcBorders>
            <w:vAlign w:val="center"/>
          </w:tcPr>
          <w:p>
            <w:pPr>
              <w:widowControl/>
              <w:spacing w:line="560" w:lineRule="exact"/>
              <w:jc w:val="center"/>
              <w:rPr>
                <w:rFonts w:ascii="宋体" w:hAnsi="宋体"/>
                <w:sz w:val="24"/>
              </w:rPr>
            </w:pPr>
            <w:r>
              <w:rPr>
                <w:rFonts w:hint="eastAsia" w:ascii="宋体" w:hAnsi="宋体" w:cs="宋体"/>
                <w:sz w:val="24"/>
              </w:rPr>
              <w:t>安全管理体系与措施</w:t>
            </w:r>
          </w:p>
        </w:tc>
        <w:tc>
          <w:tcPr>
            <w:tcW w:w="992" w:type="dxa"/>
            <w:tcBorders>
              <w:top w:val="single" w:color="auto" w:sz="4" w:space="0"/>
              <w:left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none"/>
                <w:lang w:val="en-US" w:eastAsia="zh-CN"/>
              </w:rPr>
              <w:t>2</w:t>
            </w:r>
            <w:r>
              <w:rPr>
                <w:rFonts w:hint="eastAsia" w:ascii="宋体" w:hAnsi="宋体" w:cs="宋体"/>
                <w:sz w:val="24"/>
              </w:rPr>
              <w:t>分，缺项不得分，根据体系完整、内容齐全、安排恰当、措施针对项目实际情况规范具体完整、应急救援预案可行再加0-</w:t>
            </w:r>
            <w:r>
              <w:rPr>
                <w:rFonts w:hint="eastAsia" w:ascii="宋体" w:hAnsi="宋体" w:cs="宋体"/>
                <w:sz w:val="24"/>
                <w:u w:val="none"/>
              </w:rPr>
              <w:t xml:space="preserve"> </w:t>
            </w:r>
            <w:r>
              <w:rPr>
                <w:rFonts w:hint="eastAsia" w:ascii="宋体" w:hAnsi="宋体" w:cs="宋体"/>
                <w:sz w:val="24"/>
                <w:u w:val="none"/>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Cs/>
                <w:sz w:val="24"/>
              </w:rPr>
              <w:t>5</w:t>
            </w:r>
          </w:p>
        </w:tc>
        <w:tc>
          <w:tcPr>
            <w:tcW w:w="2169" w:type="dxa"/>
            <w:tcBorders>
              <w:top w:val="single" w:color="auto" w:sz="4" w:space="0"/>
              <w:bottom w:val="single" w:color="auto" w:sz="4" w:space="0"/>
              <w:right w:val="single" w:color="auto" w:sz="4" w:space="0"/>
            </w:tcBorders>
            <w:vAlign w:val="center"/>
          </w:tcPr>
          <w:p>
            <w:pPr>
              <w:widowControl/>
              <w:spacing w:line="560" w:lineRule="exact"/>
              <w:jc w:val="center"/>
              <w:rPr>
                <w:rFonts w:ascii="宋体" w:hAnsi="宋体"/>
                <w:b/>
                <w:sz w:val="24"/>
              </w:rPr>
            </w:pPr>
            <w:r>
              <w:rPr>
                <w:rFonts w:hint="eastAsia" w:ascii="宋体" w:hAnsi="宋体" w:cs="宋体"/>
                <w:sz w:val="24"/>
              </w:rPr>
              <w:t>环保管理体系与措施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none"/>
                <w:lang w:val="en-US" w:eastAsia="zh-CN"/>
              </w:rPr>
              <w:t>2</w:t>
            </w:r>
            <w:r>
              <w:rPr>
                <w:rFonts w:hint="eastAsia" w:ascii="宋体" w:hAnsi="宋体" w:cs="宋体"/>
                <w:sz w:val="24"/>
              </w:rPr>
              <w:t>分，缺项不得分，根据体系完整、内容齐全、安排恰当、措施可行程度得0-</w:t>
            </w:r>
            <w:r>
              <w:rPr>
                <w:rFonts w:hint="eastAsia" w:ascii="宋体" w:hAnsi="宋体" w:cs="宋体"/>
                <w:sz w:val="24"/>
                <w:u w:val="none"/>
              </w:rPr>
              <w:t xml:space="preserve"> </w:t>
            </w:r>
            <w:r>
              <w:rPr>
                <w:rFonts w:hint="eastAsia" w:ascii="宋体" w:hAnsi="宋体" w:cs="宋体"/>
                <w:sz w:val="24"/>
                <w:u w:val="none"/>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Cs/>
                <w:sz w:val="24"/>
              </w:rPr>
            </w:pPr>
            <w:r>
              <w:rPr>
                <w:rFonts w:hint="eastAsia" w:ascii="宋体" w:hAnsi="宋体"/>
                <w:bCs/>
                <w:sz w:val="24"/>
              </w:rPr>
              <w:t>6</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cs="宋体"/>
                <w:sz w:val="24"/>
              </w:rPr>
              <w:t>文明管理体系与措施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lang w:val="en-US" w:eastAsia="zh-CN"/>
              </w:rPr>
              <w:t>2</w:t>
            </w:r>
            <w:r>
              <w:rPr>
                <w:rFonts w:hint="eastAsia" w:ascii="宋体" w:hAnsi="宋体" w:cs="宋体"/>
                <w:sz w:val="24"/>
              </w:rPr>
              <w:t>分，缺项不得分，根据体系完整、内容齐全、安排恰当、针对项目实际情况措施可行程度得0-</w:t>
            </w:r>
            <w:r>
              <w:rPr>
                <w:rFonts w:hint="eastAsia" w:ascii="宋体" w:hAnsi="宋体" w:cs="宋体"/>
                <w:sz w:val="24"/>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Cs/>
                <w:sz w:val="24"/>
              </w:rPr>
              <w:t>7</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cs="宋体"/>
                <w:sz w:val="24"/>
              </w:rPr>
              <w:t>劳动力、机械设备和材料投入计划</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lang w:val="en-US" w:eastAsia="zh-CN"/>
              </w:rPr>
              <w:t>2</w:t>
            </w:r>
            <w:r>
              <w:rPr>
                <w:rFonts w:hint="eastAsia" w:ascii="宋体" w:hAnsi="宋体" w:cs="宋体"/>
                <w:sz w:val="24"/>
              </w:rPr>
              <w:t>分，缺项不得分，根据内容齐全、安排合理、投入计划与进度计划想呼应、措施可行程度再加0-</w:t>
            </w:r>
            <w:r>
              <w:rPr>
                <w:rFonts w:hint="eastAsia" w:ascii="宋体" w:hAnsi="宋体" w:cs="宋体"/>
                <w:sz w:val="24"/>
                <w:u w:val="single"/>
              </w:rPr>
              <w:t xml:space="preserve"> </w:t>
            </w:r>
            <w:r>
              <w:rPr>
                <w:rFonts w:hint="eastAsia" w:ascii="宋体" w:hAnsi="宋体" w:cs="宋体"/>
                <w:sz w:val="24"/>
                <w:u w:val="none"/>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8</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cs="宋体"/>
                <w:sz w:val="24"/>
              </w:rPr>
              <w:t>施工管理及措施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lang w:val="en-US" w:eastAsia="zh-CN"/>
              </w:rPr>
              <w:t>2</w:t>
            </w:r>
            <w:r>
              <w:rPr>
                <w:rFonts w:hint="eastAsia" w:ascii="宋体" w:hAnsi="宋体" w:cs="宋体"/>
                <w:sz w:val="24"/>
              </w:rPr>
              <w:t>分，缺项不得分，根据对本工程项目管理的认识，内容齐全、有针对性、对工程现场管理安排合理、符合安全文明生产要求、对工程管理的配合、协调、服务措施可行得</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9</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cs="宋体"/>
                <w:sz w:val="24"/>
              </w:rPr>
              <w:t>施工关键部位、材料采购要点的控制及措施（根据工程特点及本磋商文件要求应具有针对性）</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none"/>
                <w:lang w:val="en-US" w:eastAsia="zh-CN"/>
              </w:rPr>
              <w:t>2</w:t>
            </w:r>
            <w:r>
              <w:rPr>
                <w:rFonts w:hint="eastAsia" w:ascii="宋体" w:hAnsi="宋体" w:cs="宋体"/>
                <w:sz w:val="24"/>
              </w:rPr>
              <w:t>分，缺项不得分，根据针对工程特点内容齐全、安排合理、对施工关键部位分析到位等再加</w:t>
            </w:r>
            <w:r>
              <w:rPr>
                <w:rFonts w:hint="eastAsia" w:ascii="宋体" w:hAnsi="宋体" w:cs="宋体"/>
                <w:sz w:val="24"/>
                <w:lang w:val="en-US" w:eastAsia="zh-CN"/>
              </w:rPr>
              <w:t>0</w:t>
            </w:r>
            <w:r>
              <w:rPr>
                <w:rFonts w:hint="eastAsia" w:ascii="宋体" w:hAnsi="宋体" w:cs="宋体"/>
                <w:sz w:val="24"/>
                <w:u w:val="none"/>
              </w:rPr>
              <w:t>-</w:t>
            </w:r>
            <w:r>
              <w:rPr>
                <w:rFonts w:hint="eastAsia" w:ascii="宋体" w:hAnsi="宋体" w:cs="宋体"/>
                <w:sz w:val="24"/>
                <w:u w:val="none"/>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10</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工地扬尘污染防治措施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sz w:val="24"/>
              </w:rPr>
              <w:t>有该项的基本分</w:t>
            </w:r>
            <w:r>
              <w:rPr>
                <w:rFonts w:hint="eastAsia" w:ascii="宋体" w:hAnsi="宋体"/>
                <w:sz w:val="24"/>
                <w:lang w:val="en-US" w:eastAsia="zh-CN"/>
              </w:rPr>
              <w:t>2</w:t>
            </w:r>
            <w:r>
              <w:rPr>
                <w:rFonts w:hint="eastAsia" w:ascii="宋体" w:hAnsi="宋体"/>
                <w:sz w:val="24"/>
              </w:rPr>
              <w:t>分，根据措施体系完整、内容齐全、安排恰当、针对项目实际情况措施可行程度再加0-</w:t>
            </w:r>
            <w:r>
              <w:rPr>
                <w:rFonts w:hint="eastAsia" w:ascii="宋体" w:hAnsi="宋体"/>
                <w:sz w:val="24"/>
                <w:lang w:val="en-US" w:eastAsia="zh-CN"/>
              </w:rPr>
              <w:t>5</w:t>
            </w:r>
            <w:r>
              <w:rPr>
                <w:rFonts w:hint="eastAsia" w:ascii="宋体" w:hAnsi="宋体"/>
                <w:sz w:val="24"/>
              </w:rPr>
              <w:t>分。</w:t>
            </w:r>
          </w:p>
        </w:tc>
      </w:tr>
    </w:tbl>
    <w:p>
      <w:pPr>
        <w:pStyle w:val="2"/>
        <w:rPr>
          <w:rFonts w:hint="eastAsia"/>
        </w:rPr>
      </w:pPr>
    </w:p>
    <w:p>
      <w:pPr>
        <w:tabs>
          <w:tab w:val="left" w:pos="0"/>
          <w:tab w:val="left" w:pos="885"/>
          <w:tab w:val="left" w:pos="990"/>
        </w:tabs>
        <w:wordWrap w:val="0"/>
        <w:topLinePunct/>
        <w:adjustRightInd w:val="0"/>
        <w:snapToGrid w:val="0"/>
        <w:spacing w:line="360" w:lineRule="auto"/>
        <w:jc w:val="left"/>
        <w:rPr>
          <w:rFonts w:hint="eastAsia" w:ascii="宋体" w:hAnsi="宋体" w:eastAsia="宋体" w:cs="宋体"/>
          <w:b/>
          <w:color w:val="auto"/>
          <w:sz w:val="24"/>
          <w:szCs w:val="24"/>
        </w:rPr>
      </w:pPr>
      <w:bookmarkStart w:id="16" w:name="_Toc22960"/>
      <w:bookmarkStart w:id="17" w:name="_Toc23800"/>
      <w:bookmarkStart w:id="18" w:name="_Toc4171"/>
      <w:bookmarkStart w:id="19" w:name="_Toc13071"/>
      <w:bookmarkStart w:id="20" w:name="_Toc1466"/>
      <w:r>
        <w:rPr>
          <w:rFonts w:hint="eastAsia" w:ascii="宋体" w:hAnsi="宋体" w:eastAsia="宋体" w:cs="宋体"/>
          <w:b/>
          <w:color w:val="auto"/>
          <w:sz w:val="24"/>
          <w:szCs w:val="24"/>
        </w:rPr>
        <w:t>注：</w:t>
      </w:r>
      <w:r>
        <w:rPr>
          <w:rFonts w:hint="eastAsia" w:ascii="宋体" w:hAnsi="宋体" w:eastAsia="宋体" w:cs="宋体"/>
          <w:b/>
          <w:bCs/>
          <w:sz w:val="24"/>
          <w:szCs w:val="24"/>
        </w:rPr>
        <w:t>1、总得分相同者，按最终报价低的名次在前；最终报价也相同的，施工组织设计总得分高者排名优先；施工</w:t>
      </w:r>
      <w:r>
        <w:rPr>
          <w:rFonts w:hint="eastAsia" w:ascii="宋体" w:hAnsi="宋体" w:eastAsia="宋体" w:cs="宋体"/>
          <w:b/>
          <w:sz w:val="24"/>
          <w:szCs w:val="24"/>
        </w:rPr>
        <w:t>组织设计总得分也相同的，资信总得分高者排名优先；资信总得分也相同的，采购人按响应文件递交顺序排名。</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2、评分分值计算保留小数点后两位，小数点后第三位“四舍五入”。</w:t>
      </w:r>
    </w:p>
    <w:p>
      <w:pPr>
        <w:wordWrap w:val="0"/>
        <w:topLinePunct/>
        <w:adjustRightInd w:val="0"/>
        <w:snapToGrid w:val="0"/>
        <w:spacing w:line="360" w:lineRule="auto"/>
        <w:jc w:val="left"/>
        <w:outlineLvl w:val="1"/>
        <w:rPr>
          <w:rFonts w:ascii="宋体" w:hAnsi="宋体" w:cs="宋体"/>
          <w:color w:val="auto"/>
          <w:sz w:val="24"/>
          <w:szCs w:val="24"/>
        </w:rPr>
      </w:pPr>
      <w:r>
        <w:rPr>
          <w:rFonts w:hint="eastAsia" w:ascii="宋体" w:hAnsi="宋体" w:cs="宋体"/>
          <w:b/>
          <w:color w:val="auto"/>
          <w:sz w:val="24"/>
          <w:szCs w:val="24"/>
        </w:rPr>
        <w:t>四、成交通知书</w:t>
      </w:r>
    </w:p>
    <w:p>
      <w:pPr>
        <w:wordWrap w:val="0"/>
        <w:topLinePunct/>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cs="宋体"/>
          <w:color w:val="auto"/>
          <w:sz w:val="24"/>
          <w:szCs w:val="24"/>
        </w:rPr>
        <w:t>成交结果公示结束无异议后，采购人向成交供应商签发《成交通知书》。</w:t>
      </w: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第四部分  采购内容</w:t>
      </w:r>
      <w:bookmarkEnd w:id="16"/>
      <w:bookmarkEnd w:id="17"/>
      <w:bookmarkEnd w:id="18"/>
      <w:bookmarkEnd w:id="19"/>
      <w:bookmarkEnd w:id="20"/>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邹城市北宿镇圣和花园南区10KV配电工程（第三次），主要包含圣和花园南区4栋楼的高压配电、低压配电、配电室照明及接地、室外照明、弱电预埋及监控和配电室电缆沟等内容。</w:t>
      </w:r>
      <w:r>
        <w:rPr>
          <w:rFonts w:hint="eastAsia" w:ascii="宋体" w:hAnsi="宋体" w:eastAsia="宋体" w:cs="宋体"/>
          <w:b w:val="0"/>
          <w:bCs/>
          <w:color w:val="auto"/>
          <w:sz w:val="24"/>
          <w:szCs w:val="24"/>
          <w:highlight w:val="none"/>
          <w:lang w:val="en-US" w:eastAsia="zh-CN"/>
        </w:rPr>
        <w:t>采购预算（控制价）为</w:t>
      </w:r>
      <w:r>
        <w:rPr>
          <w:rFonts w:hint="eastAsia" w:ascii="宋体" w:hAnsi="宋体" w:cs="宋体"/>
          <w:b w:val="0"/>
          <w:bCs/>
          <w:color w:val="auto"/>
          <w:sz w:val="24"/>
          <w:szCs w:val="24"/>
          <w:highlight w:val="none"/>
          <w:lang w:val="en-US" w:eastAsia="zh-CN"/>
        </w:rPr>
        <w:t>2342102.12</w:t>
      </w:r>
      <w:r>
        <w:rPr>
          <w:rFonts w:hint="eastAsia" w:ascii="宋体" w:hAnsi="宋体" w:eastAsia="宋体" w:cs="宋体"/>
          <w:b w:val="0"/>
          <w:bCs/>
          <w:color w:val="auto"/>
          <w:sz w:val="24"/>
          <w:szCs w:val="24"/>
          <w:highlight w:val="none"/>
          <w:lang w:val="en-US" w:eastAsia="zh-CN"/>
        </w:rPr>
        <w:t>元，</w:t>
      </w:r>
      <w:r>
        <w:rPr>
          <w:rFonts w:hint="eastAsia" w:ascii="宋体" w:hAnsi="宋体" w:eastAsia="宋体" w:cs="宋体"/>
          <w:b w:val="0"/>
          <w:bCs/>
          <w:color w:val="auto"/>
          <w:sz w:val="24"/>
          <w:szCs w:val="24"/>
          <w:highlight w:val="none"/>
        </w:rPr>
        <w:t>具体内容详见采购预算(控制价)。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color w:val="auto"/>
          <w:sz w:val="24"/>
          <w:szCs w:val="24"/>
          <w:highlight w:val="none"/>
        </w:rPr>
      </w:pPr>
      <w:bookmarkStart w:id="21" w:name="_Toc1352"/>
      <w:bookmarkStart w:id="22" w:name="_Toc24173"/>
      <w:bookmarkStart w:id="23" w:name="_Toc30448"/>
      <w:bookmarkStart w:id="24" w:name="_Toc16480"/>
      <w:bookmarkStart w:id="25" w:name="_Toc22583"/>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一</w:t>
      </w:r>
      <w:r>
        <w:rPr>
          <w:rFonts w:hint="eastAsia" w:ascii="宋体" w:hAnsi="宋体" w:eastAsia="宋体" w:cs="宋体"/>
          <w:b/>
          <w:bCs w:val="0"/>
          <w:color w:val="auto"/>
          <w:kern w:val="0"/>
          <w:sz w:val="24"/>
          <w:szCs w:val="24"/>
          <w:highlight w:val="none"/>
        </w:rPr>
        <w:t>）</w:t>
      </w:r>
      <w:r>
        <w:rPr>
          <w:rFonts w:hint="eastAsia" w:ascii="宋体" w:hAnsi="宋体" w:eastAsia="宋体" w:cs="宋体"/>
          <w:b/>
          <w:color w:val="auto"/>
          <w:sz w:val="24"/>
          <w:szCs w:val="24"/>
          <w:highlight w:val="none"/>
        </w:rPr>
        <w:t>建设地点：</w:t>
      </w:r>
      <w:r>
        <w:rPr>
          <w:rFonts w:hint="eastAsia" w:ascii="宋体" w:hAnsi="宋体" w:eastAsia="宋体" w:cs="宋体"/>
          <w:b w:val="0"/>
          <w:bCs/>
          <w:color w:val="auto"/>
          <w:sz w:val="24"/>
          <w:szCs w:val="24"/>
          <w:highlight w:val="none"/>
          <w:lang w:eastAsia="zh-CN"/>
        </w:rPr>
        <w:t>邹城市</w:t>
      </w:r>
      <w:r>
        <w:rPr>
          <w:rFonts w:hint="eastAsia" w:ascii="宋体" w:hAnsi="宋体" w:cs="宋体"/>
          <w:b w:val="0"/>
          <w:bCs/>
          <w:color w:val="auto"/>
          <w:sz w:val="24"/>
          <w:szCs w:val="24"/>
          <w:highlight w:val="none"/>
          <w:lang w:val="en-US" w:eastAsia="zh-CN"/>
        </w:rPr>
        <w:t>北宿镇东故下村</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）建设规模：</w:t>
      </w:r>
      <w:r>
        <w:rPr>
          <w:rFonts w:hint="eastAsia" w:ascii="宋体" w:hAnsi="宋体" w:eastAsia="宋体" w:cs="宋体"/>
          <w:bCs/>
          <w:color w:val="auto"/>
          <w:sz w:val="24"/>
          <w:szCs w:val="24"/>
          <w:highlight w:val="none"/>
        </w:rPr>
        <w:t>本次磋商项目总投资</w:t>
      </w:r>
      <w:r>
        <w:rPr>
          <w:rFonts w:hint="eastAsia" w:ascii="宋体" w:hAnsi="宋体" w:cs="宋体"/>
          <w:b w:val="0"/>
          <w:bCs/>
          <w:color w:val="auto"/>
          <w:sz w:val="24"/>
          <w:szCs w:val="24"/>
          <w:highlight w:val="none"/>
          <w:lang w:val="en-US" w:eastAsia="zh-CN"/>
        </w:rPr>
        <w:t>2342102.12</w:t>
      </w:r>
      <w:r>
        <w:rPr>
          <w:rFonts w:hint="eastAsia" w:ascii="宋体" w:hAnsi="宋体" w:eastAsia="宋体" w:cs="宋体"/>
          <w:bCs/>
          <w:color w:val="auto"/>
          <w:sz w:val="24"/>
          <w:szCs w:val="24"/>
          <w:highlight w:val="none"/>
          <w:u w:val="none"/>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）计划工期：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日历天。</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）质量要求：</w:t>
      </w:r>
      <w:r>
        <w:rPr>
          <w:rFonts w:hint="eastAsia" w:ascii="宋体" w:hAnsi="宋体" w:eastAsia="宋体" w:cs="宋体"/>
          <w:bCs/>
          <w:color w:val="auto"/>
          <w:sz w:val="24"/>
          <w:szCs w:val="24"/>
          <w:highlight w:val="none"/>
        </w:rPr>
        <w:t>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缺陷责任期</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两年</w:t>
      </w:r>
      <w:r>
        <w:rPr>
          <w:rFonts w:hint="eastAsia" w:ascii="宋体" w:hAnsi="宋体" w:eastAsia="宋体" w:cs="宋体"/>
          <w:b/>
          <w:bCs/>
          <w:color w:val="auto"/>
          <w:sz w:val="24"/>
          <w:szCs w:val="24"/>
          <w:highlight w:val="none"/>
        </w:rPr>
        <w:t>。</w:t>
      </w:r>
    </w:p>
    <w:p>
      <w:pPr>
        <w:spacing w:line="360" w:lineRule="auto"/>
        <w:rPr>
          <w:rFonts w:hint="eastAsia" w:ascii="宋体" w:hAnsi="宋体" w:cs="宋体"/>
          <w:b/>
          <w:bCs/>
          <w:sz w:val="24"/>
          <w:szCs w:val="24"/>
        </w:rPr>
      </w:pPr>
      <w:r>
        <w:rPr>
          <w:rFonts w:hint="eastAsia" w:ascii="宋体" w:hAnsi="宋体" w:cs="宋体"/>
          <w:b/>
          <w:sz w:val="24"/>
          <w:szCs w:val="24"/>
        </w:rPr>
        <w:t>三、</w:t>
      </w:r>
      <w:r>
        <w:rPr>
          <w:rFonts w:hint="eastAsia" w:ascii="宋体" w:hAnsi="宋体" w:cs="宋体"/>
          <w:b/>
          <w:bCs/>
          <w:sz w:val="24"/>
          <w:szCs w:val="24"/>
        </w:rPr>
        <w:t>工程量清单</w:t>
      </w:r>
    </w:p>
    <w:p>
      <w:pPr>
        <w:pStyle w:val="5"/>
        <w:jc w:val="center"/>
        <w:rPr>
          <w:rFonts w:hint="eastAsia" w:ascii="宋体" w:hAnsi="宋体" w:eastAsia="宋体" w:cs="宋体"/>
          <w:bCs w:val="0"/>
          <w:sz w:val="24"/>
          <w:szCs w:val="24"/>
        </w:rPr>
      </w:pPr>
      <w:bookmarkStart w:id="26" w:name="_Toc24242"/>
      <w:bookmarkStart w:id="27" w:name="_Toc14493"/>
      <w:r>
        <w:rPr>
          <w:rFonts w:hint="eastAsia" w:ascii="宋体" w:hAnsi="宋体" w:eastAsia="宋体" w:cs="宋体"/>
          <w:bCs w:val="0"/>
          <w:sz w:val="24"/>
          <w:szCs w:val="24"/>
        </w:rPr>
        <w:t>1．工程量清单说明</w:t>
      </w:r>
      <w:bookmarkEnd w:id="26"/>
      <w:bookmarkEnd w:id="27"/>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1.1本工程量清单是依据中华人民共和国国家标准《建设工程工程量清单计价规范》(以下简称“计价规范”)、 《山东省建设工程工程量清单计价规则》以及竞争性磋商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1.2本工程量清单应与竞争性磋商文件中的供应商须知、通用合同条款、专用合同条款、技术标准和要求及图纸等章节内容一起阅读和理解。</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1.3本工程量清单仅是报价的共同基础，竣工结算的工程量按合同约定确定。合同价格的确定以及价款支付应遵循合同条款(包括通用合同条款和专用合同条款)、技术标准和要求以及本章的有关约定。</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1.4补充子目的子目特征、计量单位、工程量计算规则及工作内容说明如下：</w:t>
      </w:r>
      <w:r>
        <w:rPr>
          <w:rFonts w:hint="eastAsia" w:ascii="宋体" w:hAnsi="宋体" w:eastAsia="宋体" w:cs="宋体"/>
          <w:sz w:val="24"/>
          <w:szCs w:val="24"/>
          <w:u w:val="single"/>
        </w:rPr>
        <w:t xml:space="preserve">   ／      。</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1.5本条第1.1款中约定的计量和计价规则适用于合同履约过程中工程量计量与价款支付、工程变更、索赔和工程结算。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1.6本条与下述第2条和第3条的说明内容是构成合同文件的已标价工程量清单的组成部分。</w:t>
      </w:r>
    </w:p>
    <w:p>
      <w:pPr>
        <w:pStyle w:val="5"/>
        <w:jc w:val="center"/>
        <w:rPr>
          <w:rFonts w:hint="eastAsia" w:ascii="宋体" w:hAnsi="宋体" w:eastAsia="宋体" w:cs="宋体"/>
          <w:bCs w:val="0"/>
          <w:sz w:val="24"/>
          <w:szCs w:val="24"/>
        </w:rPr>
      </w:pPr>
      <w:bookmarkStart w:id="28" w:name="_Toc24996"/>
      <w:bookmarkStart w:id="29" w:name="_Toc10461"/>
      <w:r>
        <w:rPr>
          <w:rFonts w:hint="eastAsia" w:ascii="宋体" w:hAnsi="宋体" w:eastAsia="宋体" w:cs="宋体"/>
          <w:bCs w:val="0"/>
          <w:sz w:val="24"/>
          <w:szCs w:val="24"/>
        </w:rPr>
        <w:t>2．报价说明</w:t>
      </w:r>
      <w:bookmarkEnd w:id="28"/>
      <w:bookmarkEnd w:id="2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2.1报价应根据竞争性磋商文件中的有关计价要求，并按照下列依据自主报价。</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(1)  本竞争性磋商文件；</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(2)  《建设工程工程量清单计价规范》、《山东省建设工程工程量清单计价规则》；</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(3)  国家或省级、行业建设主管部门颁发的计价办法；</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(4)  企业定额，国家或省级、行业建设主管部门颁发的计价定额；</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(5)  竞争性磋商文件(包括工程量清单)的澄清、补充和修改文件；</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(6)  建设工程设计文件及相关资料；</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(7)  施工现场情况、工程特点及拟定的竞标施工组织设计或施工方案；</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(8)  与建设项目相关的标准、规定等技术资料；</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(9)  市场价格信息或工程造价管理机构发布的工程造价信息；</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(10) 其他的相关资料。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2.2工程量清单中的每一子目须填入单价或价格，且只允许有一个报价。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2.3工程量清单成交价的单价或金额，应包括所需人工费、材料费、施工机械使用费和管理费及利润，以及一定范围内的风险费用。所谓“一定范围内的风险”是指合同约定的风险。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2.4已标价工程量清单中供应商没有填入单价或价格的子目，其费用视为已分摊在工程量清单中其他已标价的相关子目的单价或价格之中。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2.6分部分项工程项目按下列要求报价：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2.6.1分部分项工程量清单计价应依据计价规范中关于综合单价的组成内容及本竞争性磋商文件中分部分项工程量清单项目的特征描述确定报价。</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2.6.2如果分部分项工程量清单中涉及“材料暂估价一览表”中列出的材料和工程设备</w:t>
      </w:r>
      <w:r>
        <w:rPr>
          <w:rFonts w:hint="eastAsia" w:ascii="宋体" w:hAnsi="宋体" w:eastAsia="宋体" w:cs="宋体"/>
          <w:b/>
          <w:sz w:val="24"/>
          <w:szCs w:val="24"/>
        </w:rPr>
        <w:t>（包括发包人自行提供的材料和工程设备，即甲供材）</w:t>
      </w:r>
      <w:r>
        <w:rPr>
          <w:rFonts w:hint="eastAsia" w:ascii="宋体" w:hAnsi="宋体" w:eastAsia="宋体" w:cs="宋体"/>
          <w:sz w:val="24"/>
          <w:szCs w:val="24"/>
        </w:rPr>
        <w:t>，则按照本节第3.3.2项的报价原则，将该类材料和工程设备的暂估单价本身以及除对应的规费及税金以外的费用计入分部分项工程量清单相应子目的综合单价。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2.6.3“分部分项工程量清单与计价表”（暂估清单综合单价除外）所列各子目的综合单价组成中，各子目的人工、材料和机械台班消耗量由供应商按照其自身情况做充分的、竞争性考虑。材料消耗量包括损耗量。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在报价中考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2.7措施项目按下列要求报价：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措施项目清单计价应根据供应商的施工组织设计进行报价。可以计量工程量的措施项目，应按分部分项工程量清单的方式采用综合单价计价；其余的措施项目可以“项”为单位的方式计价。供应商所填报价格应包括除规费、税金外的全部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2.7.2采购人提供的措施项目清单中所列项目仅指一般的通用项目，供应商在报价时应充分、全面地阅读和理解竞争性磋商文件的相关内容和约定，包括第四部分“采购内容及要求”的相关约定，详实了解工程场地及其周围环境，充分考虑采购工程特点及拟定的施工方案和施工组织设计，对采购人给出的措施项目清单的内容进行细化或增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2.7.3“措施项目清单与计价表”中所填写的报价金额，应全面涵盖竞争性磋商文件约定的供应商中标后施工、竣工、交付本工程并维修其任何缺陷所需要履行的责任和义务的全部费用。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2.7.4对于“措施项目清单与计价表”中所填写的报价金额，应按照“措施项目清单报价分析表”对措施项目报价的组成进行详细的列项和分析。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2.8其他项目清单费应按下列规定报价：</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2.8.1暂列金额按“暂列金额明细表”中列出的金额报价，此处的暂列金额是采购人在竞争性磋商文件中统一给定的，并不包括本章第2.8.3项的计日工金额。</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2.8.2暂估价分为：材料、工程设备暂估单价，专业工程暂估价，特殊项目暂估价三类。</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（1）材料、工程设备暂估单价和暂估清单综合单价按本节第3.3.2项的报价原则进入分部分项工程量清单之综合单价，不在其他项目清单中汇总；</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（2）专业工程暂估价由采购人列入总承包服务费清单与计价表中。专业工程暂估价是包括规费、税金在内的全部工程费用，仅作为计取总承包服务费的基础。</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（3）特殊项目费按“特殊项目暂估价表”中列出的金额填写，此处的特殊项目费是采购人在竞争性磋商文件中统一给定的。</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2.8.3计日工按“计日工表”中列出的子目和估算数量，自主确定综合单价并计算计日工金额。计日工综合单价均不包括规费和税金，其中：</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(2)  材料价格包括材料运到现场的价格以及现场搬运、仓储、二次搬运、损耗、保险、企业管理费和利润；</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2.8.4总承包服务费根据竞争性磋商文件中列出的项目内容和要求，按“总承包服务费清单与计价表”所列格式自主报价。</w:t>
      </w:r>
    </w:p>
    <w:p>
      <w:pPr>
        <w:spacing w:line="360" w:lineRule="auto"/>
        <w:ind w:left="6" w:firstLine="480" w:firstLineChars="200"/>
        <w:rPr>
          <w:rFonts w:hint="eastAsia" w:ascii="宋体" w:hAnsi="宋体" w:eastAsia="宋体" w:cs="宋体"/>
          <w:b/>
          <w:bCs/>
          <w:sz w:val="24"/>
          <w:szCs w:val="24"/>
        </w:rPr>
      </w:pPr>
      <w:r>
        <w:rPr>
          <w:rFonts w:hint="eastAsia" w:ascii="宋体" w:hAnsi="宋体" w:eastAsia="宋体" w:cs="宋体"/>
          <w:sz w:val="24"/>
          <w:szCs w:val="24"/>
        </w:rPr>
        <w:t>2.9</w:t>
      </w:r>
      <w:r>
        <w:rPr>
          <w:rFonts w:hint="eastAsia" w:ascii="宋体" w:hAnsi="宋体" w:eastAsia="宋体" w:cs="宋体"/>
          <w:b/>
          <w:bCs/>
          <w:sz w:val="24"/>
          <w:szCs w:val="24"/>
        </w:rPr>
        <w:t>报价中的规费、税金为不可竞争费用，应按营改增后的山东省、济宁市相关规定足额计取。供应商在投标报价中，对上述费用进行让利或者优惠的，应当否决其磋商。</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2.10除竞争性磋商文件有强制性规定以及不可竞争部分以外，报价由供应商自主确定，但不得低于其成本。</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供应商自身的管理水平、技术水平和综合实力。</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2.12管理费应由供应商在保证不低于其成本的基础上做竞争性考虑；利润由供应商根据自身情况和综合实力做竞争性考虑。</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2.13报价中应考虑竞争性磋商文件中要求供应商承担的风险范围以及相关的费用。</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2.14报价总价为供应商在响应文件中提出的各项支付金额的总和，为实施、完成竞争性磋商工程并修补缺陷以及履行竞争性磋商文件中约定的风险范围内的所有责任和义务所发生的全部费用。</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2.15有关报价的其他说明：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（1）根据山东省住建厅《建筑业营改增建设工程计价依据调整实施意见》，本项目按照营改增后的计价依据执行。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应当根据采购人提供的磋商文件、施工图设计文件及相关资料、工程量清单、建设工程工程量清单计价规范（GB50500-2013）、与建设工程工程量清单计价规范（GB50500-2013）配套的营改增后的山东省、济宁市有关工程量清单计价现行规定，结合施工现场情况、工程类别和供应商自身实力，综合考虑多种风险因素编制投标报价，但不得低于本企业成本，不得减少工程造价的构成。</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本次磋商设采购控制价，采购控制价是采购人对采购项目期望的最高限价，供应商的初次报价和最终报价均不得高于采购控制价，供应商初次报价或最终报价高于采购控制价的，或最终报价高于初次报价的，</w:t>
      </w:r>
      <w:r>
        <w:rPr>
          <w:rFonts w:hint="eastAsia" w:ascii="宋体" w:hAnsi="宋体" w:eastAsia="宋体" w:cs="宋体"/>
          <w:b/>
          <w:sz w:val="24"/>
          <w:szCs w:val="24"/>
        </w:rPr>
        <w:t>作无效响应处理。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（4）根据济建行发字【2016】7 号文规定，自 2016 年 10 月 1 日起，全市范围内新建及主 体未验收的建筑工程，禁止施工现场搅拌砂浆，必须使用预拌砂浆。建设工程项目因 特殊原因不能使用预拌砂浆，确需现场搅拌砂浆的，应报所在县、市、区建设主管部门的同意。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因本项目建设地点特殊，供应商应自行踏勘施工现场，以充分了解工地位置、现场土质地质、现场水源、电源位置和数量等情况、道路、储存空间、运输限制、装卸限制、需拆除建筑物现场实际情况及任何其他足以影响造价的情况，并在磋商时予以充分考虑，并考虑到报价中，任何因忽视或误解工地情况而导致的费用增加或工期延长申请将不被批准。</w:t>
      </w:r>
      <w:bookmarkStart w:id="30" w:name="_Toc17581"/>
      <w:bookmarkStart w:id="31" w:name="_Toc31794"/>
      <w:bookmarkStart w:id="32" w:name="_Toc28292"/>
      <w:bookmarkStart w:id="33" w:name="_Toc300232556"/>
    </w:p>
    <w:p>
      <w:pPr>
        <w:pStyle w:val="4"/>
        <w:spacing w:before="0" w:after="0" w:line="360" w:lineRule="auto"/>
        <w:rPr>
          <w:rFonts w:hint="eastAsia" w:ascii="宋体" w:hAnsi="宋体" w:eastAsia="宋体" w:cs="宋体"/>
          <w:bCs w:val="0"/>
          <w:sz w:val="24"/>
          <w:szCs w:val="24"/>
        </w:rPr>
      </w:pPr>
      <w:bookmarkStart w:id="34" w:name="_Toc10325"/>
      <w:r>
        <w:rPr>
          <w:rFonts w:hint="eastAsia" w:ascii="宋体" w:hAnsi="宋体" w:eastAsia="宋体" w:cs="宋体"/>
          <w:bCs w:val="0"/>
          <w:sz w:val="24"/>
          <w:szCs w:val="24"/>
        </w:rPr>
        <w:t>3．其他说明</w:t>
      </w:r>
      <w:bookmarkEnd w:id="30"/>
      <w:bookmarkEnd w:id="31"/>
      <w:bookmarkEnd w:id="32"/>
      <w:bookmarkEnd w:id="33"/>
      <w:bookmarkEnd w:id="34"/>
    </w:p>
    <w:p>
      <w:pPr>
        <w:spacing w:after="120" w:afterLines="5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3.1词语和定义</w:t>
      </w:r>
    </w:p>
    <w:p>
      <w:pPr>
        <w:spacing w:before="24" w:beforeLines="1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3.1.1  </w:t>
      </w:r>
      <w:r>
        <w:rPr>
          <w:rFonts w:hint="eastAsia" w:ascii="宋体" w:hAnsi="宋体" w:eastAsia="宋体" w:cs="宋体"/>
          <w:b/>
          <w:sz w:val="24"/>
          <w:szCs w:val="24"/>
        </w:rPr>
        <w:t>工程量清单</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是表现本工程分部分项工程项目、措施项目、其他项目、规费项目和税金的名称和相应数量等的明细清单。</w:t>
      </w:r>
    </w:p>
    <w:p>
      <w:pPr>
        <w:spacing w:before="24" w:beforeLines="1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3.1.2  </w:t>
      </w:r>
      <w:r>
        <w:rPr>
          <w:rFonts w:hint="eastAsia" w:ascii="宋体" w:hAnsi="宋体" w:eastAsia="宋体" w:cs="宋体"/>
          <w:b/>
          <w:sz w:val="24"/>
          <w:szCs w:val="24"/>
        </w:rPr>
        <w:t>总价子目</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4" w:beforeLines="1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3.1.3  </w:t>
      </w:r>
      <w:r>
        <w:rPr>
          <w:rFonts w:hint="eastAsia" w:ascii="宋体" w:hAnsi="宋体" w:eastAsia="宋体" w:cs="宋体"/>
          <w:b/>
          <w:sz w:val="24"/>
          <w:szCs w:val="24"/>
        </w:rPr>
        <w:t>单价子目</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工程量清单中以单价计价，根据有合同约束力的图纸和工程量计算规则进行计量，以实际完成数量乘以相应单价进行结算的子目。</w:t>
      </w:r>
    </w:p>
    <w:p>
      <w:pPr>
        <w:spacing w:before="24" w:beforeLines="1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3.1.4  </w:t>
      </w:r>
      <w:r>
        <w:rPr>
          <w:rFonts w:hint="eastAsia" w:ascii="宋体" w:hAnsi="宋体" w:eastAsia="宋体" w:cs="宋体"/>
          <w:b/>
          <w:sz w:val="24"/>
          <w:szCs w:val="24"/>
        </w:rPr>
        <w:t>子目编码</w:t>
      </w:r>
    </w:p>
    <w:p>
      <w:pPr>
        <w:spacing w:line="360" w:lineRule="auto"/>
        <w:ind w:left="724" w:leftChars="345"/>
        <w:rPr>
          <w:rFonts w:hint="eastAsia" w:ascii="宋体" w:hAnsi="宋体" w:eastAsia="宋体" w:cs="宋体"/>
          <w:sz w:val="24"/>
          <w:szCs w:val="24"/>
        </w:rPr>
      </w:pPr>
      <w:r>
        <w:rPr>
          <w:rFonts w:hint="eastAsia" w:ascii="宋体" w:hAnsi="宋体" w:eastAsia="宋体" w:cs="宋体"/>
          <w:sz w:val="24"/>
          <w:szCs w:val="24"/>
        </w:rPr>
        <w:t>分部分项工程项目清单中所列的子目名称的数字标识和代码，子目编码与项目编码同义。</w:t>
      </w:r>
    </w:p>
    <w:p>
      <w:pPr>
        <w:spacing w:before="48" w:beforeLines="2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3.1.5  </w:t>
      </w:r>
      <w:r>
        <w:rPr>
          <w:rFonts w:hint="eastAsia" w:ascii="宋体" w:hAnsi="宋体" w:eastAsia="宋体" w:cs="宋体"/>
          <w:b/>
          <w:sz w:val="24"/>
          <w:szCs w:val="24"/>
        </w:rPr>
        <w:t>子目特征</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构成分部分项工程项目清单子目、措施项目的实质内容、决定其自身价值的本质特征，子目特征与项目特征同义。</w:t>
      </w:r>
    </w:p>
    <w:p>
      <w:pPr>
        <w:spacing w:before="48" w:beforeLines="2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3.1.6  </w:t>
      </w:r>
      <w:r>
        <w:rPr>
          <w:rFonts w:hint="eastAsia" w:ascii="宋体" w:hAnsi="宋体" w:eastAsia="宋体" w:cs="宋体"/>
          <w:b/>
          <w:sz w:val="24"/>
          <w:szCs w:val="24"/>
        </w:rPr>
        <w:t>规费</w:t>
      </w:r>
    </w:p>
    <w:p>
      <w:pPr>
        <w:spacing w:line="360" w:lineRule="auto"/>
        <w:ind w:left="359" w:leftChars="171"/>
        <w:rPr>
          <w:rFonts w:hint="eastAsia" w:ascii="宋体" w:hAnsi="宋体" w:eastAsia="宋体" w:cs="宋体"/>
          <w:sz w:val="24"/>
          <w:szCs w:val="24"/>
        </w:rPr>
      </w:pPr>
      <w:r>
        <w:rPr>
          <w:rFonts w:hint="eastAsia" w:ascii="宋体" w:hAnsi="宋体" w:eastAsia="宋体" w:cs="宋体"/>
          <w:sz w:val="24"/>
          <w:szCs w:val="24"/>
        </w:rPr>
        <w:t>承包人根据省级政府或省级有关权力部门规定必须缴纳的，应计入建筑安装工程造价的费用。</w:t>
      </w:r>
    </w:p>
    <w:p>
      <w:pPr>
        <w:spacing w:before="48" w:beforeLines="20" w:after="48" w:afterLines="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3.1.7  </w:t>
      </w:r>
      <w:r>
        <w:rPr>
          <w:rFonts w:hint="eastAsia" w:ascii="宋体" w:hAnsi="宋体" w:eastAsia="宋体" w:cs="宋体"/>
          <w:b/>
          <w:sz w:val="24"/>
          <w:szCs w:val="24"/>
        </w:rPr>
        <w:t>税金</w:t>
      </w:r>
    </w:p>
    <w:p>
      <w:pPr>
        <w:spacing w:line="360" w:lineRule="auto"/>
        <w:ind w:left="359" w:leftChars="171"/>
        <w:rPr>
          <w:rFonts w:hint="eastAsia" w:ascii="宋体" w:hAnsi="宋体" w:eastAsia="宋体" w:cs="宋体"/>
          <w:sz w:val="24"/>
          <w:szCs w:val="24"/>
        </w:rPr>
      </w:pPr>
      <w:r>
        <w:rPr>
          <w:rFonts w:hint="eastAsia" w:ascii="宋体" w:hAnsi="宋体" w:eastAsia="宋体" w:cs="宋体"/>
          <w:sz w:val="24"/>
          <w:szCs w:val="24"/>
        </w:rPr>
        <w:t>国家税法规定的应计入建筑安装工程造价内的营业税、城市维护建设税及教育费附加等。</w:t>
      </w:r>
    </w:p>
    <w:p>
      <w:pPr>
        <w:spacing w:before="48" w:beforeLines="2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3.1.8  </w:t>
      </w:r>
      <w:r>
        <w:rPr>
          <w:rFonts w:hint="eastAsia" w:ascii="宋体" w:hAnsi="宋体" w:eastAsia="宋体" w:cs="宋体"/>
          <w:b/>
          <w:sz w:val="24"/>
          <w:szCs w:val="24"/>
        </w:rPr>
        <w:t>总承包服务费</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总承包人为配合协调发包人发包的专业工程以及发包人采购的材料和工程设备等进行管理、服务以及施工现场管理、竣工资料汇总整理等所需的费用。</w:t>
      </w:r>
    </w:p>
    <w:p>
      <w:pPr>
        <w:spacing w:before="48" w:beforeLines="2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3.1.9  </w:t>
      </w:r>
      <w:r>
        <w:rPr>
          <w:rFonts w:hint="eastAsia" w:ascii="宋体" w:hAnsi="宋体" w:eastAsia="宋体" w:cs="宋体"/>
          <w:b/>
          <w:sz w:val="24"/>
          <w:szCs w:val="24"/>
        </w:rPr>
        <w:t>同义词语</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本章中使用的词语“采购人”和“供应商”分别与合同条款中定义的“发包人”和“承包人”同义；就工程量清单而言，“子目”与“项目”同义。</w:t>
      </w:r>
    </w:p>
    <w:p>
      <w:pPr>
        <w:spacing w:before="48" w:beforeLines="20" w:after="48" w:afterLines="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3.2工程量差异调整</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3.2.1工程量清单中的工作内容分类、子目列项、特征描述以及“分部分项工程量清单与计价表”中附带的工程量都不应理解为是对承包(招标)范围以及合同工作内容的唯一的、最终的或全部的定义。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连同按供应商须知规定提交的要求采购人澄清的其他问题一起提交给采购人，采购人将根据实际情况决定是否颁发工程量清单的补充和(或)修改文件。</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投标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招标范围的约定并不存在的子目，只要在采购人提供的分部分项工程量清单中已经列明，供应商都需要对其报价，并纳入投标总价的计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3.3暂列金额和暂估价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3.3.1 “暂列金额明细表”中所列暂列金额(不包括计日工金额)中已经包含与其对应的管理费、利润，但不含规费、税金。供应商应按本竞争性磋商文件规定将此类暂列金额直接纳入其他项目清单的投标价格并计取相应的规费、税金，不需要考虑除规费、税金以外的其他任何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竞争性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3.3.3特殊项目暂估价表中所列的特殊项目暂估价已经包含与其对应的管理费、利润，但不含规费、税金。供应商应按本竞争性磋商文件规定将此类暂估价直接纳入其他项目清单的投标价格并计取相应的规费、税金。</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3.3.4专业工程暂估价由采购人列入总承包服务费清单与计价表中。专业工程暂估价是包括规费、税金在内的全部工程费用，仅作为计取总承包服务费的基础。</w:t>
      </w:r>
    </w:p>
    <w:p>
      <w:pPr>
        <w:spacing w:line="380" w:lineRule="exact"/>
        <w:ind w:firstLine="482" w:firstLineChars="200"/>
        <w:rPr>
          <w:rFonts w:hint="eastAsia" w:ascii="宋体" w:hAnsi="宋体" w:eastAsia="宋体" w:cs="宋体"/>
          <w:b/>
          <w:sz w:val="24"/>
          <w:szCs w:val="24"/>
          <w:lang w:bidi="ar"/>
        </w:rPr>
      </w:pPr>
      <w:r>
        <w:rPr>
          <w:rFonts w:hint="eastAsia" w:ascii="宋体" w:hAnsi="宋体" w:eastAsia="宋体" w:cs="宋体"/>
          <w:b/>
          <w:sz w:val="24"/>
          <w:szCs w:val="24"/>
          <w:lang w:bidi="ar"/>
        </w:rPr>
        <w:t>3.4其他补充说明 ：</w:t>
      </w:r>
    </w:p>
    <w:p>
      <w:pPr>
        <w:spacing w:line="420" w:lineRule="exact"/>
        <w:rPr>
          <w:rFonts w:hint="eastAsia" w:ascii="宋体" w:hAnsi="宋体" w:eastAsia="宋体" w:cs="宋体"/>
          <w:b/>
          <w:sz w:val="24"/>
          <w:szCs w:val="24"/>
          <w:lang w:bidi="ar"/>
        </w:rPr>
      </w:pPr>
      <w:r>
        <w:rPr>
          <w:rFonts w:hint="eastAsia" w:ascii="宋体" w:hAnsi="宋体" w:eastAsia="宋体" w:cs="宋体"/>
          <w:b/>
          <w:sz w:val="24"/>
          <w:szCs w:val="24"/>
          <w:lang w:bidi="ar"/>
        </w:rPr>
        <w:t>工程量清单详见采购预算（控制价），登录邹城市外宣网随竞争性磋商文件同时下载。</w:t>
      </w:r>
    </w:p>
    <w:p>
      <w:pPr>
        <w:pStyle w:val="2"/>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r>
        <w:rPr>
          <w:rFonts w:hint="eastAsia" w:ascii="宋体" w:hAnsi="宋体" w:cs="宋体"/>
          <w:b/>
          <w:bCs/>
          <w:color w:val="000000"/>
          <w:sz w:val="32"/>
          <w:szCs w:val="32"/>
        </w:rPr>
        <w:t>4、工程量清单与计价表</w:t>
      </w:r>
    </w:p>
    <w:p>
      <w:pPr>
        <w:spacing w:line="400" w:lineRule="exact"/>
        <w:jc w:val="center"/>
        <w:rPr>
          <w:rFonts w:hint="eastAsia" w:ascii="宋体" w:hAnsi="宋体" w:cs="宋体"/>
          <w:b/>
          <w:bCs/>
          <w:color w:val="000000"/>
          <w:sz w:val="32"/>
          <w:szCs w:val="32"/>
        </w:rPr>
      </w:pPr>
    </w:p>
    <w:p>
      <w:pPr>
        <w:spacing w:line="380" w:lineRule="exact"/>
        <w:jc w:val="center"/>
        <w:rPr>
          <w:rFonts w:hint="eastAsia" w:ascii="宋体" w:hAnsi="宋体" w:cs="宋体"/>
          <w:b/>
          <w:bCs/>
          <w:color w:val="000000"/>
          <w:sz w:val="32"/>
          <w:szCs w:val="32"/>
        </w:rPr>
      </w:pPr>
      <w:r>
        <w:rPr>
          <w:rFonts w:hint="eastAsia" w:ascii="宋体" w:hAnsi="宋体" w:cs="宋体"/>
          <w:b/>
          <w:bCs/>
          <w:color w:val="000000"/>
          <w:sz w:val="32"/>
          <w:szCs w:val="32"/>
        </w:rPr>
        <w:t>4.1工程量清单</w:t>
      </w:r>
    </w:p>
    <w:p>
      <w:pPr>
        <w:pStyle w:val="15"/>
        <w:ind w:left="0" w:leftChars="0" w:firstLine="0" w:firstLineChars="0"/>
        <w:jc w:val="center"/>
        <w:rPr>
          <w:rFonts w:hint="eastAsia"/>
        </w:rPr>
      </w:pPr>
      <w:r>
        <w:rPr>
          <w:rFonts w:hint="eastAsia" w:ascii="宋体" w:hAnsi="宋体" w:cs="宋体"/>
          <w:b/>
          <w:bCs/>
          <w:color w:val="000000"/>
          <w:sz w:val="32"/>
          <w:szCs w:val="32"/>
        </w:rPr>
        <w:br w:type="page"/>
      </w:r>
    </w:p>
    <w:p>
      <w:pPr>
        <w:spacing w:line="380" w:lineRule="exact"/>
        <w:jc w:val="center"/>
        <w:rPr>
          <w:rFonts w:hint="eastAsia" w:ascii="宋体" w:hAnsi="宋体" w:cs="宋体"/>
          <w:b/>
          <w:bCs/>
          <w:color w:val="000000"/>
          <w:sz w:val="32"/>
          <w:szCs w:val="32"/>
        </w:rPr>
      </w:pPr>
      <w:r>
        <w:rPr>
          <w:rFonts w:hint="eastAsia" w:ascii="宋体" w:hAnsi="宋体" w:cs="宋体"/>
          <w:b/>
          <w:bCs/>
          <w:color w:val="000000"/>
          <w:sz w:val="32"/>
          <w:szCs w:val="32"/>
        </w:rPr>
        <w:t>4.2初次报价总价表</w:t>
      </w:r>
    </w:p>
    <w:p>
      <w:pPr>
        <w:spacing w:line="380" w:lineRule="exact"/>
        <w:ind w:firstLine="480" w:firstLineChars="200"/>
        <w:rPr>
          <w:rFonts w:hint="eastAsia" w:ascii="黑体" w:eastAsia="黑体"/>
          <w:color w:val="000000"/>
          <w:sz w:val="24"/>
        </w:rPr>
      </w:pPr>
    </w:p>
    <w:p>
      <w:pPr>
        <w:spacing w:line="380" w:lineRule="exact"/>
        <w:ind w:firstLine="480" w:firstLineChars="200"/>
        <w:rPr>
          <w:rFonts w:hint="eastAsia" w:ascii="黑体" w:eastAsia="黑体"/>
          <w:color w:val="000000"/>
          <w:sz w:val="24"/>
        </w:rPr>
      </w:pPr>
    </w:p>
    <w:p>
      <w:pPr>
        <w:spacing w:line="380" w:lineRule="exact"/>
        <w:ind w:firstLine="480" w:firstLineChars="200"/>
        <w:rPr>
          <w:rFonts w:hint="eastAsia" w:ascii="黑体" w:eastAsia="黑体"/>
          <w:color w:val="000000"/>
          <w:sz w:val="24"/>
        </w:rPr>
      </w:pPr>
    </w:p>
    <w:p>
      <w:pPr>
        <w:spacing w:after="480" w:afterLines="200" w:line="380" w:lineRule="exact"/>
        <w:ind w:firstLine="560" w:firstLineChars="200"/>
        <w:jc w:val="center"/>
        <w:rPr>
          <w:rFonts w:hint="eastAsia" w:ascii="黑体" w:eastAsia="黑体"/>
          <w:color w:val="000000"/>
          <w:spacing w:val="20"/>
          <w:sz w:val="24"/>
        </w:rPr>
      </w:pPr>
      <w:r>
        <w:rPr>
          <w:rFonts w:hint="eastAsia" w:ascii="黑体" w:eastAsia="黑体"/>
          <w:color w:val="000000"/>
          <w:spacing w:val="20"/>
          <w:sz w:val="24"/>
        </w:rPr>
        <w:t>初次报价总价</w:t>
      </w:r>
    </w:p>
    <w:p>
      <w:pPr>
        <w:spacing w:line="600" w:lineRule="exact"/>
        <w:ind w:firstLine="420" w:firstLineChars="200"/>
        <w:rPr>
          <w:rFonts w:hint="eastAsia" w:ascii="黑体" w:eastAsia="黑体"/>
          <w:color w:val="000000"/>
          <w:u w:val="single"/>
        </w:rPr>
      </w:pPr>
      <w:r>
        <w:rPr>
          <w:rFonts w:hint="eastAsia" w:ascii="黑体" w:eastAsia="黑体"/>
          <w:color w:val="000000"/>
        </w:rPr>
        <w:t>采 购 人：</w:t>
      </w:r>
      <w:r>
        <w:rPr>
          <w:rFonts w:hint="eastAsia" w:ascii="黑体" w:eastAsia="黑体"/>
          <w:color w:val="000000"/>
          <w:u w:val="single"/>
        </w:rPr>
        <w:t xml:space="preserve">                                                                 </w:t>
      </w:r>
    </w:p>
    <w:p>
      <w:pPr>
        <w:spacing w:line="600" w:lineRule="exact"/>
        <w:ind w:firstLine="420" w:firstLineChars="200"/>
        <w:rPr>
          <w:rFonts w:hint="eastAsia" w:ascii="黑体" w:eastAsia="黑体"/>
          <w:color w:val="000000"/>
        </w:rPr>
      </w:pPr>
      <w:r>
        <w:rPr>
          <w:rFonts w:hint="eastAsia" w:ascii="黑体" w:eastAsia="黑体"/>
          <w:color w:val="000000"/>
        </w:rPr>
        <w:t>工程名称：</w:t>
      </w:r>
      <w:r>
        <w:rPr>
          <w:rFonts w:hint="eastAsia" w:ascii="宋体" w:hAnsi="宋体"/>
          <w:color w:val="000000"/>
          <w:szCs w:val="21"/>
          <w:u w:val="single"/>
        </w:rPr>
        <w:t xml:space="preserve">                                                       </w:t>
      </w:r>
      <w:r>
        <w:rPr>
          <w:rFonts w:hint="eastAsia" w:ascii="宋体" w:hAnsi="宋体"/>
          <w:color w:val="000000"/>
          <w:szCs w:val="21"/>
        </w:rPr>
        <w:t>（项目名称）</w:t>
      </w:r>
    </w:p>
    <w:p>
      <w:pPr>
        <w:spacing w:line="600" w:lineRule="exact"/>
        <w:ind w:firstLine="420" w:firstLineChars="200"/>
        <w:rPr>
          <w:rFonts w:hint="eastAsia" w:ascii="黑体" w:eastAsia="黑体"/>
          <w:color w:val="000000"/>
        </w:rPr>
      </w:pPr>
      <w:r>
        <w:rPr>
          <w:rFonts w:hint="eastAsia" w:ascii="黑体" w:eastAsia="黑体"/>
          <w:color w:val="000000"/>
        </w:rPr>
        <w:t>初次报价总价</w:t>
      </w:r>
      <w:r>
        <w:rPr>
          <w:rFonts w:hint="eastAsia" w:ascii="宋体" w:hAnsi="宋体"/>
          <w:color w:val="000000"/>
        </w:rPr>
        <w:t>(小写)</w:t>
      </w:r>
      <w:r>
        <w:rPr>
          <w:rFonts w:hint="eastAsia" w:ascii="黑体" w:eastAsia="黑体"/>
          <w:color w:val="000000"/>
        </w:rPr>
        <w:t xml:space="preserve"> ：</w:t>
      </w:r>
      <w:r>
        <w:rPr>
          <w:rFonts w:hint="eastAsia" w:ascii="黑体" w:eastAsia="黑体"/>
          <w:color w:val="000000"/>
          <w:u w:val="single"/>
        </w:rPr>
        <w:t xml:space="preserve">                                                        </w:t>
      </w:r>
    </w:p>
    <w:p>
      <w:pPr>
        <w:spacing w:line="600" w:lineRule="exact"/>
        <w:ind w:firstLine="1680" w:firstLineChars="800"/>
        <w:rPr>
          <w:rFonts w:hint="eastAsia" w:ascii="黑体" w:eastAsia="黑体"/>
          <w:color w:val="000000"/>
          <w:u w:val="single"/>
        </w:rPr>
      </w:pPr>
      <w:r>
        <w:rPr>
          <w:rFonts w:hint="eastAsia" w:ascii="宋体" w:hAnsi="宋体"/>
          <w:color w:val="000000"/>
        </w:rPr>
        <w:t>(大写)</w:t>
      </w:r>
      <w:r>
        <w:rPr>
          <w:rFonts w:hint="eastAsia" w:ascii="黑体" w:eastAsia="黑体"/>
          <w:color w:val="000000"/>
        </w:rPr>
        <w:t xml:space="preserve"> ：</w:t>
      </w:r>
      <w:r>
        <w:rPr>
          <w:rFonts w:hint="eastAsia" w:ascii="黑体" w:eastAsia="黑体"/>
          <w:color w:val="000000"/>
          <w:u w:val="single"/>
        </w:rPr>
        <w:t xml:space="preserve">                                                        </w:t>
      </w:r>
    </w:p>
    <w:p>
      <w:pPr>
        <w:spacing w:line="600" w:lineRule="exact"/>
        <w:ind w:firstLine="1260" w:firstLineChars="600"/>
        <w:rPr>
          <w:rFonts w:hint="eastAsia" w:ascii="黑体" w:eastAsia="黑体"/>
          <w:color w:val="000000"/>
        </w:rPr>
      </w:pPr>
    </w:p>
    <w:p>
      <w:pPr>
        <w:spacing w:line="600" w:lineRule="exact"/>
        <w:ind w:firstLine="1260" w:firstLineChars="600"/>
        <w:rPr>
          <w:rFonts w:hint="eastAsia" w:ascii="黑体" w:eastAsia="黑体"/>
          <w:color w:val="000000"/>
        </w:rPr>
      </w:pPr>
    </w:p>
    <w:p>
      <w:pPr>
        <w:spacing w:line="320" w:lineRule="exact"/>
        <w:ind w:firstLine="420" w:firstLineChars="200"/>
        <w:rPr>
          <w:rFonts w:hint="eastAsia" w:ascii="黑体" w:eastAsia="黑体"/>
          <w:color w:val="000000"/>
        </w:rPr>
      </w:pPr>
      <w:r>
        <w:rPr>
          <w:rFonts w:hint="eastAsia" w:ascii="黑体" w:eastAsia="黑体"/>
          <w:color w:val="000000"/>
        </w:rPr>
        <w:t>供 应 商：</w:t>
      </w:r>
      <w:r>
        <w:rPr>
          <w:rFonts w:hint="eastAsia" w:ascii="黑体" w:eastAsia="黑体"/>
          <w:color w:val="000000"/>
          <w:u w:val="single"/>
        </w:rPr>
        <w:t xml:space="preserve">                                                               </w:t>
      </w:r>
    </w:p>
    <w:p>
      <w:pPr>
        <w:spacing w:line="320" w:lineRule="exact"/>
        <w:ind w:firstLine="4200" w:firstLineChars="2000"/>
        <w:rPr>
          <w:rFonts w:hint="eastAsia" w:ascii="黑体" w:eastAsia="黑体"/>
          <w:color w:val="000000"/>
        </w:rPr>
      </w:pPr>
      <w:r>
        <w:rPr>
          <w:rFonts w:hint="eastAsia" w:ascii="黑体" w:eastAsia="黑体"/>
          <w:color w:val="000000"/>
        </w:rPr>
        <w:t>(单位盖章)</w:t>
      </w:r>
    </w:p>
    <w:p>
      <w:pPr>
        <w:spacing w:line="380" w:lineRule="exact"/>
        <w:ind w:firstLine="420" w:firstLineChars="200"/>
        <w:rPr>
          <w:rFonts w:hint="eastAsia" w:ascii="黑体" w:eastAsia="黑体"/>
          <w:color w:val="000000"/>
        </w:rPr>
      </w:pPr>
    </w:p>
    <w:p>
      <w:pPr>
        <w:spacing w:after="72" w:afterLines="30" w:line="380" w:lineRule="exact"/>
        <w:ind w:firstLine="420" w:firstLineChars="200"/>
        <w:rPr>
          <w:rFonts w:hint="eastAsia" w:ascii="黑体" w:eastAsia="黑体"/>
          <w:color w:val="000000"/>
        </w:rPr>
      </w:pPr>
      <w:r>
        <w:rPr>
          <w:rFonts w:hint="eastAsia" w:ascii="黑体" w:eastAsia="黑体"/>
          <w:color w:val="000000"/>
        </w:rPr>
        <w:t>法定代表人</w:t>
      </w:r>
    </w:p>
    <w:p>
      <w:pPr>
        <w:spacing w:line="320" w:lineRule="exact"/>
        <w:ind w:firstLine="420" w:firstLineChars="200"/>
        <w:rPr>
          <w:rFonts w:hint="eastAsia" w:ascii="黑体" w:eastAsia="黑体"/>
          <w:color w:val="000000"/>
        </w:rPr>
      </w:pPr>
      <w:r>
        <w:rPr>
          <w:rFonts w:hint="eastAsia" w:ascii="黑体" w:eastAsia="黑体"/>
          <w:color w:val="000000"/>
        </w:rPr>
        <w:t>或其授权人：</w:t>
      </w:r>
      <w:r>
        <w:rPr>
          <w:rFonts w:hint="eastAsia" w:ascii="黑体" w:eastAsia="黑体"/>
          <w:color w:val="000000"/>
          <w:u w:val="single"/>
        </w:rPr>
        <w:t xml:space="preserve">                                                               </w:t>
      </w:r>
    </w:p>
    <w:p>
      <w:pPr>
        <w:spacing w:line="320" w:lineRule="exact"/>
        <w:ind w:firstLine="3990" w:firstLineChars="1900"/>
        <w:rPr>
          <w:rFonts w:hint="eastAsia" w:ascii="黑体" w:eastAsia="黑体"/>
          <w:color w:val="000000"/>
        </w:rPr>
      </w:pPr>
      <w:r>
        <w:rPr>
          <w:rFonts w:hint="eastAsia" w:ascii="黑体" w:eastAsia="黑体"/>
          <w:color w:val="000000"/>
        </w:rPr>
        <w:t>(签字或盖章)</w:t>
      </w:r>
    </w:p>
    <w:p>
      <w:pPr>
        <w:spacing w:line="320" w:lineRule="exact"/>
        <w:jc w:val="center"/>
        <w:rPr>
          <w:rFonts w:hint="eastAsia" w:ascii="黑体" w:eastAsia="黑体"/>
          <w:color w:val="000000"/>
        </w:rPr>
      </w:pPr>
    </w:p>
    <w:p>
      <w:pPr>
        <w:spacing w:line="320" w:lineRule="exact"/>
        <w:jc w:val="center"/>
        <w:rPr>
          <w:rFonts w:hint="eastAsia" w:ascii="黑体" w:eastAsia="黑体"/>
          <w:color w:val="000000"/>
        </w:rPr>
      </w:pPr>
    </w:p>
    <w:p>
      <w:pPr>
        <w:spacing w:line="320" w:lineRule="exact"/>
        <w:jc w:val="center"/>
        <w:rPr>
          <w:rFonts w:hint="eastAsia" w:ascii="黑体" w:eastAsia="黑体"/>
          <w:color w:val="000000"/>
        </w:rPr>
      </w:pPr>
    </w:p>
    <w:p>
      <w:pPr>
        <w:spacing w:line="380" w:lineRule="exact"/>
        <w:jc w:val="center"/>
        <w:rPr>
          <w:rFonts w:hint="eastAsia" w:ascii="黑体" w:eastAsia="黑体"/>
          <w:color w:val="000000"/>
        </w:rPr>
      </w:pPr>
    </w:p>
    <w:p>
      <w:pPr>
        <w:spacing w:line="380" w:lineRule="exact"/>
        <w:ind w:firstLine="420" w:firstLineChars="200"/>
        <w:jc w:val="right"/>
        <w:rPr>
          <w:rFonts w:hint="eastAsia" w:ascii="宋体" w:hAnsi="宋体"/>
          <w:color w:val="000000"/>
        </w:rPr>
      </w:pPr>
      <w:r>
        <w:rPr>
          <w:rFonts w:hint="eastAsia" w:ascii="黑体" w:eastAsia="黑体"/>
          <w:color w:val="000000"/>
        </w:rPr>
        <w:t xml:space="preserve">时间：              </w:t>
      </w:r>
      <w:r>
        <w:rPr>
          <w:rFonts w:hint="eastAsia" w:ascii="宋体" w:hAnsi="宋体"/>
          <w:color w:val="000000"/>
        </w:rPr>
        <w:t>年      月      日</w:t>
      </w:r>
    </w:p>
    <w:p>
      <w:pPr>
        <w:spacing w:line="380" w:lineRule="exact"/>
        <w:ind w:firstLine="420" w:firstLineChars="200"/>
        <w:rPr>
          <w:rFonts w:hint="eastAsia" w:ascii="黑体" w:eastAsia="黑体"/>
          <w:color w:val="000000"/>
        </w:rPr>
      </w:pPr>
    </w:p>
    <w:p>
      <w:pPr>
        <w:spacing w:line="380" w:lineRule="exact"/>
        <w:rPr>
          <w:rFonts w:hint="eastAsia" w:ascii="黑体" w:eastAsia="黑体"/>
          <w:color w:val="000000"/>
          <w:sz w:val="24"/>
        </w:rPr>
      </w:pPr>
      <w:r>
        <w:rPr>
          <w:rFonts w:hint="eastAsia" w:ascii="黑体" w:eastAsia="黑体"/>
          <w:color w:val="000000"/>
          <w:sz w:val="24"/>
        </w:rPr>
        <w:br w:type="page"/>
      </w:r>
    </w:p>
    <w:p>
      <w:pPr>
        <w:pStyle w:val="26"/>
        <w:tabs>
          <w:tab w:val="left" w:pos="1080"/>
        </w:tabs>
        <w:spacing w:before="66"/>
        <w:ind w:left="420" w:leftChars="200" w:firstLine="0" w:firstLineChars="0"/>
        <w:jc w:val="left"/>
        <w:rPr>
          <w:rFonts w:hint="eastAsia" w:ascii="黑体" w:eastAsia="黑体"/>
          <w:sz w:val="24"/>
        </w:rPr>
      </w:pPr>
      <w:r>
        <w:rPr>
          <w:rFonts w:hint="eastAsia" w:ascii="黑体" w:eastAsia="黑体"/>
          <w:sz w:val="24"/>
        </w:rPr>
        <w:t>4.3总说明</w:t>
      </w:r>
    </w:p>
    <w:p>
      <w:pPr>
        <w:pStyle w:val="8"/>
        <w:spacing w:before="10"/>
        <w:rPr>
          <w:rFonts w:ascii="黑体"/>
          <w:sz w:val="11"/>
        </w:rPr>
      </w:pPr>
    </w:p>
    <w:p>
      <w:pPr>
        <w:spacing w:before="61"/>
        <w:ind w:left="554" w:right="419"/>
        <w:jc w:val="center"/>
        <w:rPr>
          <w:rFonts w:hint="eastAsia" w:ascii="黑体" w:eastAsia="黑体"/>
          <w:sz w:val="28"/>
        </w:rPr>
      </w:pPr>
      <w:r>
        <w:rPr>
          <w:rFonts w:hint="eastAsia" w:ascii="黑体" w:eastAsia="黑体"/>
          <w:sz w:val="28"/>
        </w:rPr>
        <w:t>总 说 明</w:t>
      </w:r>
    </w:p>
    <w:p>
      <w:pPr>
        <w:pStyle w:val="8"/>
        <w:rPr>
          <w:rFonts w:ascii="黑体"/>
          <w:sz w:val="28"/>
        </w:rPr>
      </w:pPr>
    </w:p>
    <w:p>
      <w:pPr>
        <w:tabs>
          <w:tab w:val="left" w:pos="7485"/>
          <w:tab w:val="left" w:pos="7905"/>
          <w:tab w:val="left" w:pos="8639"/>
        </w:tabs>
        <w:spacing w:before="186"/>
        <w:ind w:left="974"/>
        <w:jc w:val="left"/>
      </w:pPr>
      <w:r>
        <w:t>工程名称：</w:t>
      </w:r>
      <w:r>
        <w:tab/>
      </w:r>
      <w:r>
        <w:t>第</w:t>
      </w:r>
      <w:r>
        <w:tab/>
      </w:r>
      <w:r>
        <w:t>页</w:t>
      </w:r>
      <w:r>
        <w:rPr>
          <w:spacing w:val="-1"/>
        </w:rPr>
        <w:t xml:space="preserve"> </w:t>
      </w:r>
      <w:r>
        <w:t>共</w:t>
      </w:r>
      <w:r>
        <w:tab/>
      </w:r>
      <w:r>
        <w:t>页</w:t>
      </w:r>
    </w:p>
    <w:p>
      <w:pPr>
        <w:pStyle w:val="8"/>
        <w:spacing w:before="5"/>
        <w:rPr>
          <w:sz w:val="16"/>
        </w:rPr>
      </w:pPr>
      <w:r>
        <mc:AlternateContent>
          <mc:Choice Requires="wpg">
            <w:drawing>
              <wp:anchor distT="0" distB="0" distL="114300" distR="114300" simplePos="0" relativeHeight="251665408" behindDoc="1" locked="0" layoutInCell="1" allowOverlap="1">
                <wp:simplePos x="0" y="0"/>
                <wp:positionH relativeFrom="page">
                  <wp:posOffset>1106170</wp:posOffset>
                </wp:positionH>
                <wp:positionV relativeFrom="paragraph">
                  <wp:posOffset>161290</wp:posOffset>
                </wp:positionV>
                <wp:extent cx="5347970" cy="6821170"/>
                <wp:effectExtent l="1270" t="1270" r="3810" b="16510"/>
                <wp:wrapTopAndBottom/>
                <wp:docPr id="18" name="组合 18"/>
                <wp:cNvGraphicFramePr/>
                <a:graphic xmlns:a="http://schemas.openxmlformats.org/drawingml/2006/main">
                  <a:graphicData uri="http://schemas.microsoft.com/office/word/2010/wordprocessingGroup">
                    <wpg:wgp>
                      <wpg:cNvGrpSpPr/>
                      <wpg:grpSpPr>
                        <a:xfrm>
                          <a:off x="0" y="0"/>
                          <a:ext cx="5347970" cy="6821170"/>
                          <a:chOff x="1742" y="255"/>
                          <a:chExt cx="8422" cy="10742"/>
                        </a:xfrm>
                        <a:effectLst/>
                      </wpg:grpSpPr>
                      <wps:wsp>
                        <wps:cNvPr id="10" name="直线 4"/>
                        <wps:cNvCnPr/>
                        <wps:spPr>
                          <a:xfrm>
                            <a:off x="1742" y="260"/>
                            <a:ext cx="8422" cy="0"/>
                          </a:xfrm>
                          <a:prstGeom prst="line">
                            <a:avLst/>
                          </a:prstGeom>
                          <a:ln w="6096" cap="flat" cmpd="sng">
                            <a:solidFill>
                              <a:srgbClr val="000000"/>
                            </a:solidFill>
                            <a:prstDash val="solid"/>
                            <a:headEnd type="none" w="med" len="med"/>
                            <a:tailEnd type="none" w="med" len="med"/>
                          </a:ln>
                          <a:effectLst/>
                        </wps:spPr>
                        <wps:bodyPr upright="1"/>
                      </wps:wsp>
                      <wps:wsp>
                        <wps:cNvPr id="12" name="直线 5"/>
                        <wps:cNvCnPr/>
                        <wps:spPr>
                          <a:xfrm>
                            <a:off x="1742" y="10992"/>
                            <a:ext cx="8422" cy="0"/>
                          </a:xfrm>
                          <a:prstGeom prst="line">
                            <a:avLst/>
                          </a:prstGeom>
                          <a:ln w="6096" cap="flat" cmpd="sng">
                            <a:solidFill>
                              <a:srgbClr val="000000"/>
                            </a:solidFill>
                            <a:prstDash val="solid"/>
                            <a:headEnd type="none" w="med" len="med"/>
                            <a:tailEnd type="none" w="med" len="med"/>
                          </a:ln>
                          <a:effectLst/>
                        </wps:spPr>
                        <wps:bodyPr upright="1"/>
                      </wps:wsp>
                      <wps:wsp>
                        <wps:cNvPr id="3" name="直线 6"/>
                        <wps:cNvCnPr/>
                        <wps:spPr>
                          <a:xfrm>
                            <a:off x="1747" y="255"/>
                            <a:ext cx="0" cy="10732"/>
                          </a:xfrm>
                          <a:prstGeom prst="line">
                            <a:avLst/>
                          </a:prstGeom>
                          <a:ln w="6096" cap="flat" cmpd="sng">
                            <a:solidFill>
                              <a:srgbClr val="000000"/>
                            </a:solidFill>
                            <a:prstDash val="solid"/>
                            <a:headEnd type="none" w="med" len="med"/>
                            <a:tailEnd type="none" w="med" len="med"/>
                          </a:ln>
                          <a:effectLst/>
                        </wps:spPr>
                        <wps:bodyPr upright="1"/>
                      </wps:wsp>
                      <wps:wsp>
                        <wps:cNvPr id="4" name="直线 7"/>
                        <wps:cNvCnPr/>
                        <wps:spPr>
                          <a:xfrm>
                            <a:off x="10159" y="255"/>
                            <a:ext cx="0" cy="10732"/>
                          </a:xfrm>
                          <a:prstGeom prst="line">
                            <a:avLst/>
                          </a:prstGeom>
                          <a:ln w="6096"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87.1pt;margin-top:12.7pt;height:537.1pt;width:421.1pt;mso-position-horizontal-relative:page;mso-wrap-distance-bottom:0pt;mso-wrap-distance-top:0pt;z-index:-251651072;mso-width-relative:page;mso-height-relative:page;" coordorigin="1742,255" coordsize="8422,10742" o:gfxdata="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gaASJ2gAAAAwB&#10;AAAPAAAAAAAAAAEAIAAAACIAAABkcnMvZG93bnJldi54bWxQSwECFAAUAAAACACHTuJAO6aVmsQC&#10;AABaCwAADgAAAAAAAAABACAAAAApAQAAZHJzL2Uyb0RvYy54bWxQSwUGAAAAAAYABgBZAQAAXwYA&#10;AAAA&#10;">
                <o:lock v:ext="edit" aspectratio="f"/>
                <v:line id="直线 4" o:spid="_x0000_s1026" o:spt="20" style="position:absolute;left:1742;top:260;height:0;width:8422;"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5" o:spid="_x0000_s1026" o:spt="20" style="position:absolute;left:1742;top:10992;height:0;width:8422;" filled="f" stroked="t" coordsize="21600,21600" o:gfxdata="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2+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6" o:spid="_x0000_s1026" o:spt="20" style="position:absolute;left:1747;top:255;height:10732;width:0;"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7" o:spid="_x0000_s1026" o:spt="20" style="position:absolute;left:10159;top:255;height:10732;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topAndBottom"/>
              </v:group>
            </w:pict>
          </mc:Fallback>
        </mc:AlternateContent>
      </w:r>
    </w:p>
    <w:p>
      <w:pPr>
        <w:rPr>
          <w:sz w:val="16"/>
        </w:rPr>
        <w:sectPr>
          <w:pgSz w:w="11910" w:h="16840"/>
          <w:pgMar w:top="720" w:right="720" w:bottom="720" w:left="720" w:header="852" w:footer="993" w:gutter="0"/>
          <w:pgNumType w:fmt="decimal"/>
          <w:cols w:space="720" w:num="1"/>
          <w:docGrid w:linePitch="1" w:charSpace="0"/>
        </w:sectPr>
      </w:pPr>
    </w:p>
    <w:p>
      <w:pPr>
        <w:spacing w:after="156" w:afterLines="50" w:line="380" w:lineRule="exact"/>
        <w:rPr>
          <w:rFonts w:hint="eastAsia" w:ascii="黑体" w:eastAsia="黑体"/>
          <w:color w:val="000000"/>
          <w:sz w:val="24"/>
        </w:rPr>
      </w:pPr>
      <w:r>
        <w:rPr>
          <w:rFonts w:hint="eastAsia" w:ascii="黑体" w:eastAsia="黑体"/>
          <w:color w:val="000000"/>
          <w:sz w:val="24"/>
        </w:rPr>
        <w:t>4.4工程项目初次报价汇总表</w:t>
      </w:r>
    </w:p>
    <w:p>
      <w:pPr>
        <w:spacing w:after="312" w:afterLines="100" w:line="380" w:lineRule="exact"/>
        <w:ind w:firstLine="562" w:firstLineChars="200"/>
        <w:jc w:val="center"/>
        <w:rPr>
          <w:rFonts w:hint="eastAsia" w:ascii="黑体" w:eastAsia="黑体"/>
          <w:color w:val="000000"/>
          <w:sz w:val="28"/>
          <w:szCs w:val="28"/>
        </w:rPr>
      </w:pPr>
      <w:r>
        <w:rPr>
          <w:rFonts w:hint="eastAsia" w:ascii="黑体" w:eastAsia="黑体"/>
          <w:color w:val="000000"/>
          <w:sz w:val="28"/>
          <w:szCs w:val="28"/>
        </w:rPr>
        <w:t>工程项目初次报价汇总表</w:t>
      </w:r>
    </w:p>
    <w:p>
      <w:pPr>
        <w:spacing w:after="156" w:afterLines="50" w:line="380" w:lineRule="exact"/>
        <w:rPr>
          <w:rFonts w:ascii="宋体" w:hAnsi="宋体"/>
          <w:color w:val="000000"/>
          <w:sz w:val="28"/>
          <w:szCs w:val="28"/>
        </w:rPr>
      </w:pPr>
      <w:r>
        <w:rPr>
          <w:rFonts w:hint="eastAsia" w:ascii="宋体" w:hAnsi="宋体"/>
          <w:color w:val="000000"/>
        </w:rPr>
        <w:t>工程名称：                                                            第  页  共  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序号</w:t>
            </w:r>
          </w:p>
        </w:tc>
        <w:tc>
          <w:tcPr>
            <w:tcW w:w="2700"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单项工程名称</w:t>
            </w:r>
          </w:p>
        </w:tc>
        <w:tc>
          <w:tcPr>
            <w:tcW w:w="1080"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金额（元）</w:t>
            </w:r>
          </w:p>
        </w:tc>
        <w:tc>
          <w:tcPr>
            <w:tcW w:w="4345" w:type="dxa"/>
            <w:gridSpan w:val="3"/>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56" w:afterLines="50" w:line="380" w:lineRule="exact"/>
              <w:jc w:val="center"/>
              <w:rPr>
                <w:rFonts w:hint="eastAsia" w:ascii="宋体" w:hAnsi="宋体"/>
                <w:color w:val="000000"/>
                <w:szCs w:val="21"/>
              </w:rPr>
            </w:pPr>
          </w:p>
        </w:tc>
        <w:tc>
          <w:tcPr>
            <w:tcW w:w="2700" w:type="dxa"/>
            <w:vMerge w:val="continue"/>
            <w:noWrap w:val="0"/>
            <w:vAlign w:val="center"/>
          </w:tcPr>
          <w:p>
            <w:pPr>
              <w:spacing w:after="156" w:afterLines="50" w:line="380" w:lineRule="exact"/>
              <w:jc w:val="center"/>
              <w:rPr>
                <w:rFonts w:hint="eastAsia" w:ascii="宋体" w:hAnsi="宋体"/>
                <w:color w:val="000000"/>
                <w:szCs w:val="21"/>
              </w:rPr>
            </w:pPr>
          </w:p>
        </w:tc>
        <w:tc>
          <w:tcPr>
            <w:tcW w:w="1080" w:type="dxa"/>
            <w:vMerge w:val="continue"/>
            <w:noWrap w:val="0"/>
            <w:vAlign w:val="center"/>
          </w:tcPr>
          <w:p>
            <w:pPr>
              <w:spacing w:after="156" w:afterLines="50" w:line="380" w:lineRule="exact"/>
              <w:jc w:val="center"/>
              <w:rPr>
                <w:rFonts w:hint="eastAsia" w:ascii="宋体" w:hAnsi="宋体"/>
                <w:color w:val="000000"/>
                <w:szCs w:val="21"/>
              </w:rPr>
            </w:pPr>
          </w:p>
        </w:tc>
        <w:tc>
          <w:tcPr>
            <w:tcW w:w="1920"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暂列金额及</w:t>
            </w:r>
          </w:p>
          <w:p>
            <w:pPr>
              <w:spacing w:line="300" w:lineRule="exact"/>
              <w:jc w:val="center"/>
              <w:rPr>
                <w:rFonts w:hint="eastAsia" w:ascii="宋体" w:hAnsi="宋体"/>
                <w:color w:val="000000"/>
                <w:szCs w:val="21"/>
              </w:rPr>
            </w:pPr>
            <w:r>
              <w:rPr>
                <w:rFonts w:hint="eastAsia" w:ascii="宋体" w:hAnsi="宋体"/>
                <w:color w:val="000000"/>
                <w:szCs w:val="21"/>
              </w:rPr>
              <w:t>特殊项目暂估价</w:t>
            </w:r>
          </w:p>
        </w:tc>
        <w:tc>
          <w:tcPr>
            <w:tcW w:w="1446"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材料暂估价</w:t>
            </w:r>
          </w:p>
        </w:tc>
        <w:tc>
          <w:tcPr>
            <w:tcW w:w="979"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2700"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1080"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1920" w:type="dxa"/>
            <w:tcBorders>
              <w:bottom w:val="single" w:color="auto" w:sz="4" w:space="0"/>
            </w:tcBorders>
            <w:noWrap w:val="0"/>
            <w:vAlign w:val="center"/>
          </w:tcPr>
          <w:p>
            <w:pPr>
              <w:spacing w:line="300" w:lineRule="exact"/>
              <w:jc w:val="center"/>
              <w:rPr>
                <w:rFonts w:hint="eastAsia" w:ascii="宋体" w:hAnsi="宋体"/>
                <w:color w:val="000000"/>
                <w:szCs w:val="21"/>
              </w:rPr>
            </w:pPr>
          </w:p>
        </w:tc>
        <w:tc>
          <w:tcPr>
            <w:tcW w:w="1446" w:type="dxa"/>
            <w:noWrap w:val="0"/>
            <w:vAlign w:val="center"/>
          </w:tcPr>
          <w:p>
            <w:pPr>
              <w:spacing w:line="300" w:lineRule="exact"/>
              <w:jc w:val="center"/>
              <w:rPr>
                <w:rFonts w:hint="eastAsia" w:ascii="宋体" w:hAnsi="宋体"/>
                <w:color w:val="000000"/>
                <w:szCs w:val="21"/>
              </w:rPr>
            </w:pPr>
          </w:p>
        </w:tc>
        <w:tc>
          <w:tcPr>
            <w:tcW w:w="979" w:type="dxa"/>
            <w:tcBorders>
              <w:bottom w:val="single" w:color="auto" w:sz="4" w:space="0"/>
            </w:tcBorders>
            <w:noWrap w:val="0"/>
            <w:vAlign w:val="center"/>
          </w:tcPr>
          <w:p>
            <w:pPr>
              <w:spacing w:line="3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合 计</w:t>
            </w:r>
          </w:p>
        </w:tc>
        <w:tc>
          <w:tcPr>
            <w:tcW w:w="1080" w:type="dxa"/>
            <w:noWrap w:val="0"/>
            <w:vAlign w:val="center"/>
          </w:tcPr>
          <w:p>
            <w:pPr>
              <w:spacing w:after="156" w:afterLines="50" w:line="380" w:lineRule="exact"/>
              <w:jc w:val="center"/>
              <w:rPr>
                <w:rFonts w:hint="eastAsia" w:ascii="宋体" w:hAnsi="宋体"/>
                <w:color w:val="000000"/>
                <w:szCs w:val="21"/>
              </w:rPr>
            </w:pPr>
          </w:p>
        </w:tc>
        <w:tc>
          <w:tcPr>
            <w:tcW w:w="1920" w:type="dxa"/>
            <w:noWrap w:val="0"/>
            <w:vAlign w:val="center"/>
          </w:tcPr>
          <w:p>
            <w:pPr>
              <w:spacing w:line="300" w:lineRule="exact"/>
              <w:jc w:val="center"/>
              <w:rPr>
                <w:rFonts w:hint="eastAsia" w:ascii="宋体" w:hAnsi="宋体"/>
                <w:color w:val="000000"/>
                <w:szCs w:val="21"/>
              </w:rPr>
            </w:pPr>
          </w:p>
        </w:tc>
        <w:tc>
          <w:tcPr>
            <w:tcW w:w="1446" w:type="dxa"/>
            <w:noWrap w:val="0"/>
            <w:vAlign w:val="center"/>
          </w:tcPr>
          <w:p>
            <w:pPr>
              <w:spacing w:line="300" w:lineRule="exact"/>
              <w:jc w:val="center"/>
              <w:rPr>
                <w:rFonts w:hint="eastAsia" w:ascii="宋体" w:hAnsi="宋体"/>
                <w:color w:val="000000"/>
                <w:szCs w:val="21"/>
              </w:rPr>
            </w:pPr>
          </w:p>
        </w:tc>
        <w:tc>
          <w:tcPr>
            <w:tcW w:w="979" w:type="dxa"/>
            <w:noWrap w:val="0"/>
            <w:vAlign w:val="center"/>
          </w:tcPr>
          <w:p>
            <w:pPr>
              <w:spacing w:line="300" w:lineRule="exact"/>
              <w:jc w:val="center"/>
              <w:rPr>
                <w:rFonts w:hint="eastAsia" w:ascii="宋体" w:hAnsi="宋体"/>
                <w:color w:val="000000"/>
                <w:szCs w:val="21"/>
              </w:rPr>
            </w:pPr>
          </w:p>
        </w:tc>
      </w:tr>
    </w:tbl>
    <w:p>
      <w:pPr>
        <w:spacing w:after="156" w:afterLines="50" w:line="380" w:lineRule="exact"/>
        <w:rPr>
          <w:rFonts w:hint="eastAsia" w:ascii="黑体" w:eastAsia="黑体"/>
          <w:color w:val="000000"/>
          <w:sz w:val="24"/>
        </w:rPr>
      </w:pPr>
      <w:r>
        <w:rPr>
          <w:rFonts w:hint="eastAsia" w:ascii="黑体" w:eastAsia="黑体"/>
          <w:color w:val="000000"/>
          <w:sz w:val="24"/>
        </w:rPr>
        <w:br w:type="page"/>
      </w:r>
    </w:p>
    <w:p>
      <w:pPr>
        <w:spacing w:after="156" w:afterLines="50" w:line="380" w:lineRule="exact"/>
        <w:rPr>
          <w:rFonts w:hint="eastAsia" w:ascii="黑体" w:eastAsia="黑体"/>
          <w:color w:val="000000"/>
          <w:sz w:val="24"/>
        </w:rPr>
      </w:pPr>
      <w:r>
        <w:rPr>
          <w:rFonts w:hint="eastAsia" w:ascii="黑体" w:eastAsia="黑体"/>
          <w:color w:val="000000"/>
          <w:sz w:val="24"/>
        </w:rPr>
        <w:t>4.5单项工程初次报价汇总表</w:t>
      </w:r>
    </w:p>
    <w:p>
      <w:pPr>
        <w:spacing w:after="156" w:afterLines="50" w:line="380" w:lineRule="exact"/>
        <w:jc w:val="center"/>
        <w:rPr>
          <w:rFonts w:hint="eastAsia" w:ascii="黑体" w:eastAsia="黑体"/>
          <w:color w:val="000000"/>
          <w:sz w:val="28"/>
          <w:szCs w:val="28"/>
        </w:rPr>
      </w:pPr>
      <w:r>
        <w:rPr>
          <w:rFonts w:hint="eastAsia" w:ascii="黑体" w:eastAsia="黑体"/>
          <w:color w:val="000000"/>
          <w:sz w:val="28"/>
          <w:szCs w:val="28"/>
        </w:rPr>
        <w:t>单项工程初次报价汇总表</w:t>
      </w:r>
    </w:p>
    <w:p>
      <w:pPr>
        <w:spacing w:after="156" w:afterLines="50" w:line="380" w:lineRule="exact"/>
        <w:rPr>
          <w:rFonts w:ascii="宋体" w:hAnsi="宋体"/>
          <w:color w:val="000000"/>
          <w:sz w:val="28"/>
          <w:szCs w:val="28"/>
        </w:rPr>
      </w:pPr>
      <w:r>
        <w:rPr>
          <w:rFonts w:hint="eastAsia" w:ascii="宋体" w:hAnsi="宋体"/>
          <w:color w:val="000000"/>
        </w:rPr>
        <w:t>工程名称：                                                            第  页  共  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序号</w:t>
            </w:r>
          </w:p>
        </w:tc>
        <w:tc>
          <w:tcPr>
            <w:tcW w:w="2700"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单位工程名称</w:t>
            </w:r>
          </w:p>
        </w:tc>
        <w:tc>
          <w:tcPr>
            <w:tcW w:w="1080"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金额（元）</w:t>
            </w:r>
          </w:p>
        </w:tc>
        <w:tc>
          <w:tcPr>
            <w:tcW w:w="4345" w:type="dxa"/>
            <w:gridSpan w:val="3"/>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56" w:afterLines="50" w:line="380" w:lineRule="exact"/>
              <w:jc w:val="center"/>
              <w:rPr>
                <w:rFonts w:hint="eastAsia" w:ascii="宋体" w:hAnsi="宋体"/>
                <w:color w:val="000000"/>
                <w:szCs w:val="21"/>
              </w:rPr>
            </w:pPr>
          </w:p>
        </w:tc>
        <w:tc>
          <w:tcPr>
            <w:tcW w:w="2700" w:type="dxa"/>
            <w:vMerge w:val="continue"/>
            <w:noWrap w:val="0"/>
            <w:vAlign w:val="center"/>
          </w:tcPr>
          <w:p>
            <w:pPr>
              <w:spacing w:after="156" w:afterLines="50" w:line="380" w:lineRule="exact"/>
              <w:jc w:val="center"/>
              <w:rPr>
                <w:rFonts w:hint="eastAsia" w:ascii="宋体" w:hAnsi="宋体"/>
                <w:color w:val="000000"/>
                <w:szCs w:val="21"/>
              </w:rPr>
            </w:pPr>
          </w:p>
        </w:tc>
        <w:tc>
          <w:tcPr>
            <w:tcW w:w="1080" w:type="dxa"/>
            <w:vMerge w:val="continue"/>
            <w:noWrap w:val="0"/>
            <w:vAlign w:val="center"/>
          </w:tcPr>
          <w:p>
            <w:pPr>
              <w:spacing w:after="156" w:afterLines="50" w:line="380" w:lineRule="exact"/>
              <w:jc w:val="center"/>
              <w:rPr>
                <w:rFonts w:hint="eastAsia" w:ascii="宋体" w:hAnsi="宋体"/>
                <w:color w:val="000000"/>
                <w:szCs w:val="21"/>
              </w:rPr>
            </w:pPr>
          </w:p>
        </w:tc>
        <w:tc>
          <w:tcPr>
            <w:tcW w:w="1920" w:type="dxa"/>
            <w:noWrap w:val="0"/>
            <w:vAlign w:val="center"/>
          </w:tcPr>
          <w:p>
            <w:pPr>
              <w:spacing w:line="300" w:lineRule="exact"/>
              <w:jc w:val="center"/>
              <w:rPr>
                <w:rFonts w:hint="eastAsia" w:ascii="宋体" w:hAnsi="宋体"/>
                <w:szCs w:val="21"/>
              </w:rPr>
            </w:pPr>
            <w:r>
              <w:rPr>
                <w:rFonts w:hint="eastAsia" w:ascii="宋体" w:hAnsi="宋体"/>
                <w:szCs w:val="21"/>
              </w:rPr>
              <w:t>暂列金额及</w:t>
            </w:r>
          </w:p>
          <w:p>
            <w:pPr>
              <w:spacing w:line="300" w:lineRule="exact"/>
              <w:jc w:val="center"/>
              <w:rPr>
                <w:rFonts w:hint="eastAsia" w:ascii="宋体" w:hAnsi="宋体"/>
                <w:szCs w:val="21"/>
              </w:rPr>
            </w:pPr>
            <w:r>
              <w:rPr>
                <w:rFonts w:hint="eastAsia" w:ascii="宋体" w:hAnsi="宋体"/>
                <w:szCs w:val="21"/>
              </w:rPr>
              <w:t>特殊项目暂估价</w:t>
            </w:r>
          </w:p>
        </w:tc>
        <w:tc>
          <w:tcPr>
            <w:tcW w:w="1446" w:type="dxa"/>
            <w:noWrap w:val="0"/>
            <w:vAlign w:val="center"/>
          </w:tcPr>
          <w:p>
            <w:pPr>
              <w:spacing w:line="300" w:lineRule="exact"/>
              <w:jc w:val="center"/>
              <w:rPr>
                <w:rFonts w:hint="eastAsia" w:ascii="宋体" w:hAnsi="宋体"/>
                <w:szCs w:val="21"/>
              </w:rPr>
            </w:pPr>
            <w:r>
              <w:rPr>
                <w:rFonts w:hint="eastAsia" w:ascii="宋体" w:hAnsi="宋体"/>
                <w:szCs w:val="21"/>
              </w:rPr>
              <w:t>暂估价</w:t>
            </w:r>
          </w:p>
        </w:tc>
        <w:tc>
          <w:tcPr>
            <w:tcW w:w="979"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9" w:hRule="atLeast"/>
          <w:jc w:val="center"/>
        </w:trPr>
        <w:tc>
          <w:tcPr>
            <w:tcW w:w="988"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2700"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1080"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1920" w:type="dxa"/>
            <w:tcBorders>
              <w:bottom w:val="single" w:color="auto" w:sz="4" w:space="0"/>
            </w:tcBorders>
            <w:noWrap w:val="0"/>
            <w:vAlign w:val="center"/>
          </w:tcPr>
          <w:p>
            <w:pPr>
              <w:spacing w:line="300" w:lineRule="exact"/>
              <w:jc w:val="center"/>
              <w:rPr>
                <w:rFonts w:hint="eastAsia" w:ascii="宋体" w:hAnsi="宋体"/>
                <w:color w:val="000000"/>
                <w:szCs w:val="21"/>
              </w:rPr>
            </w:pPr>
          </w:p>
        </w:tc>
        <w:tc>
          <w:tcPr>
            <w:tcW w:w="1446" w:type="dxa"/>
            <w:noWrap w:val="0"/>
            <w:vAlign w:val="center"/>
          </w:tcPr>
          <w:p>
            <w:pPr>
              <w:spacing w:line="300" w:lineRule="exact"/>
              <w:jc w:val="center"/>
              <w:rPr>
                <w:rFonts w:hint="eastAsia" w:ascii="宋体" w:hAnsi="宋体"/>
                <w:color w:val="000000"/>
                <w:szCs w:val="21"/>
              </w:rPr>
            </w:pPr>
          </w:p>
        </w:tc>
        <w:tc>
          <w:tcPr>
            <w:tcW w:w="979" w:type="dxa"/>
            <w:tcBorders>
              <w:bottom w:val="single" w:color="auto" w:sz="4" w:space="0"/>
            </w:tcBorders>
            <w:noWrap w:val="0"/>
            <w:vAlign w:val="center"/>
          </w:tcPr>
          <w:p>
            <w:pPr>
              <w:spacing w:line="3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合 计</w:t>
            </w:r>
          </w:p>
        </w:tc>
        <w:tc>
          <w:tcPr>
            <w:tcW w:w="1080" w:type="dxa"/>
            <w:noWrap w:val="0"/>
            <w:vAlign w:val="center"/>
          </w:tcPr>
          <w:p>
            <w:pPr>
              <w:spacing w:after="156" w:afterLines="50" w:line="380" w:lineRule="exact"/>
              <w:jc w:val="center"/>
              <w:rPr>
                <w:rFonts w:hint="eastAsia" w:ascii="宋体" w:hAnsi="宋体"/>
                <w:color w:val="000000"/>
                <w:szCs w:val="21"/>
              </w:rPr>
            </w:pPr>
          </w:p>
        </w:tc>
        <w:tc>
          <w:tcPr>
            <w:tcW w:w="1920" w:type="dxa"/>
            <w:noWrap w:val="0"/>
            <w:vAlign w:val="center"/>
          </w:tcPr>
          <w:p>
            <w:pPr>
              <w:spacing w:line="300" w:lineRule="exact"/>
              <w:jc w:val="center"/>
              <w:rPr>
                <w:rFonts w:hint="eastAsia" w:ascii="宋体" w:hAnsi="宋体"/>
                <w:color w:val="000000"/>
                <w:szCs w:val="21"/>
              </w:rPr>
            </w:pPr>
          </w:p>
        </w:tc>
        <w:tc>
          <w:tcPr>
            <w:tcW w:w="1446" w:type="dxa"/>
            <w:noWrap w:val="0"/>
            <w:vAlign w:val="center"/>
          </w:tcPr>
          <w:p>
            <w:pPr>
              <w:spacing w:line="300" w:lineRule="exact"/>
              <w:jc w:val="center"/>
              <w:rPr>
                <w:rFonts w:hint="eastAsia" w:ascii="宋体" w:hAnsi="宋体"/>
                <w:color w:val="000000"/>
                <w:szCs w:val="21"/>
              </w:rPr>
            </w:pPr>
          </w:p>
        </w:tc>
        <w:tc>
          <w:tcPr>
            <w:tcW w:w="979" w:type="dxa"/>
            <w:noWrap w:val="0"/>
            <w:vAlign w:val="center"/>
          </w:tcPr>
          <w:p>
            <w:pPr>
              <w:spacing w:line="300" w:lineRule="exact"/>
              <w:jc w:val="center"/>
              <w:rPr>
                <w:rFonts w:hint="eastAsia" w:ascii="宋体" w:hAnsi="宋体"/>
                <w:color w:val="000000"/>
                <w:szCs w:val="21"/>
              </w:rPr>
            </w:pPr>
          </w:p>
        </w:tc>
      </w:tr>
    </w:tbl>
    <w:p>
      <w:pPr>
        <w:spacing w:after="156" w:afterLines="50" w:line="380" w:lineRule="exact"/>
        <w:jc w:val="center"/>
        <w:rPr>
          <w:rFonts w:hint="eastAsia" w:ascii="黑体" w:eastAsia="黑体"/>
          <w:color w:val="000000"/>
          <w:sz w:val="28"/>
          <w:szCs w:val="28"/>
        </w:rPr>
      </w:pPr>
    </w:p>
    <w:p>
      <w:pPr>
        <w:rPr>
          <w:rFonts w:hint="eastAsia" w:ascii="黑体" w:eastAsia="黑体"/>
          <w:color w:val="000000"/>
          <w:szCs w:val="21"/>
        </w:rPr>
      </w:pPr>
      <w:r>
        <w:rPr>
          <w:rFonts w:hint="eastAsia" w:ascii="黑体" w:eastAsia="黑体"/>
          <w:color w:val="000000"/>
          <w:szCs w:val="21"/>
        </w:rPr>
        <w:br w:type="page"/>
      </w:r>
    </w:p>
    <w:p>
      <w:pPr>
        <w:rPr>
          <w:rFonts w:hint="eastAsia" w:ascii="黑体" w:eastAsia="黑体"/>
          <w:color w:val="000000"/>
          <w:sz w:val="24"/>
        </w:rPr>
      </w:pPr>
      <w:r>
        <w:rPr>
          <w:rFonts w:hint="eastAsia" w:ascii="黑体" w:eastAsia="黑体"/>
          <w:color w:val="000000"/>
          <w:sz w:val="24"/>
        </w:rPr>
        <w:t>4.6单位工程初次报价汇总表</w:t>
      </w:r>
    </w:p>
    <w:p>
      <w:pPr>
        <w:spacing w:before="156" w:beforeLines="50" w:after="156" w:afterLines="50" w:line="420" w:lineRule="exact"/>
        <w:jc w:val="center"/>
        <w:rPr>
          <w:rFonts w:hint="eastAsia" w:ascii="黑体" w:eastAsia="黑体"/>
          <w:color w:val="000000"/>
          <w:sz w:val="28"/>
          <w:szCs w:val="28"/>
        </w:rPr>
      </w:pPr>
      <w:r>
        <w:rPr>
          <w:rFonts w:hint="eastAsia" w:ascii="黑体" w:eastAsia="黑体"/>
          <w:color w:val="000000"/>
          <w:sz w:val="28"/>
          <w:szCs w:val="28"/>
        </w:rPr>
        <w:t>单位工程初次报价汇总表</w:t>
      </w:r>
    </w:p>
    <w:p>
      <w:pPr>
        <w:spacing w:after="156" w:afterLines="50" w:line="420" w:lineRule="exact"/>
        <w:rPr>
          <w:color w:val="000000"/>
        </w:rPr>
      </w:pPr>
      <w:r>
        <w:rPr>
          <w:rFonts w:hint="eastAsia"/>
          <w:color w:val="000000"/>
        </w:rPr>
        <w:t xml:space="preserve">工程名称：                   </w:t>
      </w:r>
      <w:r>
        <w:rPr>
          <w:rFonts w:hint="eastAsia"/>
          <w:color w:val="000000"/>
          <w:szCs w:val="21"/>
        </w:rPr>
        <w:t>标段：</w:t>
      </w:r>
      <w:r>
        <w:rPr>
          <w:rFonts w:hint="eastAsia"/>
          <w:color w:val="000000"/>
        </w:rPr>
        <w:t xml:space="preserve">                                第  页   共  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jc w:val="center"/>
              <w:rPr>
                <w:rFonts w:hint="eastAsia"/>
                <w:color w:val="000000"/>
                <w:szCs w:val="21"/>
              </w:rPr>
            </w:pPr>
            <w:r>
              <w:rPr>
                <w:rFonts w:hint="eastAsia"/>
                <w:color w:val="000000"/>
                <w:szCs w:val="21"/>
              </w:rPr>
              <w:t>序号</w:t>
            </w:r>
          </w:p>
        </w:tc>
        <w:tc>
          <w:tcPr>
            <w:tcW w:w="2910" w:type="dxa"/>
            <w:noWrap w:val="0"/>
            <w:vAlign w:val="center"/>
          </w:tcPr>
          <w:p>
            <w:pPr>
              <w:jc w:val="center"/>
              <w:rPr>
                <w:rFonts w:hint="eastAsia"/>
                <w:color w:val="000000"/>
                <w:szCs w:val="21"/>
              </w:rPr>
            </w:pPr>
            <w:r>
              <w:rPr>
                <w:rFonts w:hint="eastAsia"/>
                <w:color w:val="000000"/>
                <w:szCs w:val="21"/>
              </w:rPr>
              <w:t>项目名称</w:t>
            </w:r>
          </w:p>
        </w:tc>
        <w:tc>
          <w:tcPr>
            <w:tcW w:w="3131" w:type="dxa"/>
            <w:noWrap w:val="0"/>
            <w:vAlign w:val="center"/>
          </w:tcPr>
          <w:p>
            <w:pPr>
              <w:jc w:val="center"/>
              <w:rPr>
                <w:rFonts w:hint="eastAsia"/>
                <w:color w:val="000000"/>
                <w:szCs w:val="21"/>
              </w:rPr>
            </w:pPr>
            <w:r>
              <w:rPr>
                <w:rFonts w:hint="eastAsia"/>
                <w:color w:val="000000"/>
                <w:szCs w:val="21"/>
              </w:rPr>
              <w:t>金额(元)</w:t>
            </w:r>
          </w:p>
        </w:tc>
        <w:tc>
          <w:tcPr>
            <w:tcW w:w="1988" w:type="dxa"/>
            <w:noWrap w:val="0"/>
            <w:vAlign w:val="center"/>
          </w:tcPr>
          <w:p>
            <w:pPr>
              <w:jc w:val="center"/>
              <w:rPr>
                <w:rFonts w:hint="eastAsia"/>
                <w:color w:val="000000"/>
                <w:szCs w:val="21"/>
              </w:rPr>
            </w:pPr>
            <w:r>
              <w:rPr>
                <w:rFonts w:hint="eastAsia"/>
                <w:color w:val="000000"/>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1</w:t>
            </w:r>
          </w:p>
        </w:tc>
        <w:tc>
          <w:tcPr>
            <w:tcW w:w="2910" w:type="dxa"/>
            <w:noWrap w:val="0"/>
            <w:vAlign w:val="center"/>
          </w:tcPr>
          <w:p>
            <w:pPr>
              <w:rPr>
                <w:rFonts w:hint="eastAsia"/>
                <w:color w:val="000000"/>
                <w:szCs w:val="21"/>
              </w:rPr>
            </w:pPr>
            <w:r>
              <w:rPr>
                <w:rFonts w:hint="eastAsia"/>
                <w:color w:val="000000"/>
                <w:szCs w:val="21"/>
              </w:rPr>
              <w:t>分部分项工程费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1.1</w:t>
            </w:r>
          </w:p>
        </w:tc>
        <w:tc>
          <w:tcPr>
            <w:tcW w:w="2910" w:type="dxa"/>
            <w:noWrap w:val="0"/>
            <w:vAlign w:val="center"/>
          </w:tcPr>
          <w:p>
            <w:pPr>
              <w:rPr>
                <w:rFonts w:hint="eastAsia"/>
                <w:color w:val="000000"/>
                <w:szCs w:val="21"/>
              </w:rPr>
            </w:pP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1.2</w:t>
            </w:r>
          </w:p>
        </w:tc>
        <w:tc>
          <w:tcPr>
            <w:tcW w:w="2910" w:type="dxa"/>
            <w:noWrap w:val="0"/>
            <w:vAlign w:val="center"/>
          </w:tcPr>
          <w:p>
            <w:pPr>
              <w:rPr>
                <w:rFonts w:hint="eastAsia"/>
                <w:color w:val="000000"/>
                <w:szCs w:val="21"/>
              </w:rPr>
            </w:pP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1.3</w:t>
            </w:r>
          </w:p>
        </w:tc>
        <w:tc>
          <w:tcPr>
            <w:tcW w:w="2910" w:type="dxa"/>
            <w:noWrap w:val="0"/>
            <w:vAlign w:val="center"/>
          </w:tcPr>
          <w:p>
            <w:pPr>
              <w:rPr>
                <w:rFonts w:hint="eastAsia"/>
                <w:color w:val="000000"/>
                <w:szCs w:val="21"/>
              </w:rPr>
            </w:pP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jc w:val="center"/>
              <w:rPr>
                <w:rFonts w:hint="eastAsia"/>
                <w:color w:val="000000"/>
                <w:szCs w:val="21"/>
              </w:rPr>
            </w:pPr>
            <w:r>
              <w:rPr>
                <w:rFonts w:hint="eastAsia"/>
                <w:color w:val="000000"/>
                <w:szCs w:val="21"/>
              </w:rPr>
              <w:t>1.4</w:t>
            </w:r>
          </w:p>
        </w:tc>
        <w:tc>
          <w:tcPr>
            <w:tcW w:w="2910" w:type="dxa"/>
            <w:noWrap w:val="0"/>
            <w:vAlign w:val="center"/>
          </w:tcPr>
          <w:p>
            <w:pPr>
              <w:rPr>
                <w:rFonts w:hint="eastAsia"/>
                <w:color w:val="000000"/>
                <w:szCs w:val="21"/>
              </w:rPr>
            </w:pP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1.5</w:t>
            </w:r>
          </w:p>
        </w:tc>
        <w:tc>
          <w:tcPr>
            <w:tcW w:w="2910" w:type="dxa"/>
            <w:noWrap w:val="0"/>
            <w:vAlign w:val="center"/>
          </w:tcPr>
          <w:p>
            <w:pPr>
              <w:rPr>
                <w:rFonts w:hint="eastAsia"/>
                <w:color w:val="000000"/>
                <w:szCs w:val="21"/>
              </w:rPr>
            </w:pP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2</w:t>
            </w:r>
          </w:p>
        </w:tc>
        <w:tc>
          <w:tcPr>
            <w:tcW w:w="2910" w:type="dxa"/>
            <w:noWrap w:val="0"/>
            <w:vAlign w:val="center"/>
          </w:tcPr>
          <w:p>
            <w:pPr>
              <w:rPr>
                <w:rFonts w:hint="eastAsia"/>
                <w:color w:val="000000"/>
                <w:szCs w:val="21"/>
              </w:rPr>
            </w:pPr>
            <w:r>
              <w:rPr>
                <w:rFonts w:hint="eastAsia"/>
                <w:color w:val="000000"/>
                <w:szCs w:val="21"/>
              </w:rPr>
              <w:t>措施项目费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2.1</w:t>
            </w:r>
          </w:p>
        </w:tc>
        <w:tc>
          <w:tcPr>
            <w:tcW w:w="2910" w:type="dxa"/>
            <w:noWrap w:val="0"/>
            <w:vAlign w:val="center"/>
          </w:tcPr>
          <w:p>
            <w:pPr>
              <w:rPr>
                <w:rFonts w:hint="eastAsia"/>
                <w:color w:val="000000"/>
                <w:szCs w:val="21"/>
              </w:rPr>
            </w:pPr>
            <w:r>
              <w:rPr>
                <w:color w:val="000000"/>
                <w:szCs w:val="21"/>
              </w:rPr>
              <w:t>单价措施费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2.2</w:t>
            </w:r>
          </w:p>
        </w:tc>
        <w:tc>
          <w:tcPr>
            <w:tcW w:w="2910" w:type="dxa"/>
            <w:noWrap w:val="0"/>
            <w:vAlign w:val="center"/>
          </w:tcPr>
          <w:p>
            <w:pPr>
              <w:rPr>
                <w:rFonts w:hint="eastAsia"/>
                <w:color w:val="000000"/>
                <w:szCs w:val="21"/>
              </w:rPr>
            </w:pPr>
            <w:r>
              <w:rPr>
                <w:color w:val="000000"/>
                <w:szCs w:val="21"/>
              </w:rPr>
              <w:t>总价措施费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3</w:t>
            </w:r>
          </w:p>
        </w:tc>
        <w:tc>
          <w:tcPr>
            <w:tcW w:w="2910" w:type="dxa"/>
            <w:noWrap w:val="0"/>
            <w:vAlign w:val="center"/>
          </w:tcPr>
          <w:p>
            <w:pPr>
              <w:rPr>
                <w:rFonts w:hint="eastAsia"/>
                <w:color w:val="000000"/>
                <w:szCs w:val="21"/>
              </w:rPr>
            </w:pPr>
            <w:r>
              <w:rPr>
                <w:rFonts w:hint="eastAsia"/>
                <w:color w:val="000000"/>
                <w:szCs w:val="21"/>
              </w:rPr>
              <w:t>其他项目费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3.1</w:t>
            </w:r>
          </w:p>
        </w:tc>
        <w:tc>
          <w:tcPr>
            <w:tcW w:w="2910" w:type="dxa"/>
            <w:noWrap w:val="0"/>
            <w:vAlign w:val="center"/>
          </w:tcPr>
          <w:p>
            <w:pPr>
              <w:rPr>
                <w:rFonts w:hint="eastAsia"/>
                <w:color w:val="000000"/>
                <w:szCs w:val="21"/>
              </w:rPr>
            </w:pPr>
            <w:r>
              <w:rPr>
                <w:color w:val="000000"/>
                <w:szCs w:val="21"/>
              </w:rPr>
              <w:t>暂列金额</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3.2</w:t>
            </w:r>
          </w:p>
        </w:tc>
        <w:tc>
          <w:tcPr>
            <w:tcW w:w="2910" w:type="dxa"/>
            <w:noWrap w:val="0"/>
            <w:vAlign w:val="center"/>
          </w:tcPr>
          <w:p>
            <w:pPr>
              <w:rPr>
                <w:rFonts w:hint="eastAsia"/>
                <w:color w:val="000000"/>
                <w:szCs w:val="21"/>
              </w:rPr>
            </w:pPr>
            <w:r>
              <w:rPr>
                <w:color w:val="000000"/>
                <w:szCs w:val="21"/>
              </w:rPr>
              <w:t>专业工程暂估价</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3.3</w:t>
            </w:r>
          </w:p>
        </w:tc>
        <w:tc>
          <w:tcPr>
            <w:tcW w:w="2910" w:type="dxa"/>
            <w:noWrap w:val="0"/>
            <w:vAlign w:val="center"/>
          </w:tcPr>
          <w:p>
            <w:pPr>
              <w:rPr>
                <w:rFonts w:hint="eastAsia"/>
                <w:color w:val="000000"/>
                <w:szCs w:val="21"/>
              </w:rPr>
            </w:pPr>
            <w:r>
              <w:rPr>
                <w:color w:val="000000"/>
                <w:szCs w:val="21"/>
              </w:rPr>
              <w:t>特殊项目暂估价</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3.4</w:t>
            </w:r>
          </w:p>
        </w:tc>
        <w:tc>
          <w:tcPr>
            <w:tcW w:w="2910" w:type="dxa"/>
            <w:noWrap w:val="0"/>
            <w:vAlign w:val="center"/>
          </w:tcPr>
          <w:p>
            <w:pPr>
              <w:rPr>
                <w:rFonts w:hint="eastAsia"/>
                <w:color w:val="000000"/>
                <w:szCs w:val="21"/>
              </w:rPr>
            </w:pPr>
            <w:r>
              <w:rPr>
                <w:color w:val="000000"/>
                <w:szCs w:val="21"/>
              </w:rPr>
              <w:t>计日工</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3.5</w:t>
            </w:r>
          </w:p>
        </w:tc>
        <w:tc>
          <w:tcPr>
            <w:tcW w:w="2910" w:type="dxa"/>
            <w:noWrap w:val="0"/>
            <w:vAlign w:val="center"/>
          </w:tcPr>
          <w:p>
            <w:pPr>
              <w:rPr>
                <w:rFonts w:hint="eastAsia"/>
                <w:color w:val="000000"/>
                <w:szCs w:val="21"/>
              </w:rPr>
            </w:pPr>
            <w:r>
              <w:rPr>
                <w:color w:val="000000"/>
                <w:szCs w:val="21"/>
              </w:rPr>
              <w:t>采购保管费</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jc w:val="center"/>
              <w:rPr>
                <w:rFonts w:hint="eastAsia"/>
                <w:color w:val="000000"/>
                <w:szCs w:val="21"/>
              </w:rPr>
            </w:pPr>
            <w:r>
              <w:rPr>
                <w:color w:val="000000"/>
                <w:szCs w:val="21"/>
              </w:rPr>
              <w:t>3.6</w:t>
            </w:r>
          </w:p>
        </w:tc>
        <w:tc>
          <w:tcPr>
            <w:tcW w:w="2910" w:type="dxa"/>
            <w:noWrap w:val="0"/>
            <w:vAlign w:val="center"/>
          </w:tcPr>
          <w:p>
            <w:pPr>
              <w:rPr>
                <w:rFonts w:hint="eastAsia"/>
                <w:color w:val="000000"/>
                <w:szCs w:val="21"/>
              </w:rPr>
            </w:pPr>
            <w:r>
              <w:rPr>
                <w:rFonts w:hint="eastAsia"/>
                <w:color w:val="000000"/>
                <w:szCs w:val="21"/>
              </w:rPr>
              <w:t>其他检验试验费</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3.7</w:t>
            </w:r>
          </w:p>
        </w:tc>
        <w:tc>
          <w:tcPr>
            <w:tcW w:w="2910" w:type="dxa"/>
            <w:noWrap w:val="0"/>
            <w:vAlign w:val="center"/>
          </w:tcPr>
          <w:p>
            <w:pPr>
              <w:rPr>
                <w:rFonts w:hint="eastAsia"/>
                <w:color w:val="000000"/>
                <w:szCs w:val="21"/>
              </w:rPr>
            </w:pPr>
            <w:r>
              <w:rPr>
                <w:color w:val="000000"/>
                <w:szCs w:val="21"/>
              </w:rPr>
              <w:t>总承包服务费</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3.8</w:t>
            </w:r>
          </w:p>
        </w:tc>
        <w:tc>
          <w:tcPr>
            <w:tcW w:w="2910" w:type="dxa"/>
            <w:noWrap w:val="0"/>
            <w:vAlign w:val="center"/>
          </w:tcPr>
          <w:p>
            <w:pPr>
              <w:rPr>
                <w:rFonts w:hint="eastAsia"/>
                <w:color w:val="000000"/>
                <w:szCs w:val="21"/>
              </w:rPr>
            </w:pPr>
            <w:r>
              <w:rPr>
                <w:color w:val="000000"/>
                <w:szCs w:val="21"/>
              </w:rPr>
              <w:t>其他</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27" w:type="dxa"/>
            <w:noWrap w:val="0"/>
            <w:vAlign w:val="center"/>
          </w:tcPr>
          <w:p>
            <w:pPr>
              <w:jc w:val="center"/>
              <w:rPr>
                <w:rFonts w:hint="eastAsia"/>
                <w:color w:val="000000"/>
                <w:szCs w:val="21"/>
              </w:rPr>
            </w:pPr>
            <w:r>
              <w:rPr>
                <w:rFonts w:hint="eastAsia"/>
                <w:color w:val="000000"/>
                <w:szCs w:val="21"/>
              </w:rPr>
              <w:t>4</w:t>
            </w:r>
          </w:p>
        </w:tc>
        <w:tc>
          <w:tcPr>
            <w:tcW w:w="2910" w:type="dxa"/>
            <w:noWrap w:val="0"/>
            <w:vAlign w:val="center"/>
          </w:tcPr>
          <w:p>
            <w:pPr>
              <w:rPr>
                <w:rFonts w:hint="eastAsia"/>
                <w:color w:val="000000"/>
                <w:szCs w:val="21"/>
              </w:rPr>
            </w:pPr>
            <w:r>
              <w:rPr>
                <w:rFonts w:hint="eastAsia"/>
                <w:color w:val="000000"/>
                <w:szCs w:val="21"/>
              </w:rPr>
              <w:t>规费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5</w:t>
            </w:r>
          </w:p>
        </w:tc>
        <w:tc>
          <w:tcPr>
            <w:tcW w:w="2910" w:type="dxa"/>
            <w:noWrap w:val="0"/>
            <w:vAlign w:val="center"/>
          </w:tcPr>
          <w:p>
            <w:pPr>
              <w:rPr>
                <w:rFonts w:hint="eastAsia"/>
                <w:color w:val="000000"/>
                <w:szCs w:val="21"/>
              </w:rPr>
            </w:pPr>
            <w:r>
              <w:rPr>
                <w:color w:val="000000"/>
                <w:szCs w:val="21"/>
              </w:rPr>
              <w:t>设备费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6</w:t>
            </w:r>
          </w:p>
        </w:tc>
        <w:tc>
          <w:tcPr>
            <w:tcW w:w="2910" w:type="dxa"/>
            <w:noWrap w:val="0"/>
            <w:vAlign w:val="center"/>
          </w:tcPr>
          <w:p>
            <w:pPr>
              <w:rPr>
                <w:rFonts w:hint="eastAsia"/>
                <w:color w:val="000000"/>
                <w:szCs w:val="21"/>
              </w:rPr>
            </w:pPr>
            <w:r>
              <w:rPr>
                <w:rFonts w:hint="eastAsia"/>
                <w:color w:val="000000"/>
                <w:szCs w:val="21"/>
              </w:rPr>
              <w:t>税金</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pPr>
              <w:rPr>
                <w:rFonts w:hint="eastAsia"/>
                <w:color w:val="000000"/>
                <w:szCs w:val="21"/>
              </w:rPr>
            </w:pPr>
            <w:r>
              <w:rPr>
                <w:rFonts w:hint="eastAsia"/>
                <w:color w:val="000000"/>
                <w:szCs w:val="21"/>
              </w:rPr>
              <w:t>单位工程费用合计=1+2+3+4+5+6</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bl>
    <w:p>
      <w:pPr>
        <w:rPr>
          <w:color w:val="000000"/>
        </w:rPr>
      </w:pPr>
    </w:p>
    <w:p>
      <w:pPr>
        <w:rPr>
          <w:rFonts w:hint="eastAsia"/>
          <w:color w:val="000000"/>
        </w:rPr>
      </w:pPr>
      <w:r>
        <w:rPr>
          <w:color w:val="000000"/>
        </w:rPr>
        <w:br w:type="page"/>
      </w:r>
    </w:p>
    <w:p>
      <w:pPr>
        <w:rPr>
          <w:rFonts w:hint="eastAsia" w:ascii="黑体" w:eastAsia="黑体"/>
          <w:color w:val="000000"/>
          <w:sz w:val="24"/>
        </w:rPr>
      </w:pPr>
      <w:r>
        <w:rPr>
          <w:rFonts w:hint="eastAsia" w:ascii="黑体" w:eastAsia="黑体"/>
          <w:color w:val="000000"/>
          <w:sz w:val="24"/>
        </w:rPr>
        <w:t>4.7分部分项工程量清单与计价表</w:t>
      </w:r>
    </w:p>
    <w:p>
      <w:pPr>
        <w:spacing w:before="312" w:beforeLines="100" w:after="312" w:afterLines="100"/>
        <w:jc w:val="center"/>
        <w:rPr>
          <w:rFonts w:hint="eastAsia" w:ascii="黑体" w:eastAsia="黑体"/>
          <w:color w:val="000000"/>
          <w:sz w:val="28"/>
          <w:szCs w:val="28"/>
        </w:rPr>
      </w:pPr>
      <w:r>
        <w:rPr>
          <w:rFonts w:hint="eastAsia" w:ascii="黑体" w:eastAsia="黑体"/>
          <w:color w:val="000000"/>
          <w:sz w:val="28"/>
          <w:szCs w:val="28"/>
        </w:rPr>
        <w:t>分部分项工程量清单与计价表</w:t>
      </w:r>
    </w:p>
    <w:p>
      <w:pPr>
        <w:spacing w:before="312" w:beforeLines="100" w:after="312" w:afterLines="100"/>
        <w:ind w:firstLine="316" w:firstLineChars="150"/>
        <w:rPr>
          <w:rFonts w:ascii="黑体" w:eastAsia="黑体"/>
          <w:color w:val="000000"/>
          <w:sz w:val="28"/>
          <w:szCs w:val="28"/>
        </w:rPr>
      </w:pPr>
      <w:r>
        <w:rPr>
          <w:rFonts w:hint="eastAsia"/>
          <w:color w:val="000000"/>
        </w:rPr>
        <w:t xml:space="preserve">工程名称：                    </w:t>
      </w:r>
      <w:r>
        <w:rPr>
          <w:rFonts w:hint="eastAsia"/>
          <w:color w:val="000000"/>
          <w:szCs w:val="21"/>
        </w:rPr>
        <w:t>标段：</w:t>
      </w:r>
      <w:r>
        <w:rPr>
          <w:rFonts w:hint="eastAsia"/>
          <w:color w:val="000000"/>
        </w:rPr>
        <w:t xml:space="preserve">                               第  页  共  页</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pPr>
              <w:jc w:val="center"/>
              <w:rPr>
                <w:rFonts w:hint="eastAsia"/>
                <w:color w:val="000000"/>
                <w:sz w:val="20"/>
                <w:szCs w:val="20"/>
              </w:rPr>
            </w:pPr>
            <w:r>
              <w:rPr>
                <w:rFonts w:hint="eastAsia"/>
                <w:color w:val="000000"/>
                <w:sz w:val="20"/>
                <w:szCs w:val="20"/>
              </w:rPr>
              <w:t>序号</w:t>
            </w:r>
          </w:p>
        </w:tc>
        <w:tc>
          <w:tcPr>
            <w:tcW w:w="1047" w:type="dxa"/>
            <w:vMerge w:val="restart"/>
            <w:tcBorders>
              <w:right w:val="single" w:color="auto" w:sz="6" w:space="0"/>
            </w:tcBorders>
            <w:noWrap w:val="0"/>
            <w:vAlign w:val="center"/>
          </w:tcPr>
          <w:p>
            <w:pPr>
              <w:jc w:val="center"/>
              <w:rPr>
                <w:rFonts w:hint="eastAsia"/>
                <w:color w:val="000000"/>
                <w:sz w:val="20"/>
                <w:szCs w:val="20"/>
              </w:rPr>
            </w:pPr>
            <w:r>
              <w:rPr>
                <w:rFonts w:hint="eastAsia"/>
                <w:color w:val="000000"/>
                <w:sz w:val="20"/>
                <w:szCs w:val="20"/>
              </w:rPr>
              <w:t>项目编码</w:t>
            </w:r>
          </w:p>
        </w:tc>
        <w:tc>
          <w:tcPr>
            <w:tcW w:w="2484" w:type="dxa"/>
            <w:vMerge w:val="restart"/>
            <w:tcBorders>
              <w:left w:val="single" w:color="auto" w:sz="6" w:space="0"/>
            </w:tcBorders>
            <w:noWrap w:val="0"/>
            <w:vAlign w:val="center"/>
          </w:tcPr>
          <w:p>
            <w:pPr>
              <w:jc w:val="center"/>
              <w:rPr>
                <w:color w:val="000000"/>
                <w:sz w:val="20"/>
                <w:szCs w:val="20"/>
              </w:rPr>
            </w:pPr>
            <w:r>
              <w:rPr>
                <w:rFonts w:hint="eastAsia"/>
                <w:color w:val="000000"/>
                <w:sz w:val="20"/>
                <w:szCs w:val="20"/>
              </w:rPr>
              <w:t>项目名称</w:t>
            </w:r>
          </w:p>
          <w:p>
            <w:pPr>
              <w:jc w:val="center"/>
              <w:rPr>
                <w:rFonts w:hint="eastAsia"/>
                <w:color w:val="000000"/>
                <w:sz w:val="20"/>
                <w:szCs w:val="20"/>
              </w:rPr>
            </w:pPr>
            <w:r>
              <w:rPr>
                <w:rFonts w:hint="eastAsia"/>
                <w:color w:val="000000"/>
                <w:sz w:val="20"/>
                <w:szCs w:val="20"/>
              </w:rPr>
              <w:t>项目特征</w:t>
            </w:r>
          </w:p>
        </w:tc>
        <w:tc>
          <w:tcPr>
            <w:tcW w:w="1019" w:type="dxa"/>
            <w:vMerge w:val="restart"/>
            <w:tcBorders>
              <w:right w:val="single" w:color="auto" w:sz="6" w:space="0"/>
            </w:tcBorders>
            <w:noWrap w:val="0"/>
            <w:vAlign w:val="center"/>
          </w:tcPr>
          <w:p>
            <w:pPr>
              <w:jc w:val="center"/>
              <w:rPr>
                <w:rFonts w:hint="eastAsia"/>
                <w:color w:val="000000"/>
                <w:sz w:val="20"/>
                <w:szCs w:val="20"/>
              </w:rPr>
            </w:pPr>
            <w:r>
              <w:rPr>
                <w:rFonts w:hint="eastAsia"/>
                <w:color w:val="000000"/>
                <w:sz w:val="20"/>
                <w:szCs w:val="20"/>
              </w:rPr>
              <w:t>计量单位</w:t>
            </w:r>
          </w:p>
        </w:tc>
        <w:tc>
          <w:tcPr>
            <w:tcW w:w="838" w:type="dxa"/>
            <w:vMerge w:val="restart"/>
            <w:tcBorders>
              <w:left w:val="single" w:color="auto" w:sz="6" w:space="0"/>
            </w:tcBorders>
            <w:noWrap w:val="0"/>
            <w:vAlign w:val="center"/>
          </w:tcPr>
          <w:p>
            <w:pPr>
              <w:jc w:val="center"/>
              <w:rPr>
                <w:rFonts w:hint="eastAsia"/>
                <w:color w:val="000000"/>
                <w:sz w:val="20"/>
                <w:szCs w:val="20"/>
              </w:rPr>
            </w:pPr>
            <w:r>
              <w:rPr>
                <w:rFonts w:hint="eastAsia"/>
                <w:color w:val="000000"/>
                <w:sz w:val="20"/>
                <w:szCs w:val="20"/>
              </w:rPr>
              <w:t>工程量</w:t>
            </w:r>
          </w:p>
        </w:tc>
        <w:tc>
          <w:tcPr>
            <w:tcW w:w="2447" w:type="dxa"/>
            <w:gridSpan w:val="3"/>
            <w:tcBorders>
              <w:left w:val="single" w:color="auto" w:sz="6" w:space="0"/>
            </w:tcBorders>
            <w:noWrap w:val="0"/>
            <w:vAlign w:val="center"/>
          </w:tcPr>
          <w:p>
            <w:pPr>
              <w:jc w:val="center"/>
              <w:rPr>
                <w:rFonts w:hint="eastAsia"/>
                <w:color w:val="000000"/>
                <w:sz w:val="20"/>
                <w:szCs w:val="20"/>
              </w:rPr>
            </w:pPr>
            <w:r>
              <w:rPr>
                <w:rFonts w:hint="eastAsia"/>
                <w:color w:val="000000"/>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Merge w:val="continue"/>
            <w:noWrap w:val="0"/>
            <w:vAlign w:val="center"/>
          </w:tcPr>
          <w:p>
            <w:pPr>
              <w:jc w:val="center"/>
              <w:rPr>
                <w:rFonts w:hint="eastAsia" w:ascii="黑体" w:eastAsia="黑体"/>
                <w:color w:val="000000"/>
                <w:sz w:val="20"/>
                <w:szCs w:val="20"/>
              </w:rPr>
            </w:pPr>
          </w:p>
        </w:tc>
        <w:tc>
          <w:tcPr>
            <w:tcW w:w="1047" w:type="dxa"/>
            <w:vMerge w:val="continue"/>
            <w:tcBorders>
              <w:right w:val="single" w:color="auto" w:sz="6" w:space="0"/>
            </w:tcBorders>
            <w:noWrap w:val="0"/>
            <w:vAlign w:val="center"/>
          </w:tcPr>
          <w:p>
            <w:pPr>
              <w:jc w:val="center"/>
              <w:rPr>
                <w:rFonts w:hint="eastAsia"/>
                <w:color w:val="000000"/>
                <w:sz w:val="20"/>
                <w:szCs w:val="20"/>
              </w:rPr>
            </w:pPr>
          </w:p>
        </w:tc>
        <w:tc>
          <w:tcPr>
            <w:tcW w:w="2484" w:type="dxa"/>
            <w:vMerge w:val="continue"/>
            <w:tcBorders>
              <w:left w:val="single" w:color="auto" w:sz="6" w:space="0"/>
            </w:tcBorders>
            <w:noWrap w:val="0"/>
            <w:vAlign w:val="center"/>
          </w:tcPr>
          <w:p>
            <w:pPr>
              <w:jc w:val="center"/>
              <w:rPr>
                <w:rFonts w:hint="eastAsia"/>
                <w:color w:val="000000"/>
                <w:sz w:val="20"/>
                <w:szCs w:val="20"/>
              </w:rPr>
            </w:pPr>
          </w:p>
        </w:tc>
        <w:tc>
          <w:tcPr>
            <w:tcW w:w="1019" w:type="dxa"/>
            <w:vMerge w:val="continue"/>
            <w:tcBorders>
              <w:right w:val="single" w:color="auto" w:sz="6" w:space="0"/>
            </w:tcBorders>
            <w:noWrap w:val="0"/>
            <w:vAlign w:val="center"/>
          </w:tcPr>
          <w:p>
            <w:pPr>
              <w:jc w:val="center"/>
              <w:rPr>
                <w:rFonts w:hint="eastAsia"/>
                <w:color w:val="000000"/>
                <w:sz w:val="20"/>
                <w:szCs w:val="20"/>
              </w:rPr>
            </w:pPr>
          </w:p>
        </w:tc>
        <w:tc>
          <w:tcPr>
            <w:tcW w:w="838" w:type="dxa"/>
            <w:vMerge w:val="continue"/>
            <w:tcBorders>
              <w:left w:val="single" w:color="auto" w:sz="6" w:space="0"/>
            </w:tcBorders>
            <w:noWrap w:val="0"/>
            <w:vAlign w:val="center"/>
          </w:tcPr>
          <w:p>
            <w:pPr>
              <w:jc w:val="center"/>
              <w:rPr>
                <w:rFonts w:hint="eastAsia"/>
                <w:color w:val="000000"/>
                <w:sz w:val="20"/>
                <w:szCs w:val="20"/>
              </w:rPr>
            </w:pPr>
          </w:p>
        </w:tc>
        <w:tc>
          <w:tcPr>
            <w:tcW w:w="765" w:type="dxa"/>
            <w:tcBorders>
              <w:left w:val="single" w:color="auto" w:sz="6" w:space="0"/>
            </w:tcBorders>
            <w:noWrap w:val="0"/>
            <w:vAlign w:val="center"/>
          </w:tcPr>
          <w:p>
            <w:pPr>
              <w:jc w:val="center"/>
              <w:rPr>
                <w:rFonts w:hint="eastAsia"/>
                <w:color w:val="000000"/>
                <w:sz w:val="20"/>
                <w:szCs w:val="20"/>
              </w:rPr>
            </w:pPr>
            <w:r>
              <w:rPr>
                <w:rFonts w:hint="eastAsia"/>
                <w:color w:val="000000"/>
                <w:sz w:val="20"/>
                <w:szCs w:val="20"/>
              </w:rPr>
              <w:t>综合</w:t>
            </w:r>
          </w:p>
          <w:p>
            <w:pPr>
              <w:jc w:val="center"/>
              <w:rPr>
                <w:rFonts w:hint="eastAsia"/>
                <w:color w:val="000000"/>
                <w:sz w:val="20"/>
                <w:szCs w:val="20"/>
              </w:rPr>
            </w:pPr>
            <w:r>
              <w:rPr>
                <w:rFonts w:hint="eastAsia"/>
                <w:color w:val="000000"/>
                <w:sz w:val="20"/>
                <w:szCs w:val="20"/>
              </w:rPr>
              <w:t>单价</w:t>
            </w:r>
          </w:p>
        </w:tc>
        <w:tc>
          <w:tcPr>
            <w:tcW w:w="741" w:type="dxa"/>
            <w:tcBorders>
              <w:right w:val="single" w:color="auto" w:sz="6" w:space="0"/>
            </w:tcBorders>
            <w:noWrap w:val="0"/>
            <w:vAlign w:val="center"/>
          </w:tcPr>
          <w:p>
            <w:pPr>
              <w:jc w:val="center"/>
              <w:rPr>
                <w:rFonts w:hint="eastAsia"/>
                <w:color w:val="000000"/>
                <w:sz w:val="20"/>
                <w:szCs w:val="20"/>
              </w:rPr>
            </w:pPr>
            <w:r>
              <w:rPr>
                <w:rFonts w:hint="eastAsia"/>
                <w:color w:val="000000"/>
                <w:sz w:val="20"/>
                <w:szCs w:val="20"/>
              </w:rPr>
              <w:t>合价</w:t>
            </w:r>
          </w:p>
        </w:tc>
        <w:tc>
          <w:tcPr>
            <w:tcW w:w="941" w:type="dxa"/>
            <w:tcBorders>
              <w:left w:val="single" w:color="auto" w:sz="6" w:space="0"/>
            </w:tcBorders>
            <w:noWrap w:val="0"/>
            <w:vAlign w:val="center"/>
          </w:tcPr>
          <w:p>
            <w:pPr>
              <w:jc w:val="center"/>
              <w:rPr>
                <w:rFonts w:hint="eastAsia"/>
                <w:color w:val="000000"/>
                <w:sz w:val="20"/>
                <w:szCs w:val="20"/>
              </w:rPr>
            </w:pPr>
            <w:r>
              <w:rPr>
                <w:rFonts w:hint="eastAsia"/>
                <w:color w:val="000000"/>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ind w:firstLine="211" w:firstLineChars="100"/>
              <w:jc w:val="center"/>
              <w:rPr>
                <w:rFonts w:hint="eastAsia"/>
                <w:color w:val="000000"/>
                <w:szCs w:val="21"/>
              </w:rPr>
            </w:pPr>
          </w:p>
        </w:tc>
        <w:tc>
          <w:tcPr>
            <w:tcW w:w="2484" w:type="dxa"/>
            <w:tcBorders>
              <w:left w:val="single" w:color="auto" w:sz="6" w:space="0"/>
            </w:tcBorders>
            <w:noWrap w:val="0"/>
            <w:vAlign w:val="center"/>
          </w:tcPr>
          <w:p>
            <w:pPr>
              <w:ind w:firstLine="211" w:firstLineChars="100"/>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ind w:firstLine="211" w:firstLineChars="100"/>
              <w:jc w:val="center"/>
              <w:rPr>
                <w:rFonts w:hint="eastAsia"/>
                <w:color w:val="000000"/>
                <w:szCs w:val="21"/>
              </w:rPr>
            </w:pPr>
          </w:p>
        </w:tc>
        <w:tc>
          <w:tcPr>
            <w:tcW w:w="2484" w:type="dxa"/>
            <w:tcBorders>
              <w:left w:val="single" w:color="auto" w:sz="6" w:space="0"/>
            </w:tcBorders>
            <w:noWrap w:val="0"/>
            <w:vAlign w:val="center"/>
          </w:tcPr>
          <w:p>
            <w:pPr>
              <w:ind w:firstLine="211" w:firstLineChars="100"/>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ind w:firstLine="211" w:firstLineChars="100"/>
              <w:jc w:val="center"/>
              <w:rPr>
                <w:rFonts w:hint="eastAsia"/>
                <w:color w:val="000000"/>
                <w:szCs w:val="21"/>
              </w:rPr>
            </w:pPr>
          </w:p>
        </w:tc>
        <w:tc>
          <w:tcPr>
            <w:tcW w:w="2484" w:type="dxa"/>
            <w:tcBorders>
              <w:left w:val="single" w:color="auto" w:sz="6" w:space="0"/>
            </w:tcBorders>
            <w:noWrap w:val="0"/>
            <w:vAlign w:val="center"/>
          </w:tcPr>
          <w:p>
            <w:pPr>
              <w:ind w:firstLine="211" w:firstLineChars="100"/>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jc w:val="center"/>
              <w:rPr>
                <w:rFonts w:hint="eastAsia"/>
                <w:color w:val="000000"/>
                <w:szCs w:val="21"/>
              </w:rPr>
            </w:pPr>
            <w:r>
              <w:rPr>
                <w:rFonts w:hint="eastAsia"/>
                <w:color w:val="000000"/>
                <w:szCs w:val="21"/>
              </w:rPr>
              <w:t>本页小计</w:t>
            </w: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jc w:val="center"/>
              <w:rPr>
                <w:rFonts w:hint="eastAsia"/>
                <w:color w:val="000000"/>
                <w:szCs w:val="21"/>
              </w:rPr>
            </w:pPr>
            <w:r>
              <w:rPr>
                <w:rFonts w:hint="eastAsia"/>
                <w:color w:val="000000"/>
                <w:szCs w:val="21"/>
              </w:rPr>
              <w:t>合  计</w:t>
            </w: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bl>
    <w:p>
      <w:pPr>
        <w:spacing w:before="93" w:beforeLines="30"/>
        <w:rPr>
          <w:rFonts w:hint="eastAsia" w:ascii="黑体" w:eastAsia="黑体"/>
          <w:color w:val="000000"/>
        </w:rPr>
      </w:pPr>
    </w:p>
    <w:p>
      <w:pPr>
        <w:spacing w:before="93" w:beforeLines="30"/>
        <w:rPr>
          <w:rFonts w:hint="eastAsia"/>
          <w:color w:val="000000"/>
        </w:rPr>
      </w:pPr>
    </w:p>
    <w:p>
      <w:pPr>
        <w:rPr>
          <w:rFonts w:hint="eastAsia"/>
          <w:color w:val="000000"/>
        </w:rPr>
      </w:pPr>
      <w:r>
        <w:rPr>
          <w:color w:val="000000"/>
        </w:rPr>
        <w:br w:type="page"/>
      </w:r>
    </w:p>
    <w:p>
      <w:pPr>
        <w:rPr>
          <w:rFonts w:hint="eastAsia" w:ascii="黑体" w:eastAsia="黑体"/>
          <w:color w:val="000000"/>
          <w:sz w:val="24"/>
        </w:rPr>
      </w:pPr>
      <w:r>
        <w:rPr>
          <w:rFonts w:hint="eastAsia" w:ascii="黑体" w:eastAsia="黑体"/>
          <w:color w:val="000000"/>
          <w:sz w:val="24"/>
        </w:rPr>
        <w:t>4.8工程量清单综合单价分析表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工程量清单综合单价分析表</w:t>
      </w:r>
    </w:p>
    <w:p>
      <w:pPr>
        <w:spacing w:line="400" w:lineRule="exact"/>
        <w:rPr>
          <w:rFonts w:hint="eastAsia"/>
          <w:color w:val="000000"/>
          <w:szCs w:val="21"/>
        </w:rPr>
      </w:pPr>
      <w:r>
        <w:rPr>
          <w:rFonts w:hint="eastAsia"/>
          <w:color w:val="000000"/>
          <w:szCs w:val="21"/>
        </w:rPr>
        <w:t xml:space="preserve">工程名称 ：                        标段：                         第   页   共   页 </w:t>
      </w:r>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序号</w:t>
            </w:r>
          </w:p>
        </w:tc>
        <w:tc>
          <w:tcPr>
            <w:tcW w:w="1476" w:type="dxa"/>
            <w:vMerge w:val="restart"/>
            <w:tcBorders>
              <w:top w:val="single" w:color="auto" w:sz="8" w:space="0"/>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编码</w:t>
            </w:r>
          </w:p>
        </w:tc>
        <w:tc>
          <w:tcPr>
            <w:tcW w:w="1980"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名称</w:t>
            </w:r>
          </w:p>
        </w:tc>
        <w:tc>
          <w:tcPr>
            <w:tcW w:w="504"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单位</w:t>
            </w:r>
          </w:p>
        </w:tc>
        <w:tc>
          <w:tcPr>
            <w:tcW w:w="720"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工程量</w:t>
            </w:r>
          </w:p>
        </w:tc>
        <w:tc>
          <w:tcPr>
            <w:tcW w:w="3240" w:type="dxa"/>
            <w:gridSpan w:val="5"/>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综合单价组成（元）</w:t>
            </w:r>
          </w:p>
        </w:tc>
        <w:tc>
          <w:tcPr>
            <w:tcW w:w="720" w:type="dxa"/>
            <w:vMerge w:val="restart"/>
            <w:tcBorders>
              <w:top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vMerge w:val="continue"/>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980" w:type="dxa"/>
            <w:vMerge w:val="continue"/>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04" w:type="dxa"/>
            <w:vMerge w:val="continue"/>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vMerge w:val="continue"/>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人工费</w:t>
            </w:r>
          </w:p>
        </w:tc>
        <w:tc>
          <w:tcPr>
            <w:tcW w:w="683"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材料费</w:t>
            </w:r>
          </w:p>
        </w:tc>
        <w:tc>
          <w:tcPr>
            <w:tcW w:w="577"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机械费</w:t>
            </w:r>
          </w:p>
        </w:tc>
        <w:tc>
          <w:tcPr>
            <w:tcW w:w="54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计费    基础</w:t>
            </w:r>
          </w:p>
        </w:tc>
        <w:tc>
          <w:tcPr>
            <w:tcW w:w="72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管理费 和利润</w:t>
            </w:r>
          </w:p>
        </w:tc>
        <w:tc>
          <w:tcPr>
            <w:tcW w:w="720" w:type="dxa"/>
            <w:vMerge w:val="continue"/>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1</w:t>
            </w: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（清单项目编码1）</w:t>
            </w: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r>
              <w:rPr>
                <w:rFonts w:hint="eastAsia" w:ascii="宋体" w:hAnsi="宋体"/>
                <w:color w:val="000000"/>
                <w:spacing w:val="-12"/>
                <w:sz w:val="18"/>
                <w:szCs w:val="18"/>
              </w:rPr>
              <w:t>（清单项目名称及特征 ）</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（定额编号1）</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000000"/>
                <w:spacing w:val="-16"/>
                <w:sz w:val="18"/>
                <w:szCs w:val="18"/>
              </w:rPr>
            </w:pPr>
            <w:r>
              <w:rPr>
                <w:rFonts w:hint="eastAsia" w:ascii="宋体" w:hAnsi="宋体"/>
                <w:color w:val="000000"/>
                <w:spacing w:val="-16"/>
                <w:sz w:val="18"/>
                <w:szCs w:val="18"/>
              </w:rPr>
              <w:t>（定额项目名称或工程内容）</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（定额编号2）</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000000"/>
                <w:spacing w:val="-16"/>
                <w:sz w:val="18"/>
                <w:szCs w:val="18"/>
              </w:rPr>
            </w:pPr>
            <w:r>
              <w:rPr>
                <w:rFonts w:hint="eastAsia" w:ascii="宋体" w:hAnsi="宋体"/>
                <w:color w:val="000000"/>
                <w:spacing w:val="-16"/>
                <w:sz w:val="18"/>
                <w:szCs w:val="18"/>
              </w:rPr>
              <w:t>（定额项目名称或工程内容）</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（主材或</w:t>
            </w:r>
            <w:r>
              <w:rPr>
                <w:rFonts w:hint="eastAsia" w:ascii="宋体" w:hAnsi="宋体"/>
                <w:color w:val="000000"/>
                <w:sz w:val="18"/>
                <w:szCs w:val="18"/>
              </w:rPr>
              <w:t>暂估价材料</w:t>
            </w:r>
            <w:r>
              <w:rPr>
                <w:rFonts w:hint="eastAsia" w:ascii="宋体" w:hAnsi="宋体"/>
                <w:color w:val="000000"/>
                <w:spacing w:val="-12"/>
                <w:sz w:val="18"/>
                <w:szCs w:val="18"/>
              </w:rPr>
              <w:t>编码1）</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000000"/>
                <w:spacing w:val="-16"/>
                <w:sz w:val="18"/>
                <w:szCs w:val="18"/>
              </w:rPr>
            </w:pPr>
            <w:r>
              <w:rPr>
                <w:rFonts w:hint="eastAsia" w:ascii="宋体" w:hAnsi="宋体"/>
                <w:color w:val="000000"/>
                <w:spacing w:val="-16"/>
                <w:sz w:val="18"/>
                <w:szCs w:val="18"/>
              </w:rPr>
              <w:t>（名称、规格、型号）</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（主材或暂估价材料编码2）</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000000"/>
                <w:spacing w:val="-16"/>
                <w:sz w:val="18"/>
                <w:szCs w:val="18"/>
              </w:rPr>
            </w:pPr>
            <w:r>
              <w:rPr>
                <w:rFonts w:hint="eastAsia" w:ascii="宋体" w:hAnsi="宋体"/>
                <w:color w:val="000000"/>
                <w:spacing w:val="-16"/>
                <w:sz w:val="18"/>
                <w:szCs w:val="18"/>
              </w:rPr>
              <w:t>（名称、规格、型号）</w:t>
            </w:r>
          </w:p>
        </w:tc>
        <w:tc>
          <w:tcPr>
            <w:tcW w:w="504"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tcBorders>
              <w:right w:val="single" w:color="auto" w:sz="8" w:space="0"/>
            </w:tcBorders>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r>
              <w:rPr>
                <w:rFonts w:hint="eastAsia" w:ascii="宋体" w:hAnsi="宋体"/>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r>
              <w:rPr>
                <w:rFonts w:hint="eastAsia" w:ascii="宋体" w:hAnsi="宋体"/>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r>
              <w:rPr>
                <w:rFonts w:hint="eastAsia" w:ascii="宋体" w:hAnsi="宋体"/>
                <w:color w:val="000000"/>
                <w:sz w:val="18"/>
                <w:szCs w:val="18"/>
              </w:rPr>
              <w:t>材料费中：暂估价合计</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r>
              <w:rPr>
                <w:rFonts w:hint="eastAsia" w:ascii="宋体" w:hAnsi="宋体"/>
                <w:color w:val="000000"/>
              </w:rPr>
              <w:t>2</w:t>
            </w: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（清单项目编码2）</w:t>
            </w: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r>
              <w:rPr>
                <w:rFonts w:hint="eastAsia" w:ascii="宋体" w:hAnsi="宋体"/>
                <w:color w:val="000000"/>
                <w:spacing w:val="-12"/>
                <w:sz w:val="18"/>
                <w:szCs w:val="18"/>
              </w:rPr>
              <w:t>（清单项目名称及特征）</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000000"/>
                <w:spacing w:val="-16"/>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540" w:type="dxa"/>
            <w:tcBorders>
              <w:top w:val="single" w:color="auto" w:sz="8" w:space="0"/>
              <w:left w:val="single" w:color="auto" w:sz="8" w:space="0"/>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476"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98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04"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683"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bottom w:val="single" w:color="auto" w:sz="4" w:space="0"/>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540" w:type="dxa"/>
            <w:tcBorders>
              <w:top w:val="single" w:color="auto" w:sz="4" w:space="0"/>
              <w:lef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476"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98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04"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683"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top w:val="single" w:color="auto" w:sz="4" w:space="0"/>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bl>
    <w:p>
      <w:pPr>
        <w:spacing w:line="280" w:lineRule="exact"/>
        <w:rPr>
          <w:rFonts w:hint="eastAsia" w:ascii="宋体" w:hAnsi="宋体"/>
          <w:color w:val="000000"/>
          <w:szCs w:val="21"/>
        </w:rPr>
      </w:pPr>
      <w:r>
        <w:rPr>
          <w:rFonts w:hint="eastAsia" w:ascii="宋体" w:hAnsi="宋体"/>
          <w:color w:val="000000"/>
          <w:szCs w:val="21"/>
        </w:rPr>
        <w:t>注：1、如不使用省级或行业建设主管部门发布的计价依据，可不填写定额编号、定额项目名称等。</w:t>
      </w:r>
    </w:p>
    <w:p>
      <w:pPr>
        <w:spacing w:line="280" w:lineRule="exact"/>
        <w:ind w:firstLine="422" w:firstLineChars="200"/>
        <w:rPr>
          <w:rFonts w:hint="eastAsia" w:ascii="宋体" w:hAnsi="宋体"/>
          <w:color w:val="000000"/>
          <w:szCs w:val="21"/>
        </w:rPr>
      </w:pPr>
      <w:r>
        <w:rPr>
          <w:rFonts w:hint="eastAsia" w:ascii="宋体" w:hAnsi="宋体"/>
          <w:color w:val="000000"/>
          <w:szCs w:val="21"/>
        </w:rPr>
        <w:t>2、对于具有市场成活报价的项目可不提供分析表。</w:t>
      </w:r>
      <w:r>
        <w:rPr>
          <w:rFonts w:hint="eastAsia"/>
          <w:color w:val="000000"/>
          <w:szCs w:val="21"/>
        </w:rPr>
        <w:t xml:space="preserve">   </w:t>
      </w:r>
      <w:r>
        <w:rPr>
          <w:rFonts w:hint="eastAsia" w:ascii="宋体" w:hAnsi="宋体"/>
          <w:color w:val="000000"/>
          <w:szCs w:val="21"/>
        </w:rPr>
        <w:t xml:space="preserve"> </w:t>
      </w:r>
    </w:p>
    <w:p>
      <w:pPr>
        <w:spacing w:line="280" w:lineRule="exact"/>
        <w:ind w:firstLine="422" w:firstLineChars="200"/>
        <w:rPr>
          <w:rFonts w:hint="eastAsia" w:ascii="宋体" w:hAnsi="宋体"/>
          <w:color w:val="000000"/>
          <w:szCs w:val="21"/>
        </w:rPr>
      </w:pPr>
      <w:r>
        <w:rPr>
          <w:rFonts w:hint="eastAsia" w:ascii="宋体" w:hAnsi="宋体"/>
          <w:color w:val="000000"/>
          <w:szCs w:val="21"/>
        </w:rPr>
        <w:t>3、若为暂估价材料，在编码后标注“*”。</w:t>
      </w:r>
    </w:p>
    <w:p>
      <w:pPr>
        <w:rPr>
          <w:rFonts w:hint="eastAsia" w:ascii="黑体" w:eastAsia="黑体"/>
          <w:color w:val="000000"/>
          <w:sz w:val="24"/>
        </w:rPr>
      </w:pPr>
    </w:p>
    <w:p>
      <w:pPr>
        <w:rPr>
          <w:rFonts w:hint="eastAsia" w:ascii="黑体" w:eastAsia="黑体"/>
          <w:color w:val="000000"/>
          <w:sz w:val="24"/>
        </w:rPr>
      </w:pPr>
      <w:r>
        <w:rPr>
          <w:rFonts w:hint="eastAsia" w:ascii="黑体" w:eastAsia="黑体"/>
          <w:color w:val="000000"/>
          <w:sz w:val="24"/>
        </w:rPr>
        <w:t>4.9材料暂估价一览表</w:t>
      </w:r>
    </w:p>
    <w:p>
      <w:pPr>
        <w:jc w:val="center"/>
        <w:rPr>
          <w:rFonts w:hint="eastAsia" w:ascii="黑体" w:eastAsia="黑体"/>
          <w:color w:val="000000"/>
          <w:sz w:val="24"/>
        </w:rPr>
      </w:pPr>
      <w:r>
        <w:rPr>
          <w:rFonts w:hint="eastAsia" w:ascii="黑体" w:eastAsia="黑体"/>
          <w:color w:val="000000"/>
          <w:sz w:val="28"/>
          <w:szCs w:val="28"/>
        </w:rPr>
        <w:t>材料暂估价一览表</w:t>
      </w:r>
    </w:p>
    <w:p>
      <w:pPr>
        <w:spacing w:line="400" w:lineRule="exact"/>
        <w:rPr>
          <w:rFonts w:hint="eastAsia"/>
          <w:color w:val="000000"/>
        </w:rPr>
      </w:pPr>
      <w:r>
        <w:rPr>
          <w:rFonts w:hint="eastAsia"/>
          <w:color w:val="000000"/>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720"/>
        <w:gridCol w:w="2736"/>
        <w:gridCol w:w="1080"/>
        <w:gridCol w:w="1440"/>
        <w:gridCol w:w="3024"/>
      </w:tblGrid>
      <w:tr>
        <w:tblPrEx>
          <w:tblCellMar>
            <w:top w:w="0" w:type="dxa"/>
            <w:left w:w="108" w:type="dxa"/>
            <w:bottom w:w="0" w:type="dxa"/>
            <w:right w:w="108" w:type="dxa"/>
          </w:tblCellMar>
        </w:tblPrEx>
        <w:trPr>
          <w:trHeight w:val="1102"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2736"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计量单位</w:t>
            </w:r>
          </w:p>
        </w:tc>
        <w:tc>
          <w:tcPr>
            <w:tcW w:w="144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单价</w:t>
            </w:r>
          </w:p>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（元）</w:t>
            </w:r>
          </w:p>
        </w:tc>
        <w:tc>
          <w:tcPr>
            <w:tcW w:w="3024" w:type="dxa"/>
            <w:tcBorders>
              <w:top w:val="single" w:color="auto" w:sz="8" w:space="0"/>
              <w:left w:val="single" w:color="000000" w:sz="4" w:space="0"/>
              <w:bottom w:val="single" w:color="000000" w:sz="4" w:space="0"/>
              <w:right w:val="single" w:color="auto" w:sz="8" w:space="0"/>
            </w:tcBorders>
            <w:noWrap w:val="0"/>
            <w:vAlign w:val="center"/>
          </w:tcPr>
          <w:p>
            <w:pPr>
              <w:spacing w:line="400" w:lineRule="exact"/>
              <w:jc w:val="center"/>
              <w:rPr>
                <w:rFonts w:hint="eastAsia" w:ascii="宋体" w:hAnsi="宋体" w:cs="宋体"/>
                <w:color w:val="000000"/>
                <w:w w:val="90"/>
                <w:kern w:val="0"/>
                <w:szCs w:val="21"/>
              </w:rPr>
            </w:pPr>
            <w:r>
              <w:rPr>
                <w:rFonts w:hint="eastAsia" w:ascii="宋体" w:hAnsi="宋体" w:cs="宋体"/>
                <w:color w:val="000000"/>
                <w:kern w:val="0"/>
                <w:szCs w:val="21"/>
              </w:rPr>
              <w:t>备      注</w:t>
            </w: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w w:val="9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ind w:firstLine="834" w:firstLineChars="396"/>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rPr>
                <w:rFonts w:hint="eastAsia"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w w:val="90"/>
                <w:kern w:val="0"/>
                <w:szCs w:val="21"/>
              </w:rPr>
            </w:pPr>
            <w:r>
              <w:rPr>
                <w:rFonts w:hint="eastAsia" w:ascii="宋体" w:hAnsi="宋体" w:cs="宋体"/>
                <w:color w:val="000000"/>
                <w:w w:val="90"/>
                <w:kern w:val="0"/>
                <w:szCs w:val="21"/>
              </w:rPr>
              <w:t xml:space="preserve"> </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w w:val="90"/>
                <w:kern w:val="0"/>
                <w:szCs w:val="21"/>
              </w:rPr>
              <w:t xml:space="preserve"> </w:t>
            </w: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55" w:hRule="atLeast"/>
        </w:trPr>
        <w:tc>
          <w:tcPr>
            <w:tcW w:w="720" w:type="dxa"/>
            <w:tcBorders>
              <w:top w:val="single" w:color="000000" w:sz="4" w:space="0"/>
              <w:left w:val="single" w:color="auto" w:sz="8" w:space="0"/>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auto"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auto"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95" w:hRule="atLeast"/>
        </w:trPr>
        <w:tc>
          <w:tcPr>
            <w:tcW w:w="720" w:type="dxa"/>
            <w:tcBorders>
              <w:top w:val="single" w:color="auto" w:sz="4" w:space="0"/>
              <w:left w:val="single" w:color="auto" w:sz="8" w:space="0"/>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auto" w:sz="4" w:space="0"/>
              <w:left w:val="nil"/>
              <w:bottom w:val="single" w:color="auto"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auto"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auto" w:sz="4" w:space="0"/>
              <w:left w:val="nil"/>
              <w:bottom w:val="single" w:color="auto"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auto" w:sz="4" w:space="0"/>
              <w:left w:val="single" w:color="000000" w:sz="4" w:space="0"/>
              <w:bottom w:val="single" w:color="auto"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73" w:hRule="atLeast"/>
        </w:trPr>
        <w:tc>
          <w:tcPr>
            <w:tcW w:w="720" w:type="dxa"/>
            <w:tcBorders>
              <w:top w:val="single" w:color="auto"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auto" w:sz="4" w:space="0"/>
              <w:left w:val="nil"/>
              <w:bottom w:val="single" w:color="auto" w:sz="8"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auto" w:sz="4" w:space="0"/>
              <w:left w:val="nil"/>
              <w:bottom w:val="single" w:color="auto" w:sz="8"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auto" w:sz="4" w:space="0"/>
              <w:left w:val="nil"/>
              <w:bottom w:val="single" w:color="auto" w:sz="8"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auto" w:sz="4" w:space="0"/>
              <w:left w:val="single" w:color="000000" w:sz="4" w:space="0"/>
              <w:bottom w:val="single" w:color="auto" w:sz="8"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bl>
    <w:p>
      <w:pPr>
        <w:rPr>
          <w:rFonts w:hint="eastAsia" w:ascii="宋体" w:hAnsi="宋体"/>
          <w:color w:val="000000"/>
          <w:szCs w:val="21"/>
        </w:rPr>
      </w:pPr>
      <w:r>
        <w:rPr>
          <w:rFonts w:hint="eastAsia" w:ascii="宋体" w:hAnsi="宋体"/>
          <w:color w:val="000000"/>
          <w:szCs w:val="21"/>
        </w:rPr>
        <w:t>注：报价时，供应商按采购人在工程量清单中提供的暂估材料单价计入到相应项目综合单价中，</w:t>
      </w:r>
    </w:p>
    <w:p>
      <w:pPr>
        <w:rPr>
          <w:rFonts w:hint="eastAsia" w:ascii="宋体" w:hAnsi="宋体"/>
          <w:color w:val="000000"/>
          <w:szCs w:val="21"/>
        </w:rPr>
      </w:pPr>
      <w:r>
        <w:rPr>
          <w:rFonts w:hint="eastAsia" w:ascii="宋体" w:hAnsi="宋体"/>
          <w:color w:val="000000"/>
          <w:szCs w:val="21"/>
        </w:rPr>
        <w:t>备注为暂估清单综合单价的，供应商报价的综合单价应与采购人提供的暂估清单综合单价一致。</w:t>
      </w:r>
    </w:p>
    <w:p>
      <w:pPr>
        <w:rPr>
          <w:rFonts w:hint="eastAsia" w:ascii="黑体" w:eastAsia="黑体"/>
          <w:color w:val="000000"/>
          <w:sz w:val="24"/>
        </w:rPr>
      </w:pPr>
      <w:r>
        <w:rPr>
          <w:rFonts w:hint="eastAsia" w:ascii="宋体" w:hAnsi="宋体"/>
          <w:color w:val="000000"/>
          <w:szCs w:val="21"/>
        </w:rPr>
        <w:br w:type="page"/>
      </w:r>
      <w:r>
        <w:rPr>
          <w:rFonts w:hint="eastAsia" w:ascii="黑体" w:eastAsia="黑体"/>
          <w:color w:val="000000"/>
          <w:sz w:val="24"/>
        </w:rPr>
        <w:t>4.10工料机汇总表</w:t>
      </w:r>
    </w:p>
    <w:p>
      <w:pPr>
        <w:jc w:val="center"/>
        <w:rPr>
          <w:rFonts w:hint="eastAsia" w:ascii="黑体" w:eastAsia="黑体"/>
          <w:color w:val="000000"/>
          <w:sz w:val="28"/>
          <w:szCs w:val="28"/>
        </w:rPr>
      </w:pPr>
      <w:r>
        <w:rPr>
          <w:rFonts w:hint="eastAsia" w:ascii="黑体" w:eastAsia="黑体"/>
          <w:color w:val="000000"/>
          <w:sz w:val="28"/>
          <w:szCs w:val="28"/>
        </w:rPr>
        <w:t>工料机汇总表</w:t>
      </w:r>
    </w:p>
    <w:p>
      <w:pPr>
        <w:spacing w:line="400" w:lineRule="exact"/>
        <w:rPr>
          <w:rFonts w:hint="eastAsia"/>
          <w:color w:val="000000"/>
          <w:szCs w:val="21"/>
        </w:rPr>
      </w:pPr>
      <w:r>
        <w:rPr>
          <w:rFonts w:hint="eastAsia"/>
          <w:color w:val="000000"/>
          <w:szCs w:val="21"/>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工料机</w:t>
            </w:r>
          </w:p>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编码</w:t>
            </w:r>
          </w:p>
        </w:tc>
        <w:tc>
          <w:tcPr>
            <w:tcW w:w="252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名称、规格、型号</w:t>
            </w:r>
          </w:p>
        </w:tc>
        <w:tc>
          <w:tcPr>
            <w:tcW w:w="72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单位</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单价</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400" w:lineRule="exact"/>
              <w:ind w:left="-107" w:leftChars="-51" w:right="-107" w:rightChars="-51" w:firstLine="126" w:firstLineChars="60"/>
              <w:jc w:val="center"/>
              <w:rPr>
                <w:rFonts w:hint="eastAsia" w:ascii="宋体" w:hAnsi="宋体" w:cs="宋体"/>
                <w:color w:val="000000"/>
                <w:kern w:val="0"/>
                <w:szCs w:val="21"/>
              </w:rPr>
            </w:pPr>
            <w:r>
              <w:rPr>
                <w:rFonts w:hint="eastAsia" w:ascii="宋体" w:hAnsi="宋体" w:cs="宋体"/>
                <w:color w:val="000000"/>
                <w:kern w:val="0"/>
                <w:szCs w:val="21"/>
              </w:rPr>
              <w:t>合价</w:t>
            </w:r>
          </w:p>
        </w:tc>
        <w:tc>
          <w:tcPr>
            <w:tcW w:w="90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auto" w:sz="4" w:space="0"/>
              <w:right w:val="single" w:color="auto" w:sz="8" w:space="0"/>
            </w:tcBorders>
            <w:noWrap w:val="0"/>
            <w:vAlign w:val="center"/>
          </w:tcPr>
          <w:p>
            <w:pPr>
              <w:widowControl/>
              <w:spacing w:line="400" w:lineRule="exact"/>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auto"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auto" w:sz="4" w:space="0"/>
              <w:left w:val="nil"/>
              <w:bottom w:val="single" w:color="000000" w:sz="4" w:space="0"/>
              <w:right w:val="single" w:color="auto" w:sz="8" w:space="0"/>
            </w:tcBorders>
            <w:noWrap w:val="0"/>
            <w:vAlign w:val="center"/>
          </w:tcPr>
          <w:p>
            <w:pPr>
              <w:widowControl/>
              <w:spacing w:line="400" w:lineRule="exact"/>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r>
              <w:rPr>
                <w:rFonts w:hint="eastAsia" w:ascii="宋体" w:hAnsi="宋体" w:cs="宋体"/>
                <w:color w:val="000000"/>
                <w:kern w:val="0"/>
                <w:szCs w:val="21"/>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r>
              <w:rPr>
                <w:rFonts w:hint="eastAsia" w:ascii="宋体" w:hAnsi="宋体" w:cs="宋体"/>
                <w:color w:val="000000"/>
                <w:kern w:val="0"/>
                <w:szCs w:val="21"/>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r>
              <w:rPr>
                <w:rFonts w:hint="eastAsia" w:ascii="宋体" w:hAnsi="宋体" w:cs="宋体"/>
                <w:color w:val="000000"/>
                <w:kern w:val="0"/>
                <w:szCs w:val="21"/>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r>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auto" w:sz="8" w:space="0"/>
              <w:right w:val="single" w:color="000000" w:sz="4" w:space="0"/>
            </w:tcBorders>
            <w:noWrap w:val="0"/>
            <w:vAlign w:val="center"/>
          </w:tcPr>
          <w:p>
            <w:pPr>
              <w:widowControl/>
              <w:spacing w:line="400" w:lineRule="exact"/>
              <w:ind w:firstLine="633" w:firstLineChars="300"/>
              <w:jc w:val="left"/>
              <w:rPr>
                <w:rFonts w:hint="eastAsia" w:ascii="宋体" w:hAnsi="宋体" w:cs="宋体"/>
                <w:color w:val="000000"/>
                <w:kern w:val="0"/>
                <w:szCs w:val="21"/>
              </w:rPr>
            </w:pPr>
            <w:r>
              <w:rPr>
                <w:rFonts w:hint="eastAsia" w:ascii="宋体" w:hAnsi="宋体" w:cs="宋体"/>
                <w:color w:val="000000"/>
                <w:kern w:val="0"/>
                <w:szCs w:val="21"/>
              </w:rPr>
              <w:t>机械费合计</w:t>
            </w:r>
          </w:p>
        </w:tc>
        <w:tc>
          <w:tcPr>
            <w:tcW w:w="72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108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auto" w:sz="8"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bl>
    <w:p>
      <w:pPr>
        <w:spacing w:line="360" w:lineRule="exact"/>
        <w:ind w:firstLine="422" w:firstLineChars="200"/>
        <w:rPr>
          <w:rFonts w:hint="eastAsia"/>
          <w:color w:val="000000"/>
          <w:szCs w:val="21"/>
        </w:rPr>
      </w:pPr>
      <w:r>
        <w:rPr>
          <w:rFonts w:hint="eastAsia"/>
          <w:color w:val="000000"/>
          <w:szCs w:val="21"/>
        </w:rPr>
        <w:t>注：1.暂估价的材料，在备注栏内标注“暂估价”。</w:t>
      </w:r>
    </w:p>
    <w:p>
      <w:pPr>
        <w:rPr>
          <w:rFonts w:hint="eastAsia"/>
          <w:color w:val="000000"/>
          <w:szCs w:val="21"/>
        </w:rPr>
      </w:pPr>
      <w:r>
        <w:rPr>
          <w:rFonts w:hint="eastAsia" w:ascii="黑体" w:eastAsia="黑体"/>
          <w:color w:val="000000"/>
          <w:sz w:val="24"/>
        </w:rPr>
        <w:t xml:space="preserve">      </w:t>
      </w:r>
      <w:r>
        <w:rPr>
          <w:rFonts w:hint="eastAsia"/>
          <w:color w:val="000000"/>
          <w:szCs w:val="21"/>
        </w:rPr>
        <w:t xml:space="preserve"> 2.除暂估材料的单价外，本表中各项内容均应根据供应商的自主报价汇总而成。</w:t>
      </w:r>
    </w:p>
    <w:p>
      <w:pPr>
        <w:rPr>
          <w:rFonts w:hint="eastAsia" w:ascii="黑体" w:eastAsia="黑体"/>
          <w:color w:val="000000"/>
          <w:sz w:val="24"/>
        </w:rPr>
      </w:pPr>
      <w:r>
        <w:rPr>
          <w:rFonts w:hint="eastAsia" w:ascii="黑体" w:eastAsia="黑体"/>
          <w:color w:val="000000"/>
          <w:sz w:val="24"/>
        </w:rPr>
        <w:br w:type="page"/>
      </w:r>
      <w:r>
        <w:rPr>
          <w:rFonts w:hint="eastAsia" w:ascii="黑体" w:eastAsia="黑体"/>
          <w:color w:val="000000"/>
          <w:sz w:val="24"/>
        </w:rPr>
        <w:t>4.11措施项目清单计价汇总表</w:t>
      </w:r>
    </w:p>
    <w:p>
      <w:pPr>
        <w:jc w:val="center"/>
        <w:rPr>
          <w:rFonts w:hint="eastAsia" w:ascii="黑体" w:eastAsia="黑体"/>
          <w:color w:val="000000"/>
          <w:sz w:val="24"/>
        </w:rPr>
      </w:pPr>
      <w:r>
        <w:rPr>
          <w:rFonts w:hint="eastAsia" w:ascii="黑体" w:eastAsia="黑体"/>
          <w:color w:val="000000"/>
          <w:sz w:val="28"/>
          <w:szCs w:val="28"/>
        </w:rPr>
        <w:t>措施项目清单计价汇总表</w:t>
      </w:r>
    </w:p>
    <w:p>
      <w:pPr>
        <w:spacing w:line="400" w:lineRule="exact"/>
        <w:rPr>
          <w:rFonts w:hint="eastAsia"/>
          <w:color w:val="000000"/>
        </w:rPr>
      </w:pPr>
      <w:r>
        <w:rPr>
          <w:rFonts w:hint="eastAsia"/>
          <w:color w:val="000000"/>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900"/>
        <w:gridCol w:w="5400"/>
        <w:gridCol w:w="2700"/>
      </w:tblGrid>
      <w:tr>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54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270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金额（元）</w:t>
            </w: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5400" w:type="dxa"/>
            <w:tcBorders>
              <w:top w:val="nil"/>
              <w:left w:val="nil"/>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szCs w:val="22"/>
              </w:rPr>
            </w:pPr>
            <w:r>
              <w:rPr>
                <w:rFonts w:ascii="Arial" w:hAnsi="Arial" w:cs="Arial"/>
                <w:color w:val="000000"/>
                <w:kern w:val="0"/>
                <w:sz w:val="22"/>
                <w:szCs w:val="22"/>
                <w:lang w:bidi="ar"/>
              </w:rPr>
              <w:t>单价措施费</w:t>
            </w: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5400" w:type="dxa"/>
            <w:tcBorders>
              <w:top w:val="nil"/>
              <w:left w:val="nil"/>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szCs w:val="22"/>
              </w:rPr>
            </w:pPr>
            <w:r>
              <w:rPr>
                <w:rFonts w:ascii="Arial" w:hAnsi="Arial" w:cs="Arial"/>
                <w:color w:val="000000"/>
                <w:kern w:val="0"/>
                <w:sz w:val="22"/>
                <w:szCs w:val="22"/>
                <w:lang w:bidi="ar"/>
              </w:rPr>
              <w:t>总价措施费</w:t>
            </w: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合  计</w:t>
            </w:r>
          </w:p>
        </w:tc>
        <w:tc>
          <w:tcPr>
            <w:tcW w:w="2700" w:type="dxa"/>
            <w:tcBorders>
              <w:top w:val="single" w:color="000000" w:sz="4" w:space="0"/>
              <w:left w:val="nil"/>
              <w:bottom w:val="single" w:color="auto" w:sz="8"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bl>
    <w:p>
      <w:pPr>
        <w:spacing w:before="156" w:beforeLines="50" w:after="156" w:afterLines="50"/>
        <w:rPr>
          <w:rFonts w:hint="eastAsia" w:ascii="黑体" w:eastAsia="黑体"/>
          <w:color w:val="000000"/>
          <w:sz w:val="24"/>
        </w:rPr>
      </w:pPr>
      <w:r>
        <w:rPr>
          <w:rFonts w:hint="eastAsia" w:ascii="黑体" w:eastAsia="黑体"/>
          <w:color w:val="000000"/>
          <w:sz w:val="24"/>
        </w:rPr>
        <w:br w:type="page"/>
      </w:r>
      <w:r>
        <w:rPr>
          <w:rFonts w:hint="eastAsia" w:ascii="黑体" w:eastAsia="黑体"/>
          <w:color w:val="000000"/>
          <w:sz w:val="24"/>
        </w:rPr>
        <w:t>4.11-1单价措施项目清单与计价表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单价措施项目清单与计价表</w:t>
      </w:r>
    </w:p>
    <w:p>
      <w:pPr>
        <w:spacing w:line="400" w:lineRule="exact"/>
        <w:ind w:firstLine="422" w:firstLineChars="200"/>
        <w:rPr>
          <w:rFonts w:hint="eastAsia"/>
          <w:color w:val="000000"/>
        </w:rPr>
      </w:pPr>
      <w:r>
        <w:rPr>
          <w:rFonts w:hint="eastAsia"/>
          <w:color w:val="000000"/>
        </w:rPr>
        <w:t>工程名称 ：                        标段                           第   页   共   页</w:t>
      </w:r>
    </w:p>
    <w:tbl>
      <w:tblPr>
        <w:tblStyle w:val="18"/>
        <w:tblW w:w="0" w:type="auto"/>
        <w:jc w:val="center"/>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CellMar>
            <w:top w:w="0" w:type="dxa"/>
            <w:left w:w="108" w:type="dxa"/>
            <w:bottom w:w="0" w:type="dxa"/>
            <w:right w:w="108" w:type="dxa"/>
          </w:tblCellMar>
        </w:tblPrEx>
        <w:trPr>
          <w:cantSplit/>
          <w:trHeight w:val="448" w:hRule="atLeast"/>
          <w:jc w:val="center"/>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项目编码</w:t>
            </w:r>
          </w:p>
        </w:tc>
        <w:tc>
          <w:tcPr>
            <w:tcW w:w="2916" w:type="dxa"/>
            <w:vMerge w:val="restart"/>
            <w:tcBorders>
              <w:top w:val="single" w:color="auto" w:sz="8" w:space="0"/>
              <w:left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项目名称</w:t>
            </w:r>
          </w:p>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计量</w:t>
            </w:r>
          </w:p>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工程</w:t>
            </w:r>
          </w:p>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金额（元）</w:t>
            </w:r>
          </w:p>
        </w:tc>
      </w:tr>
      <w:tr>
        <w:tblPrEx>
          <w:tblCellMar>
            <w:top w:w="0" w:type="dxa"/>
            <w:left w:w="108" w:type="dxa"/>
            <w:bottom w:w="0" w:type="dxa"/>
            <w:right w:w="108" w:type="dxa"/>
          </w:tblCellMar>
        </w:tblPrEx>
        <w:trPr>
          <w:cantSplit/>
          <w:trHeight w:val="525" w:hRule="atLeast"/>
          <w:jc w:val="center"/>
        </w:trPr>
        <w:tc>
          <w:tcPr>
            <w:tcW w:w="540" w:type="dxa"/>
            <w:vMerge w:val="continue"/>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2916" w:type="dxa"/>
            <w:vMerge w:val="continue"/>
            <w:tcBorders>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94"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综合</w:t>
            </w:r>
          </w:p>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单价</w:t>
            </w:r>
          </w:p>
        </w:tc>
        <w:tc>
          <w:tcPr>
            <w:tcW w:w="900" w:type="dxa"/>
            <w:tcBorders>
              <w:top w:val="nil"/>
              <w:left w:val="nil"/>
              <w:bottom w:val="single" w:color="000000" w:sz="4" w:space="0"/>
              <w:right w:val="single" w:color="auto"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合价</w:t>
            </w: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其中：</w:t>
            </w:r>
          </w:p>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暂估价</w:t>
            </w: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auto"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single" w:color="auto" w:sz="4" w:space="0"/>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single" w:color="auto" w:sz="4" w:space="0"/>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757" w:hRule="atLeast"/>
          <w:jc w:val="center"/>
        </w:trPr>
        <w:tc>
          <w:tcPr>
            <w:tcW w:w="7344" w:type="dxa"/>
            <w:gridSpan w:val="6"/>
            <w:tcBorders>
              <w:top w:val="nil"/>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合    计</w:t>
            </w:r>
          </w:p>
        </w:tc>
        <w:tc>
          <w:tcPr>
            <w:tcW w:w="900" w:type="dxa"/>
            <w:tcBorders>
              <w:top w:val="nil"/>
              <w:left w:val="nil"/>
              <w:bottom w:val="single" w:color="auto" w:sz="8"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bl>
    <w:p>
      <w:pPr>
        <w:spacing w:line="360" w:lineRule="exact"/>
        <w:ind w:firstLine="422" w:firstLineChars="200"/>
        <w:rPr>
          <w:rFonts w:hint="eastAsia" w:ascii="宋体" w:hAnsi="宋体"/>
          <w:color w:val="000000"/>
          <w:szCs w:val="21"/>
        </w:rPr>
      </w:pPr>
      <w:r>
        <w:rPr>
          <w:rFonts w:hint="eastAsia" w:ascii="宋体" w:hAnsi="宋体"/>
          <w:color w:val="000000"/>
          <w:szCs w:val="21"/>
        </w:rPr>
        <w:t>注：1、本表适用于以“综合单价”形式计价的措施项目，供应商可自行增加项目。</w:t>
      </w:r>
    </w:p>
    <w:p>
      <w:pPr>
        <w:spacing w:before="156" w:beforeLines="50" w:line="360" w:lineRule="exact"/>
        <w:ind w:left="420" w:hanging="422" w:hangingChars="200"/>
        <w:rPr>
          <w:b/>
          <w:color w:val="000000"/>
          <w:szCs w:val="21"/>
        </w:rPr>
      </w:pPr>
      <w:r>
        <w:rPr>
          <w:rFonts w:hint="eastAsia" w:ascii="宋体" w:hAnsi="宋体" w:cs="宋体"/>
          <w:color w:val="000000"/>
          <w:kern w:val="0"/>
          <w:szCs w:val="21"/>
        </w:rPr>
        <w:t xml:space="preserve">        2、综合单价分析表使用同4.8工程量清单综合单价分析表，工料机汇总表使用同4.</w:t>
      </w:r>
      <w:r>
        <w:rPr>
          <w:rFonts w:hint="eastAsia" w:cs="宋体"/>
          <w:color w:val="000000"/>
          <w:kern w:val="0"/>
          <w:szCs w:val="21"/>
        </w:rPr>
        <w:t>10</w:t>
      </w:r>
      <w:r>
        <w:rPr>
          <w:rFonts w:hint="eastAsia" w:ascii="宋体" w:hAnsi="宋体" w:cs="宋体"/>
          <w:color w:val="000000"/>
          <w:kern w:val="0"/>
          <w:szCs w:val="21"/>
        </w:rPr>
        <w:t>工料机汇总表。</w:t>
      </w:r>
    </w:p>
    <w:p>
      <w:pPr>
        <w:rPr>
          <w:rFonts w:hint="eastAsia"/>
          <w:color w:val="000000"/>
        </w:rPr>
      </w:pPr>
      <w:r>
        <w:rPr>
          <w:color w:val="000000"/>
        </w:rPr>
        <w:br w:type="page"/>
      </w:r>
    </w:p>
    <w:p>
      <w:pPr>
        <w:rPr>
          <w:rFonts w:hint="eastAsia" w:ascii="黑体" w:eastAsia="黑体"/>
          <w:color w:val="000000"/>
          <w:sz w:val="24"/>
        </w:rPr>
      </w:pPr>
      <w:r>
        <w:rPr>
          <w:rFonts w:hint="eastAsia" w:ascii="黑体" w:eastAsia="黑体"/>
          <w:color w:val="000000"/>
          <w:sz w:val="24"/>
        </w:rPr>
        <w:t>4.11-2总价措施项目清单与计价表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总价措施项目清单与计价表</w:t>
      </w:r>
    </w:p>
    <w:p>
      <w:pPr>
        <w:spacing w:line="400" w:lineRule="exact"/>
        <w:rPr>
          <w:rFonts w:hint="eastAsia"/>
          <w:color w:val="000000"/>
        </w:rPr>
      </w:pPr>
      <w:r>
        <w:rPr>
          <w:rFonts w:hint="eastAsia"/>
          <w:color w:val="000000"/>
        </w:rPr>
        <w:t>工程名称 ：                        标段：                          第   页   共   页</w:t>
      </w:r>
    </w:p>
    <w:tbl>
      <w:tblPr>
        <w:tblStyle w:val="18"/>
        <w:tblW w:w="0" w:type="auto"/>
        <w:jc w:val="center"/>
        <w:tblLayout w:type="fixed"/>
        <w:tblCellMar>
          <w:top w:w="0" w:type="dxa"/>
          <w:left w:w="108" w:type="dxa"/>
          <w:bottom w:w="0" w:type="dxa"/>
          <w:right w:w="108" w:type="dxa"/>
        </w:tblCellMar>
      </w:tblPr>
      <w:tblGrid>
        <w:gridCol w:w="771"/>
        <w:gridCol w:w="3384"/>
        <w:gridCol w:w="1440"/>
        <w:gridCol w:w="1080"/>
        <w:gridCol w:w="1469"/>
        <w:gridCol w:w="1231"/>
      </w:tblGrid>
      <w:tr>
        <w:tblPrEx>
          <w:tblCellMar>
            <w:top w:w="0" w:type="dxa"/>
            <w:left w:w="108" w:type="dxa"/>
            <w:bottom w:w="0" w:type="dxa"/>
            <w:right w:w="108" w:type="dxa"/>
          </w:tblCellMar>
        </w:tblPrEx>
        <w:trPr>
          <w:trHeight w:val="791" w:hRule="atLeast"/>
          <w:jc w:val="center"/>
        </w:trPr>
        <w:tc>
          <w:tcPr>
            <w:tcW w:w="771"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338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项目名称</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计算基础</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费 率（%）</w:t>
            </w:r>
          </w:p>
        </w:tc>
        <w:tc>
          <w:tcPr>
            <w:tcW w:w="1469"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90"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6675"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合    计</w:t>
            </w:r>
          </w:p>
        </w:tc>
        <w:tc>
          <w:tcPr>
            <w:tcW w:w="1469" w:type="dxa"/>
            <w:tcBorders>
              <w:top w:val="nil"/>
              <w:left w:val="nil"/>
              <w:bottom w:val="single" w:color="auto" w:sz="8"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bl>
    <w:p>
      <w:pPr>
        <w:spacing w:line="360" w:lineRule="exact"/>
        <w:ind w:firstLine="422" w:firstLineChars="200"/>
        <w:rPr>
          <w:rFonts w:hint="eastAsia" w:ascii="宋体" w:hAnsi="宋体"/>
          <w:color w:val="000000"/>
          <w:szCs w:val="21"/>
        </w:rPr>
      </w:pPr>
      <w:r>
        <w:rPr>
          <w:rFonts w:hint="eastAsia" w:ascii="宋体" w:hAnsi="宋体"/>
          <w:color w:val="000000"/>
          <w:szCs w:val="21"/>
        </w:rPr>
        <w:t>注：1、本表适用于以“项”计价的措施费</w:t>
      </w:r>
      <w:r>
        <w:rPr>
          <w:rFonts w:hint="eastAsia"/>
          <w:color w:val="000000"/>
          <w:szCs w:val="21"/>
        </w:rPr>
        <w:t>，</w:t>
      </w:r>
      <w:r>
        <w:rPr>
          <w:rFonts w:hint="eastAsia" w:ascii="宋体" w:hAnsi="宋体"/>
          <w:color w:val="000000"/>
          <w:szCs w:val="21"/>
        </w:rPr>
        <w:t>供应商可自行增加项目。</w:t>
      </w:r>
    </w:p>
    <w:p>
      <w:pPr>
        <w:spacing w:line="360" w:lineRule="exact"/>
        <w:ind w:firstLine="844" w:firstLineChars="400"/>
        <w:rPr>
          <w:rFonts w:hint="eastAsia" w:ascii="宋体" w:hAnsi="宋体"/>
          <w:color w:val="000000"/>
          <w:szCs w:val="21"/>
        </w:rPr>
      </w:pPr>
      <w:r>
        <w:rPr>
          <w:rFonts w:hint="eastAsia" w:ascii="宋体" w:hAnsi="宋体"/>
          <w:color w:val="000000"/>
          <w:szCs w:val="21"/>
        </w:rPr>
        <w:t>2、表中各项费率，供应商可自主填报。</w:t>
      </w:r>
    </w:p>
    <w:p>
      <w:pPr>
        <w:spacing w:line="360" w:lineRule="exact"/>
        <w:ind w:left="422" w:leftChars="200" w:firstLine="422" w:firstLineChars="200"/>
        <w:rPr>
          <w:rFonts w:hint="eastAsia"/>
          <w:color w:val="000000"/>
        </w:rPr>
      </w:pPr>
      <w:r>
        <w:rPr>
          <w:rFonts w:hint="eastAsia" w:ascii="宋体" w:hAnsi="宋体"/>
          <w:color w:val="000000"/>
          <w:szCs w:val="21"/>
        </w:rPr>
        <w:t>3、按施工方案计算的措施费，若无“计算基础”和“费率”的数值，也可只填“金额”数值，但应在备注栏内注明施工方案出处（或计算办法）。</w:t>
      </w:r>
    </w:p>
    <w:p>
      <w:pPr>
        <w:spacing w:before="156" w:beforeLines="50" w:after="156" w:afterLines="50"/>
        <w:rPr>
          <w:rFonts w:hint="eastAsia" w:ascii="黑体" w:eastAsia="黑体"/>
          <w:color w:val="000000"/>
          <w:sz w:val="24"/>
        </w:rPr>
      </w:pPr>
    </w:p>
    <w:p>
      <w:pPr>
        <w:rPr>
          <w:rFonts w:hint="eastAsia"/>
          <w:color w:val="000000"/>
          <w:szCs w:val="21"/>
        </w:rPr>
      </w:pPr>
      <w:r>
        <w:rPr>
          <w:color w:val="000000"/>
          <w:szCs w:val="21"/>
        </w:rPr>
        <w:br w:type="page"/>
      </w:r>
    </w:p>
    <w:p>
      <w:pPr>
        <w:rPr>
          <w:rFonts w:hint="eastAsia" w:ascii="黑体" w:eastAsia="黑体"/>
          <w:sz w:val="24"/>
        </w:rPr>
      </w:pPr>
      <w:r>
        <w:rPr>
          <w:rFonts w:hint="eastAsia" w:ascii="黑体" w:eastAsia="黑体"/>
          <w:sz w:val="24"/>
        </w:rPr>
        <w:t>4.12其他项目清单与计价汇总表</w:t>
      </w:r>
    </w:p>
    <w:p>
      <w:pPr>
        <w:spacing w:before="156" w:beforeLines="50" w:after="156" w:afterLines="50"/>
        <w:jc w:val="center"/>
        <w:rPr>
          <w:rFonts w:ascii="黑体" w:eastAsia="黑体"/>
          <w:sz w:val="28"/>
          <w:szCs w:val="28"/>
        </w:rPr>
      </w:pPr>
      <w:r>
        <w:rPr>
          <w:rFonts w:hint="eastAsia" w:ascii="黑体" w:eastAsia="黑体"/>
          <w:sz w:val="28"/>
          <w:szCs w:val="28"/>
        </w:rPr>
        <w:t>其他项目清单与计价汇总表</w:t>
      </w:r>
    </w:p>
    <w:p>
      <w:pPr>
        <w:ind w:firstLine="316" w:firstLineChars="150"/>
        <w:rPr>
          <w:rFonts w:hint="eastAsia"/>
        </w:rPr>
      </w:pPr>
      <w:r>
        <w:rPr>
          <w:rFonts w:hint="eastAsia"/>
        </w:rPr>
        <w:t>工程名称：                   标段                         第  页 共  页</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671"/>
        <w:gridCol w:w="1236"/>
        <w:gridCol w:w="1573"/>
        <w:gridCol w:w="6"/>
        <w:gridCol w:w="1568"/>
        <w:gridCol w:w="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rPr>
            </w:pPr>
            <w:r>
              <w:rPr>
                <w:rFonts w:hint="eastAsia"/>
              </w:rPr>
              <w:t>序号</w:t>
            </w:r>
          </w:p>
        </w:tc>
        <w:tc>
          <w:tcPr>
            <w:tcW w:w="3671" w:type="dxa"/>
            <w:noWrap w:val="0"/>
            <w:vAlign w:val="center"/>
          </w:tcPr>
          <w:p>
            <w:pPr>
              <w:jc w:val="center"/>
              <w:rPr>
                <w:rFonts w:hint="eastAsia"/>
              </w:rPr>
            </w:pPr>
            <w:r>
              <w:rPr>
                <w:rFonts w:hint="eastAsia"/>
              </w:rPr>
              <w:t>项目名称</w:t>
            </w:r>
          </w:p>
        </w:tc>
        <w:tc>
          <w:tcPr>
            <w:tcW w:w="1236" w:type="dxa"/>
            <w:noWrap w:val="0"/>
            <w:vAlign w:val="center"/>
          </w:tcPr>
          <w:p>
            <w:pPr>
              <w:jc w:val="center"/>
              <w:rPr>
                <w:rFonts w:hint="eastAsia"/>
              </w:rPr>
            </w:pPr>
            <w:r>
              <w:rPr>
                <w:rFonts w:hint="eastAsia"/>
              </w:rPr>
              <w:t>计算基础</w:t>
            </w:r>
          </w:p>
        </w:tc>
        <w:tc>
          <w:tcPr>
            <w:tcW w:w="1573" w:type="dxa"/>
            <w:noWrap w:val="0"/>
            <w:vAlign w:val="center"/>
          </w:tcPr>
          <w:p>
            <w:pPr>
              <w:jc w:val="center"/>
              <w:rPr>
                <w:rFonts w:hint="eastAsia"/>
              </w:rPr>
            </w:pPr>
            <w:r>
              <w:rPr>
                <w:rFonts w:hint="eastAsia"/>
              </w:rPr>
              <w:t>金额(元)</w:t>
            </w:r>
          </w:p>
        </w:tc>
        <w:tc>
          <w:tcPr>
            <w:tcW w:w="1574" w:type="dxa"/>
            <w:gridSpan w:val="2"/>
            <w:noWrap w:val="0"/>
            <w:vAlign w:val="center"/>
          </w:tcPr>
          <w:p>
            <w:pPr>
              <w:jc w:val="center"/>
              <w:rPr>
                <w:rFonts w:hint="eastAsia"/>
              </w:rPr>
            </w:pPr>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rPr>
            </w:pPr>
            <w:r>
              <w:rPr>
                <w:rFonts w:hint="eastAsia" w:ascii="黑体" w:eastAsia="黑体"/>
              </w:rPr>
              <w:t>1</w:t>
            </w:r>
          </w:p>
        </w:tc>
        <w:tc>
          <w:tcPr>
            <w:tcW w:w="3671" w:type="dxa"/>
            <w:noWrap w:val="0"/>
            <w:vAlign w:val="center"/>
          </w:tcPr>
          <w:p>
            <w:pPr>
              <w:rPr>
                <w:rFonts w:hint="eastAsia"/>
              </w:rPr>
            </w:pPr>
            <w:r>
              <w:rPr>
                <w:szCs w:val="21"/>
              </w:rPr>
              <w:t>暂列金额</w:t>
            </w: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tcBorders>
              <w:bottom w:val="single" w:color="auto" w:sz="6" w:space="0"/>
            </w:tcBorders>
            <w:noWrap w:val="0"/>
            <w:vAlign w:val="center"/>
          </w:tcPr>
          <w:p>
            <w:pPr>
              <w:jc w:val="center"/>
              <w:rPr>
                <w:rFonts w:hint="eastAsia" w:ascii="黑体" w:eastAsia="黑体"/>
              </w:rPr>
            </w:pPr>
            <w:r>
              <w:rPr>
                <w:rFonts w:hint="eastAsia" w:ascii="黑体" w:eastAsia="黑体"/>
              </w:rPr>
              <w:t>2</w:t>
            </w:r>
          </w:p>
        </w:tc>
        <w:tc>
          <w:tcPr>
            <w:tcW w:w="3671" w:type="dxa"/>
            <w:noWrap w:val="0"/>
            <w:vAlign w:val="center"/>
          </w:tcPr>
          <w:p>
            <w:pPr>
              <w:rPr>
                <w:rFonts w:hint="eastAsia"/>
              </w:rPr>
            </w:pPr>
            <w:r>
              <w:rPr>
                <w:szCs w:val="21"/>
              </w:rPr>
              <w:t>专业工程暂估价</w:t>
            </w: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tcBorders>
              <w:top w:val="single" w:color="auto" w:sz="6" w:space="0"/>
            </w:tcBorders>
            <w:noWrap w:val="0"/>
            <w:vAlign w:val="center"/>
          </w:tcPr>
          <w:p>
            <w:pPr>
              <w:jc w:val="center"/>
              <w:rPr>
                <w:rFonts w:hint="eastAsia" w:ascii="黑体" w:eastAsia="黑体"/>
              </w:rPr>
            </w:pPr>
            <w:r>
              <w:rPr>
                <w:rFonts w:hint="eastAsia" w:ascii="黑体" w:eastAsia="黑体"/>
              </w:rPr>
              <w:t>3</w:t>
            </w:r>
          </w:p>
        </w:tc>
        <w:tc>
          <w:tcPr>
            <w:tcW w:w="3671" w:type="dxa"/>
            <w:noWrap w:val="0"/>
            <w:vAlign w:val="center"/>
          </w:tcPr>
          <w:p>
            <w:pPr>
              <w:rPr>
                <w:rFonts w:hint="eastAsia"/>
              </w:rPr>
            </w:pPr>
            <w:r>
              <w:rPr>
                <w:szCs w:val="21"/>
              </w:rPr>
              <w:t>特殊项目暂估价</w:t>
            </w: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ascii="黑体" w:eastAsia="黑体"/>
              </w:rPr>
            </w:pPr>
            <w:r>
              <w:rPr>
                <w:rFonts w:hint="eastAsia" w:ascii="黑体" w:eastAsia="黑体"/>
              </w:rPr>
              <w:t>4</w:t>
            </w:r>
          </w:p>
        </w:tc>
        <w:tc>
          <w:tcPr>
            <w:tcW w:w="3671" w:type="dxa"/>
            <w:noWrap w:val="0"/>
            <w:vAlign w:val="center"/>
          </w:tcPr>
          <w:p>
            <w:pPr>
              <w:rPr>
                <w:rFonts w:hint="eastAsia"/>
              </w:rPr>
            </w:pPr>
            <w:r>
              <w:rPr>
                <w:szCs w:val="21"/>
              </w:rPr>
              <w:t>计日工</w:t>
            </w: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color w:val="000000"/>
              </w:rPr>
            </w:pPr>
            <w:r>
              <w:rPr>
                <w:rFonts w:hint="eastAsia" w:ascii="黑体" w:eastAsia="黑体"/>
                <w:color w:val="000000"/>
              </w:rPr>
              <w:t>5</w:t>
            </w:r>
          </w:p>
        </w:tc>
        <w:tc>
          <w:tcPr>
            <w:tcW w:w="3671" w:type="dxa"/>
            <w:noWrap w:val="0"/>
            <w:vAlign w:val="center"/>
          </w:tcPr>
          <w:p>
            <w:pPr>
              <w:rPr>
                <w:rFonts w:hint="eastAsia"/>
                <w:color w:val="000000"/>
              </w:rPr>
            </w:pPr>
            <w:r>
              <w:rPr>
                <w:color w:val="000000"/>
                <w:szCs w:val="21"/>
              </w:rPr>
              <w:t>采购保管费</w:t>
            </w:r>
          </w:p>
        </w:tc>
        <w:tc>
          <w:tcPr>
            <w:tcW w:w="1236" w:type="dxa"/>
            <w:noWrap w:val="0"/>
            <w:vAlign w:val="center"/>
          </w:tcPr>
          <w:p>
            <w:pPr>
              <w:jc w:val="center"/>
              <w:rPr>
                <w:rFonts w:hint="eastAsia"/>
                <w:color w:val="000000"/>
              </w:rPr>
            </w:pPr>
          </w:p>
        </w:tc>
        <w:tc>
          <w:tcPr>
            <w:tcW w:w="1573" w:type="dxa"/>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color w:val="000000"/>
              </w:rPr>
            </w:pPr>
            <w:r>
              <w:rPr>
                <w:rFonts w:hint="eastAsia" w:ascii="黑体" w:eastAsia="黑体"/>
                <w:color w:val="000000"/>
              </w:rPr>
              <w:t>6</w:t>
            </w:r>
          </w:p>
        </w:tc>
        <w:tc>
          <w:tcPr>
            <w:tcW w:w="3671" w:type="dxa"/>
            <w:noWrap w:val="0"/>
            <w:vAlign w:val="center"/>
          </w:tcPr>
          <w:p>
            <w:pPr>
              <w:rPr>
                <w:rFonts w:hint="eastAsia"/>
                <w:color w:val="000000"/>
              </w:rPr>
            </w:pPr>
            <w:r>
              <w:rPr>
                <w:rFonts w:hint="eastAsia"/>
                <w:color w:val="000000"/>
                <w:szCs w:val="21"/>
              </w:rPr>
              <w:t>其他检验试验费</w:t>
            </w:r>
          </w:p>
        </w:tc>
        <w:tc>
          <w:tcPr>
            <w:tcW w:w="1236" w:type="dxa"/>
            <w:noWrap w:val="0"/>
            <w:vAlign w:val="center"/>
          </w:tcPr>
          <w:p>
            <w:pPr>
              <w:jc w:val="center"/>
              <w:rPr>
                <w:rFonts w:hint="eastAsia"/>
                <w:color w:val="000000"/>
              </w:rPr>
            </w:pPr>
          </w:p>
        </w:tc>
        <w:tc>
          <w:tcPr>
            <w:tcW w:w="1573" w:type="dxa"/>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color w:val="000000"/>
              </w:rPr>
            </w:pPr>
            <w:r>
              <w:rPr>
                <w:rFonts w:hint="eastAsia"/>
                <w:color w:val="000000"/>
              </w:rPr>
              <w:t>7</w:t>
            </w:r>
          </w:p>
        </w:tc>
        <w:tc>
          <w:tcPr>
            <w:tcW w:w="3671" w:type="dxa"/>
            <w:noWrap w:val="0"/>
            <w:vAlign w:val="center"/>
          </w:tcPr>
          <w:p>
            <w:pPr>
              <w:rPr>
                <w:rFonts w:hint="eastAsia"/>
                <w:color w:val="000000"/>
              </w:rPr>
            </w:pPr>
            <w:r>
              <w:rPr>
                <w:color w:val="000000"/>
                <w:szCs w:val="21"/>
              </w:rPr>
              <w:t>总承包服务费</w:t>
            </w:r>
          </w:p>
        </w:tc>
        <w:tc>
          <w:tcPr>
            <w:tcW w:w="1236" w:type="dxa"/>
            <w:noWrap w:val="0"/>
            <w:vAlign w:val="center"/>
          </w:tcPr>
          <w:p>
            <w:pPr>
              <w:jc w:val="center"/>
              <w:rPr>
                <w:rFonts w:hint="eastAsia"/>
                <w:color w:val="000000"/>
              </w:rPr>
            </w:pPr>
          </w:p>
        </w:tc>
        <w:tc>
          <w:tcPr>
            <w:tcW w:w="1573" w:type="dxa"/>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color w:val="000000"/>
              </w:rPr>
            </w:pPr>
            <w:r>
              <w:rPr>
                <w:rFonts w:hint="eastAsia"/>
                <w:color w:val="000000"/>
              </w:rPr>
              <w:t>8</w:t>
            </w:r>
          </w:p>
        </w:tc>
        <w:tc>
          <w:tcPr>
            <w:tcW w:w="3671" w:type="dxa"/>
            <w:noWrap w:val="0"/>
            <w:vAlign w:val="center"/>
          </w:tcPr>
          <w:p>
            <w:pPr>
              <w:rPr>
                <w:rFonts w:hint="eastAsia"/>
                <w:color w:val="000000"/>
              </w:rPr>
            </w:pPr>
            <w:r>
              <w:rPr>
                <w:color w:val="000000"/>
                <w:szCs w:val="21"/>
              </w:rPr>
              <w:t>其他</w:t>
            </w:r>
          </w:p>
        </w:tc>
        <w:tc>
          <w:tcPr>
            <w:tcW w:w="1236" w:type="dxa"/>
            <w:noWrap w:val="0"/>
            <w:vAlign w:val="center"/>
          </w:tcPr>
          <w:p>
            <w:pPr>
              <w:jc w:val="center"/>
              <w:rPr>
                <w:rFonts w:hint="eastAsia"/>
                <w:color w:val="000000"/>
              </w:rPr>
            </w:pPr>
          </w:p>
        </w:tc>
        <w:tc>
          <w:tcPr>
            <w:tcW w:w="1573" w:type="dxa"/>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color w:val="000000"/>
              </w:rPr>
            </w:pPr>
          </w:p>
        </w:tc>
        <w:tc>
          <w:tcPr>
            <w:tcW w:w="3671" w:type="dxa"/>
            <w:noWrap w:val="0"/>
            <w:vAlign w:val="center"/>
          </w:tcPr>
          <w:p>
            <w:pPr>
              <w:rPr>
                <w:rFonts w:hint="eastAsia"/>
                <w:color w:val="000000"/>
              </w:rPr>
            </w:pPr>
          </w:p>
        </w:tc>
        <w:tc>
          <w:tcPr>
            <w:tcW w:w="1236" w:type="dxa"/>
            <w:noWrap w:val="0"/>
            <w:vAlign w:val="center"/>
          </w:tcPr>
          <w:p>
            <w:pPr>
              <w:jc w:val="center"/>
              <w:rPr>
                <w:rFonts w:hint="eastAsia"/>
                <w:color w:val="000000"/>
              </w:rPr>
            </w:pPr>
          </w:p>
        </w:tc>
        <w:tc>
          <w:tcPr>
            <w:tcW w:w="1573" w:type="dxa"/>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635" w:type="dxa"/>
            <w:gridSpan w:val="3"/>
            <w:noWrap w:val="0"/>
            <w:vAlign w:val="center"/>
          </w:tcPr>
          <w:p>
            <w:pPr>
              <w:jc w:val="center"/>
              <w:rPr>
                <w:rFonts w:hint="eastAsia"/>
                <w:color w:val="000000"/>
              </w:rPr>
            </w:pPr>
            <w:r>
              <w:rPr>
                <w:rFonts w:hint="eastAsia"/>
                <w:color w:val="000000"/>
              </w:rPr>
              <w:t>合计</w:t>
            </w:r>
          </w:p>
        </w:tc>
        <w:tc>
          <w:tcPr>
            <w:tcW w:w="1579" w:type="dxa"/>
            <w:gridSpan w:val="2"/>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r>
              <w:rPr>
                <w:rFonts w:hint="eastAsia"/>
                <w:color w:val="000000"/>
              </w:rPr>
              <w:t>—</w:t>
            </w:r>
          </w:p>
        </w:tc>
      </w:tr>
    </w:tbl>
    <w:p>
      <w:pPr>
        <w:pStyle w:val="7"/>
        <w:rPr>
          <w:rFonts w:ascii="黑体"/>
        </w:rPr>
      </w:pPr>
      <w:r>
        <w:rPr>
          <w:rFonts w:hint="eastAsia"/>
          <w:color w:val="000000"/>
        </w:rPr>
        <w:br w:type="page"/>
      </w:r>
      <w:r>
        <w:rPr>
          <w:rFonts w:hint="eastAsia" w:ascii="黑体" w:eastAsia="黑体"/>
        </w:rPr>
        <w:t>4.12-1 暂列金额明细表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暂列金额明细表</w:t>
      </w:r>
    </w:p>
    <w:p>
      <w:pPr>
        <w:ind w:firstLine="316" w:firstLineChars="150"/>
        <w:rPr>
          <w:rFonts w:hint="eastAsia"/>
        </w:rPr>
      </w:pPr>
      <w:r>
        <w:rPr>
          <w:rFonts w:hint="eastAsia"/>
        </w:rPr>
        <w:t>工程名称：                   标段                         第  页 共  页</w:t>
      </w:r>
    </w:p>
    <w:p>
      <w:pPr>
        <w:pStyle w:val="8"/>
        <w:spacing w:before="2"/>
        <w:rPr>
          <w:rFonts w:ascii="黑体"/>
          <w:sz w:val="20"/>
        </w:rPr>
      </w:pP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671"/>
        <w:gridCol w:w="1236"/>
        <w:gridCol w:w="1573"/>
        <w:gridCol w:w="6"/>
        <w:gridCol w:w="1568"/>
        <w:gridCol w:w="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ascii="宋体" w:hAnsi="宋体" w:cs="宋体"/>
              </w:rPr>
            </w:pPr>
            <w:r>
              <w:rPr>
                <w:rFonts w:hint="eastAsia" w:ascii="宋体" w:hAnsi="宋体" w:cs="宋体"/>
              </w:rPr>
              <w:t>序号</w:t>
            </w:r>
          </w:p>
        </w:tc>
        <w:tc>
          <w:tcPr>
            <w:tcW w:w="3671" w:type="dxa"/>
            <w:noWrap w:val="0"/>
            <w:vAlign w:val="center"/>
          </w:tcPr>
          <w:p>
            <w:pPr>
              <w:jc w:val="center"/>
              <w:rPr>
                <w:rFonts w:hint="eastAsia" w:ascii="宋体" w:hAnsi="宋体" w:cs="宋体"/>
              </w:rPr>
            </w:pPr>
            <w:r>
              <w:rPr>
                <w:rFonts w:hint="eastAsia" w:ascii="宋体" w:hAnsi="宋体" w:cs="宋体"/>
              </w:rPr>
              <w:t>项目名称</w:t>
            </w:r>
          </w:p>
        </w:tc>
        <w:tc>
          <w:tcPr>
            <w:tcW w:w="1236" w:type="dxa"/>
            <w:noWrap w:val="0"/>
            <w:vAlign w:val="center"/>
          </w:tcPr>
          <w:p>
            <w:pPr>
              <w:jc w:val="center"/>
              <w:rPr>
                <w:rFonts w:hint="eastAsia" w:ascii="宋体" w:hAnsi="宋体" w:cs="宋体"/>
              </w:rPr>
            </w:pPr>
            <w:r>
              <w:rPr>
                <w:rFonts w:hint="eastAsia" w:ascii="宋体" w:hAnsi="宋体" w:cs="宋体"/>
              </w:rPr>
              <w:t>计量单位</w:t>
            </w:r>
          </w:p>
        </w:tc>
        <w:tc>
          <w:tcPr>
            <w:tcW w:w="1573" w:type="dxa"/>
            <w:noWrap w:val="0"/>
            <w:vAlign w:val="center"/>
          </w:tcPr>
          <w:p>
            <w:pPr>
              <w:jc w:val="center"/>
              <w:rPr>
                <w:rFonts w:hint="eastAsia" w:ascii="宋体" w:hAnsi="宋体" w:cs="宋体"/>
              </w:rPr>
            </w:pPr>
            <w:r>
              <w:rPr>
                <w:rFonts w:hint="eastAsia" w:ascii="宋体" w:hAnsi="宋体" w:cs="宋体"/>
              </w:rPr>
              <w:t>暂列金额</w:t>
            </w:r>
          </w:p>
          <w:p>
            <w:pPr>
              <w:jc w:val="center"/>
              <w:rPr>
                <w:rFonts w:hint="eastAsia" w:ascii="宋体" w:hAnsi="宋体" w:cs="宋体"/>
              </w:rPr>
            </w:pPr>
            <w:r>
              <w:rPr>
                <w:rFonts w:hint="eastAsia" w:ascii="宋体" w:hAnsi="宋体" w:cs="宋体"/>
              </w:rPr>
              <w:t>(元)</w:t>
            </w:r>
          </w:p>
        </w:tc>
        <w:tc>
          <w:tcPr>
            <w:tcW w:w="1574" w:type="dxa"/>
            <w:gridSpan w:val="2"/>
            <w:noWrap w:val="0"/>
            <w:vAlign w:val="center"/>
          </w:tcPr>
          <w:p>
            <w:pPr>
              <w:jc w:val="center"/>
              <w:rPr>
                <w:rFonts w:hint="eastAsia" w:ascii="宋体" w:hAnsi="宋体" w:cs="宋体"/>
              </w:rPr>
            </w:pPr>
            <w:r>
              <w:rPr>
                <w:rFonts w:hint="eastAsia" w:ascii="宋体" w:hAnsi="宋体" w:cs="宋体"/>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rPr>
            </w:pPr>
            <w:r>
              <w:rPr>
                <w:rFonts w:hint="eastAsia" w:ascii="黑体" w:eastAsia="黑体"/>
              </w:rPr>
              <w:t>1</w:t>
            </w: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tcBorders>
              <w:bottom w:val="single" w:color="auto" w:sz="6" w:space="0"/>
            </w:tcBorders>
            <w:noWrap w:val="0"/>
            <w:vAlign w:val="center"/>
          </w:tcPr>
          <w:p>
            <w:pPr>
              <w:jc w:val="center"/>
              <w:rPr>
                <w:rFonts w:hint="eastAsia" w:ascii="黑体" w:eastAsia="黑体"/>
              </w:rPr>
            </w:pPr>
            <w:r>
              <w:rPr>
                <w:rFonts w:hint="eastAsia" w:ascii="黑体" w:eastAsia="黑体"/>
              </w:rPr>
              <w:t>2</w:t>
            </w: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tcBorders>
              <w:top w:val="single" w:color="auto" w:sz="6" w:space="0"/>
            </w:tcBorders>
            <w:noWrap w:val="0"/>
            <w:vAlign w:val="center"/>
          </w:tcPr>
          <w:p>
            <w:pPr>
              <w:jc w:val="center"/>
              <w:rPr>
                <w:rFonts w:hint="eastAsia" w:ascii="黑体" w:eastAsia="黑体"/>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ascii="黑体" w:eastAsia="黑体"/>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635" w:type="dxa"/>
            <w:gridSpan w:val="3"/>
            <w:noWrap w:val="0"/>
            <w:vAlign w:val="center"/>
          </w:tcPr>
          <w:p>
            <w:pPr>
              <w:jc w:val="center"/>
              <w:rPr>
                <w:rFonts w:hint="eastAsia"/>
              </w:rPr>
            </w:pPr>
            <w:r>
              <w:rPr>
                <w:rFonts w:hint="eastAsia"/>
              </w:rPr>
              <w:t>合计</w:t>
            </w:r>
          </w:p>
        </w:tc>
        <w:tc>
          <w:tcPr>
            <w:tcW w:w="1579" w:type="dxa"/>
            <w:gridSpan w:val="2"/>
            <w:noWrap w:val="0"/>
            <w:vAlign w:val="center"/>
          </w:tcPr>
          <w:p>
            <w:pPr>
              <w:jc w:val="center"/>
              <w:rPr>
                <w:rFonts w:hint="eastAsia"/>
              </w:rPr>
            </w:pPr>
          </w:p>
        </w:tc>
        <w:tc>
          <w:tcPr>
            <w:tcW w:w="1574" w:type="dxa"/>
            <w:gridSpan w:val="2"/>
            <w:noWrap w:val="0"/>
            <w:vAlign w:val="center"/>
          </w:tcPr>
          <w:p>
            <w:pPr>
              <w:jc w:val="center"/>
              <w:rPr>
                <w:rFonts w:hint="eastAsia"/>
              </w:rPr>
            </w:pPr>
            <w:r>
              <w:rPr>
                <w:rFonts w:hint="eastAsia"/>
              </w:rPr>
              <w:t>—</w:t>
            </w:r>
          </w:p>
        </w:tc>
      </w:tr>
    </w:tbl>
    <w:p>
      <w:pPr>
        <w:pStyle w:val="2"/>
        <w:rPr>
          <w:rFonts w:hint="eastAsia"/>
        </w:rPr>
      </w:pPr>
      <w:r>
        <w:rPr>
          <w:rFonts w:hint="eastAsia"/>
        </w:rPr>
        <w:t>注：响应文件中该表应同采购人在工程量清单中提供的该表内容完全一致。</w:t>
      </w:r>
    </w:p>
    <w:p>
      <w:r>
        <w:br w:type="page"/>
      </w:r>
    </w:p>
    <w:p>
      <w:pPr>
        <w:pStyle w:val="7"/>
        <w:rPr>
          <w:rFonts w:ascii="黑体"/>
        </w:rPr>
      </w:pPr>
      <w:r>
        <w:rPr>
          <w:rFonts w:hint="eastAsia" w:ascii="黑体" w:eastAsia="黑体"/>
        </w:rPr>
        <w:t>4.12-</w:t>
      </w:r>
      <w:r>
        <w:rPr>
          <w:rFonts w:hint="eastAsia" w:ascii="黑体" w:eastAsia="黑体"/>
          <w:lang w:val="en-US"/>
        </w:rPr>
        <w:t>2</w:t>
      </w:r>
      <w:r>
        <w:rPr>
          <w:rFonts w:hint="eastAsia" w:ascii="黑体" w:eastAsia="黑体"/>
        </w:rPr>
        <w:t xml:space="preserve"> 特殊项目暂估单价表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特殊项目暂估单价表</w:t>
      </w:r>
    </w:p>
    <w:p>
      <w:pPr>
        <w:ind w:firstLine="316" w:firstLineChars="150"/>
        <w:rPr>
          <w:rFonts w:hint="eastAsia"/>
        </w:rPr>
      </w:pPr>
      <w:r>
        <w:rPr>
          <w:rFonts w:hint="eastAsia"/>
        </w:rPr>
        <w:t>工程名称：                   标段                         第  页 共  页</w:t>
      </w:r>
    </w:p>
    <w:tbl>
      <w:tblPr>
        <w:tblStyle w:val="18"/>
        <w:tblW w:w="0" w:type="auto"/>
        <w:tblInd w:w="4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1440"/>
        <w:gridCol w:w="1980"/>
        <w:gridCol w:w="720"/>
        <w:gridCol w:w="2160"/>
        <w:gridCol w:w="1260"/>
        <w:gridCol w:w="10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540" w:type="dxa"/>
            <w:tcBorders>
              <w:bottom w:val="single" w:color="000000" w:sz="4" w:space="0"/>
              <w:right w:val="single" w:color="000000" w:sz="4" w:space="0"/>
            </w:tcBorders>
            <w:noWrap w:val="0"/>
            <w:vAlign w:val="top"/>
          </w:tcPr>
          <w:p>
            <w:pPr>
              <w:pStyle w:val="23"/>
              <w:spacing w:before="109"/>
              <w:ind w:left="163"/>
            </w:pPr>
            <w:r>
              <w:rPr>
                <w:w w:val="99"/>
              </w:rPr>
              <w:t>序</w:t>
            </w:r>
          </w:p>
          <w:p>
            <w:pPr>
              <w:pStyle w:val="23"/>
              <w:spacing w:before="132"/>
              <w:ind w:left="163"/>
            </w:pPr>
            <w:r>
              <w:rPr>
                <w:w w:val="99"/>
              </w:rPr>
              <w:t>号</w:t>
            </w:r>
          </w:p>
        </w:tc>
        <w:tc>
          <w:tcPr>
            <w:tcW w:w="1440" w:type="dxa"/>
            <w:tcBorders>
              <w:left w:val="single" w:color="000000" w:sz="4" w:space="0"/>
              <w:bottom w:val="single" w:color="000000" w:sz="4" w:space="0"/>
              <w:right w:val="single" w:color="000000" w:sz="4" w:space="0"/>
            </w:tcBorders>
            <w:noWrap w:val="0"/>
            <w:vAlign w:val="top"/>
          </w:tcPr>
          <w:p>
            <w:pPr>
              <w:pStyle w:val="23"/>
              <w:spacing w:before="109"/>
              <w:ind w:left="179" w:right="160"/>
              <w:jc w:val="center"/>
            </w:pPr>
            <w:r>
              <w:t>特殊项目名</w:t>
            </w:r>
          </w:p>
          <w:p>
            <w:pPr>
              <w:pStyle w:val="23"/>
              <w:spacing w:before="132"/>
              <w:ind w:left="19"/>
              <w:jc w:val="center"/>
            </w:pPr>
            <w:r>
              <w:rPr>
                <w:w w:val="99"/>
              </w:rPr>
              <w:t>称</w:t>
            </w:r>
          </w:p>
        </w:tc>
        <w:tc>
          <w:tcPr>
            <w:tcW w:w="1980" w:type="dxa"/>
            <w:tcBorders>
              <w:left w:val="single" w:color="000000" w:sz="4" w:space="0"/>
              <w:bottom w:val="single" w:color="000000" w:sz="4" w:space="0"/>
              <w:right w:val="single" w:color="000000" w:sz="4" w:space="0"/>
            </w:tcBorders>
            <w:noWrap w:val="0"/>
            <w:vAlign w:val="top"/>
          </w:tcPr>
          <w:p>
            <w:pPr>
              <w:pStyle w:val="23"/>
              <w:ind w:left="468"/>
            </w:pPr>
          </w:p>
          <w:p>
            <w:pPr>
              <w:pStyle w:val="23"/>
              <w:ind w:left="468"/>
            </w:pPr>
            <w:r>
              <w:t>内容、范围</w:t>
            </w:r>
          </w:p>
        </w:tc>
        <w:tc>
          <w:tcPr>
            <w:tcW w:w="720" w:type="dxa"/>
            <w:tcBorders>
              <w:left w:val="single" w:color="000000" w:sz="4" w:space="0"/>
              <w:bottom w:val="single" w:color="000000" w:sz="4" w:space="0"/>
              <w:right w:val="single" w:color="000000" w:sz="4" w:space="0"/>
            </w:tcBorders>
            <w:noWrap w:val="0"/>
            <w:vAlign w:val="top"/>
          </w:tcPr>
          <w:p>
            <w:pPr>
              <w:pStyle w:val="23"/>
              <w:spacing w:before="109"/>
              <w:ind w:left="154"/>
            </w:pPr>
            <w:r>
              <w:rPr>
                <w:spacing w:val="-1"/>
                <w:w w:val="95"/>
              </w:rPr>
              <w:t>计量</w:t>
            </w:r>
          </w:p>
          <w:p>
            <w:pPr>
              <w:pStyle w:val="23"/>
              <w:spacing w:before="132"/>
              <w:ind w:left="154"/>
            </w:pPr>
            <w:r>
              <w:rPr>
                <w:spacing w:val="-1"/>
                <w:w w:val="95"/>
              </w:rPr>
              <w:t>单位</w:t>
            </w:r>
          </w:p>
        </w:tc>
        <w:tc>
          <w:tcPr>
            <w:tcW w:w="2160" w:type="dxa"/>
            <w:tcBorders>
              <w:left w:val="single" w:color="000000" w:sz="4" w:space="0"/>
              <w:bottom w:val="single" w:color="000000" w:sz="4" w:space="0"/>
              <w:right w:val="single" w:color="000000" w:sz="4" w:space="0"/>
            </w:tcBorders>
            <w:noWrap w:val="0"/>
            <w:vAlign w:val="center"/>
          </w:tcPr>
          <w:p>
            <w:pPr>
              <w:pStyle w:val="23"/>
              <w:jc w:val="center"/>
            </w:pPr>
            <w:r>
              <w:t>计算方法</w:t>
            </w:r>
          </w:p>
        </w:tc>
        <w:tc>
          <w:tcPr>
            <w:tcW w:w="1260" w:type="dxa"/>
            <w:tcBorders>
              <w:left w:val="single" w:color="000000" w:sz="4" w:space="0"/>
              <w:bottom w:val="single" w:color="000000" w:sz="4" w:space="0"/>
              <w:right w:val="single" w:color="000000" w:sz="4" w:space="0"/>
            </w:tcBorders>
            <w:noWrap w:val="0"/>
            <w:vAlign w:val="center"/>
          </w:tcPr>
          <w:p>
            <w:pPr>
              <w:pStyle w:val="23"/>
              <w:jc w:val="center"/>
            </w:pPr>
            <w:r>
              <w:t>金额（元）</w:t>
            </w:r>
          </w:p>
        </w:tc>
        <w:tc>
          <w:tcPr>
            <w:tcW w:w="1080" w:type="dxa"/>
            <w:tcBorders>
              <w:left w:val="single" w:color="000000" w:sz="4" w:space="0"/>
              <w:bottom w:val="single" w:color="000000" w:sz="4" w:space="0"/>
            </w:tcBorders>
            <w:noWrap w:val="0"/>
            <w:vAlign w:val="center"/>
          </w:tcPr>
          <w:p>
            <w:pPr>
              <w:pStyle w:val="23"/>
              <w:jc w:val="center"/>
            </w:pPr>
            <w: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6840" w:type="dxa"/>
            <w:gridSpan w:val="5"/>
            <w:tcBorders>
              <w:top w:val="single" w:color="000000" w:sz="4" w:space="0"/>
              <w:right w:val="single" w:color="000000" w:sz="4" w:space="0"/>
            </w:tcBorders>
            <w:noWrap w:val="0"/>
            <w:vAlign w:val="top"/>
          </w:tcPr>
          <w:p>
            <w:pPr>
              <w:pStyle w:val="23"/>
              <w:spacing w:before="1"/>
              <w:rPr>
                <w:sz w:val="15"/>
              </w:rPr>
            </w:pPr>
          </w:p>
          <w:p>
            <w:pPr>
              <w:pStyle w:val="23"/>
              <w:tabs>
                <w:tab w:val="left" w:pos="643"/>
              </w:tabs>
              <w:spacing w:before="1"/>
              <w:ind w:left="12"/>
              <w:jc w:val="center"/>
            </w:pPr>
            <w:r>
              <w:t>合</w:t>
            </w:r>
            <w:r>
              <w:tab/>
            </w:r>
            <w:r>
              <w:t>计</w:t>
            </w:r>
          </w:p>
        </w:tc>
        <w:tc>
          <w:tcPr>
            <w:tcW w:w="1260" w:type="dxa"/>
            <w:tcBorders>
              <w:top w:val="single" w:color="000000" w:sz="4" w:space="0"/>
              <w:left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tcBorders>
            <w:noWrap w:val="0"/>
            <w:vAlign w:val="top"/>
          </w:tcPr>
          <w:p>
            <w:pPr>
              <w:pStyle w:val="23"/>
              <w:rPr>
                <w:rFonts w:ascii="Times New Roman"/>
                <w:sz w:val="22"/>
              </w:rPr>
            </w:pPr>
          </w:p>
        </w:tc>
      </w:tr>
    </w:tbl>
    <w:p>
      <w:pPr>
        <w:pStyle w:val="2"/>
        <w:rPr>
          <w:rFonts w:hint="eastAsia"/>
        </w:rPr>
      </w:pPr>
      <w:r>
        <w:rPr>
          <w:rFonts w:hint="eastAsia"/>
        </w:rPr>
        <w:t>注：响应文件中该表应同采购人在工程量清单中提供的该表内容完全一致。</w:t>
      </w:r>
    </w:p>
    <w:p>
      <w:pPr>
        <w:pStyle w:val="7"/>
        <w:spacing w:before="48"/>
        <w:rPr>
          <w:rFonts w:hint="eastAsia" w:ascii="黑体" w:eastAsia="黑体"/>
        </w:rPr>
      </w:pPr>
      <w:r>
        <w:br w:type="page"/>
      </w:r>
      <w:r>
        <w:rPr>
          <w:rFonts w:hint="eastAsia" w:ascii="黑体" w:eastAsia="黑体"/>
        </w:rPr>
        <w:t>4.12-3 计日工表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计日工表</w:t>
      </w:r>
    </w:p>
    <w:p>
      <w:pPr>
        <w:ind w:firstLine="316" w:firstLineChars="150"/>
        <w:rPr>
          <w:rFonts w:hint="eastAsia"/>
        </w:rPr>
      </w:pPr>
      <w:r>
        <w:rPr>
          <w:rFonts w:hint="eastAsia"/>
        </w:rPr>
        <w:t>工程名称：                   标段                            第  页      共  页</w:t>
      </w:r>
    </w:p>
    <w:tbl>
      <w:tblPr>
        <w:tblStyle w:val="18"/>
        <w:tblW w:w="0" w:type="auto"/>
        <w:tblInd w:w="4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3464"/>
        <w:gridCol w:w="1000"/>
        <w:gridCol w:w="1240"/>
        <w:gridCol w:w="1316"/>
        <w:gridCol w:w="16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540" w:type="dxa"/>
            <w:tcBorders>
              <w:bottom w:val="single" w:color="000000" w:sz="4" w:space="0"/>
              <w:right w:val="single" w:color="000000" w:sz="4" w:space="0"/>
            </w:tcBorders>
            <w:noWrap w:val="0"/>
            <w:vAlign w:val="center"/>
          </w:tcPr>
          <w:p>
            <w:pPr>
              <w:pStyle w:val="23"/>
              <w:spacing w:before="110"/>
              <w:ind w:left="163"/>
            </w:pPr>
            <w:r>
              <w:rPr>
                <w:w w:val="99"/>
              </w:rPr>
              <w:t>编号</w:t>
            </w:r>
          </w:p>
        </w:tc>
        <w:tc>
          <w:tcPr>
            <w:tcW w:w="3464" w:type="dxa"/>
            <w:tcBorders>
              <w:left w:val="single" w:color="000000" w:sz="4" w:space="0"/>
              <w:bottom w:val="single" w:color="000000" w:sz="4" w:space="0"/>
              <w:right w:val="single" w:color="000000" w:sz="4" w:space="0"/>
            </w:tcBorders>
            <w:noWrap w:val="0"/>
            <w:vAlign w:val="center"/>
          </w:tcPr>
          <w:p>
            <w:pPr>
              <w:pStyle w:val="23"/>
              <w:spacing w:before="1"/>
              <w:ind w:left="687"/>
              <w:jc w:val="center"/>
            </w:pPr>
            <w:r>
              <w:t>项目名称、型号、规格</w:t>
            </w:r>
          </w:p>
        </w:tc>
        <w:tc>
          <w:tcPr>
            <w:tcW w:w="1000" w:type="dxa"/>
            <w:tcBorders>
              <w:left w:val="single" w:color="000000" w:sz="4" w:space="0"/>
              <w:bottom w:val="single" w:color="000000" w:sz="4" w:space="0"/>
              <w:right w:val="single" w:color="000000" w:sz="4" w:space="0"/>
            </w:tcBorders>
            <w:noWrap w:val="0"/>
            <w:vAlign w:val="center"/>
          </w:tcPr>
          <w:p>
            <w:pPr>
              <w:pStyle w:val="23"/>
              <w:spacing w:before="1"/>
              <w:ind w:left="295"/>
              <w:jc w:val="center"/>
            </w:pPr>
            <w:r>
              <w:t>单位</w:t>
            </w:r>
          </w:p>
        </w:tc>
        <w:tc>
          <w:tcPr>
            <w:tcW w:w="1240" w:type="dxa"/>
            <w:tcBorders>
              <w:left w:val="single" w:color="000000" w:sz="4" w:space="0"/>
              <w:bottom w:val="single" w:color="000000" w:sz="4" w:space="0"/>
              <w:right w:val="single" w:color="000000" w:sz="4" w:space="0"/>
            </w:tcBorders>
            <w:noWrap w:val="0"/>
            <w:vAlign w:val="center"/>
          </w:tcPr>
          <w:p>
            <w:pPr>
              <w:pStyle w:val="23"/>
              <w:spacing w:before="1"/>
              <w:ind w:left="205"/>
              <w:jc w:val="center"/>
            </w:pPr>
            <w:r>
              <w:t>暂定数量</w:t>
            </w:r>
          </w:p>
        </w:tc>
        <w:tc>
          <w:tcPr>
            <w:tcW w:w="1316" w:type="dxa"/>
            <w:tcBorders>
              <w:left w:val="single" w:color="000000" w:sz="4" w:space="0"/>
              <w:bottom w:val="single" w:color="000000" w:sz="4" w:space="0"/>
              <w:right w:val="single" w:color="000000" w:sz="4" w:space="0"/>
            </w:tcBorders>
            <w:noWrap w:val="0"/>
            <w:vAlign w:val="center"/>
          </w:tcPr>
          <w:p>
            <w:pPr>
              <w:pStyle w:val="23"/>
              <w:spacing w:before="110"/>
              <w:ind w:left="220" w:right="205"/>
              <w:jc w:val="center"/>
            </w:pPr>
            <w:r>
              <w:t>综合单价</w:t>
            </w:r>
          </w:p>
          <w:p>
            <w:pPr>
              <w:pStyle w:val="23"/>
              <w:spacing w:before="131"/>
              <w:ind w:left="220" w:right="203"/>
              <w:jc w:val="center"/>
            </w:pPr>
            <w:r>
              <w:t>（元）</w:t>
            </w:r>
          </w:p>
        </w:tc>
        <w:tc>
          <w:tcPr>
            <w:tcW w:w="1620" w:type="dxa"/>
            <w:tcBorders>
              <w:left w:val="single" w:color="000000" w:sz="4" w:space="0"/>
              <w:bottom w:val="single" w:color="000000" w:sz="4" w:space="0"/>
            </w:tcBorders>
            <w:noWrap w:val="0"/>
            <w:vAlign w:val="center"/>
          </w:tcPr>
          <w:p>
            <w:pPr>
              <w:pStyle w:val="23"/>
              <w:spacing w:before="1"/>
              <w:ind w:left="288"/>
              <w:jc w:val="center"/>
            </w:pPr>
            <w:r>
              <w:t>合价（元）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sz w:val="15"/>
              </w:rPr>
            </w:pPr>
          </w:p>
          <w:p>
            <w:pPr>
              <w:pStyle w:val="23"/>
              <w:ind w:left="163"/>
            </w:pPr>
            <w:r>
              <w:rPr>
                <w:w w:val="99"/>
              </w:rPr>
              <w:t>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sz w:val="15"/>
              </w:rPr>
            </w:pPr>
          </w:p>
          <w:p>
            <w:pPr>
              <w:pStyle w:val="23"/>
              <w:ind w:left="111"/>
            </w:pPr>
            <w:r>
              <w:t>人工</w:t>
            </w: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spacing w:before="1"/>
              <w:rPr>
                <w:sz w:val="15"/>
              </w:rPr>
            </w:pPr>
          </w:p>
          <w:p>
            <w:pPr>
              <w:pStyle w:val="23"/>
              <w:ind w:left="216"/>
            </w:pPr>
            <w:r>
              <w:rPr>
                <w:w w:val="99"/>
              </w:rPr>
              <w:t>1</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7560" w:type="dxa"/>
            <w:gridSpan w:val="5"/>
            <w:tcBorders>
              <w:top w:val="single" w:color="000000" w:sz="4" w:space="0"/>
              <w:bottom w:val="single" w:color="000000" w:sz="4" w:space="0"/>
              <w:right w:val="single" w:color="000000" w:sz="4" w:space="0"/>
            </w:tcBorders>
            <w:noWrap w:val="0"/>
            <w:vAlign w:val="top"/>
          </w:tcPr>
          <w:p>
            <w:pPr>
              <w:pStyle w:val="23"/>
              <w:spacing w:before="1"/>
              <w:rPr>
                <w:sz w:val="15"/>
              </w:rPr>
            </w:pPr>
          </w:p>
          <w:p>
            <w:pPr>
              <w:pStyle w:val="23"/>
              <w:ind w:left="9"/>
              <w:jc w:val="center"/>
            </w:pPr>
            <w:r>
              <w:t>人工小计</w:t>
            </w: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sz w:val="15"/>
              </w:rPr>
            </w:pPr>
          </w:p>
          <w:p>
            <w:pPr>
              <w:pStyle w:val="23"/>
              <w:ind w:left="163"/>
            </w:pPr>
            <w:r>
              <w:rPr>
                <w:w w:val="99"/>
              </w:rPr>
              <w:t>二</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sz w:val="15"/>
              </w:rPr>
            </w:pPr>
          </w:p>
          <w:p>
            <w:pPr>
              <w:pStyle w:val="23"/>
              <w:ind w:left="111"/>
            </w:pPr>
            <w:r>
              <w:t>材料</w:t>
            </w: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spacing w:before="1"/>
              <w:rPr>
                <w:sz w:val="15"/>
              </w:rPr>
            </w:pPr>
          </w:p>
          <w:p>
            <w:pPr>
              <w:pStyle w:val="23"/>
              <w:ind w:left="216"/>
            </w:pPr>
            <w:r>
              <w:rPr>
                <w:w w:val="99"/>
              </w:rPr>
              <w:t>1</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560" w:type="dxa"/>
            <w:gridSpan w:val="5"/>
            <w:tcBorders>
              <w:top w:val="single" w:color="000000" w:sz="4" w:space="0"/>
              <w:bottom w:val="single" w:color="000000" w:sz="4" w:space="0"/>
              <w:right w:val="single" w:color="000000" w:sz="4" w:space="0"/>
            </w:tcBorders>
            <w:noWrap w:val="0"/>
            <w:vAlign w:val="top"/>
          </w:tcPr>
          <w:p>
            <w:pPr>
              <w:pStyle w:val="23"/>
              <w:spacing w:before="1"/>
              <w:rPr>
                <w:sz w:val="15"/>
              </w:rPr>
            </w:pPr>
          </w:p>
          <w:p>
            <w:pPr>
              <w:pStyle w:val="23"/>
              <w:spacing w:before="1"/>
              <w:ind w:left="9"/>
              <w:jc w:val="center"/>
            </w:pPr>
            <w:r>
              <w:t>材料小计</w:t>
            </w: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sz w:val="15"/>
              </w:rPr>
            </w:pPr>
          </w:p>
          <w:p>
            <w:pPr>
              <w:pStyle w:val="23"/>
              <w:spacing w:before="1"/>
              <w:ind w:left="163"/>
            </w:pPr>
            <w:r>
              <w:rPr>
                <w:w w:val="99"/>
              </w:rPr>
              <w:t>三</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sz w:val="15"/>
              </w:rPr>
            </w:pPr>
          </w:p>
          <w:p>
            <w:pPr>
              <w:pStyle w:val="23"/>
              <w:spacing w:before="1"/>
              <w:ind w:left="111"/>
            </w:pPr>
            <w:r>
              <w:t>机械</w:t>
            </w: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spacing w:before="12"/>
              <w:rPr>
                <w:sz w:val="14"/>
              </w:rPr>
            </w:pPr>
          </w:p>
          <w:p>
            <w:pPr>
              <w:pStyle w:val="23"/>
              <w:ind w:left="216"/>
            </w:pPr>
            <w:r>
              <w:rPr>
                <w:w w:val="99"/>
              </w:rPr>
              <w:t>1</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7560" w:type="dxa"/>
            <w:gridSpan w:val="5"/>
            <w:tcBorders>
              <w:top w:val="single" w:color="000000" w:sz="4" w:space="0"/>
              <w:bottom w:val="single" w:color="000000" w:sz="4" w:space="0"/>
              <w:right w:val="single" w:color="000000" w:sz="4" w:space="0"/>
            </w:tcBorders>
            <w:noWrap w:val="0"/>
            <w:vAlign w:val="top"/>
          </w:tcPr>
          <w:p>
            <w:pPr>
              <w:pStyle w:val="23"/>
              <w:rPr>
                <w:sz w:val="15"/>
              </w:rPr>
            </w:pPr>
          </w:p>
          <w:p>
            <w:pPr>
              <w:pStyle w:val="23"/>
              <w:ind w:left="9"/>
              <w:jc w:val="center"/>
            </w:pPr>
            <w:r>
              <w:t>机械小计</w:t>
            </w: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7560" w:type="dxa"/>
            <w:gridSpan w:val="5"/>
            <w:tcBorders>
              <w:top w:val="single" w:color="000000" w:sz="4" w:space="0"/>
              <w:right w:val="single" w:color="000000" w:sz="4" w:space="0"/>
            </w:tcBorders>
            <w:noWrap w:val="0"/>
            <w:vAlign w:val="top"/>
          </w:tcPr>
          <w:p>
            <w:pPr>
              <w:pStyle w:val="23"/>
              <w:spacing w:before="2"/>
              <w:rPr>
                <w:sz w:val="15"/>
              </w:rPr>
            </w:pPr>
          </w:p>
          <w:p>
            <w:pPr>
              <w:pStyle w:val="23"/>
              <w:tabs>
                <w:tab w:val="left" w:pos="643"/>
              </w:tabs>
              <w:ind w:left="12"/>
              <w:jc w:val="center"/>
            </w:pPr>
            <w:r>
              <w:t>总</w:t>
            </w:r>
            <w:r>
              <w:tab/>
            </w:r>
            <w:r>
              <w:t>计</w:t>
            </w:r>
          </w:p>
        </w:tc>
        <w:tc>
          <w:tcPr>
            <w:tcW w:w="1620" w:type="dxa"/>
            <w:tcBorders>
              <w:top w:val="single" w:color="000000" w:sz="4" w:space="0"/>
              <w:left w:val="single" w:color="000000" w:sz="4" w:space="0"/>
            </w:tcBorders>
            <w:noWrap w:val="0"/>
            <w:vAlign w:val="top"/>
          </w:tcPr>
          <w:p>
            <w:pPr>
              <w:pStyle w:val="23"/>
              <w:rPr>
                <w:rFonts w:ascii="Times New Roman"/>
                <w:sz w:val="20"/>
              </w:rPr>
            </w:pPr>
          </w:p>
        </w:tc>
      </w:tr>
    </w:tbl>
    <w:p>
      <w:pPr>
        <w:pStyle w:val="7"/>
        <w:spacing w:before="48"/>
        <w:rPr>
          <w:rFonts w:ascii="黑体"/>
          <w:sz w:val="29"/>
        </w:rPr>
      </w:pPr>
      <w:r>
        <w:br w:type="page"/>
      </w:r>
      <w:r>
        <w:rPr>
          <w:rFonts w:hint="eastAsia" w:ascii="黑体" w:eastAsia="黑体"/>
        </w:rPr>
        <w:t>4.12-4 总承包服务费清单与计价表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总承包服务费清单与计价表</w:t>
      </w:r>
    </w:p>
    <w:p>
      <w:pPr>
        <w:ind w:firstLine="316" w:firstLineChars="150"/>
      </w:pPr>
      <w:r>
        <w:rPr>
          <w:rFonts w:hint="eastAsia"/>
        </w:rPr>
        <w:t>工程名称：                   标段                            第  页      共  页</w:t>
      </w:r>
    </w:p>
    <w:tbl>
      <w:tblPr>
        <w:tblStyle w:val="18"/>
        <w:tblW w:w="0" w:type="auto"/>
        <w:tblInd w:w="4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3420"/>
        <w:gridCol w:w="1980"/>
        <w:gridCol w:w="1440"/>
        <w:gridCol w:w="18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540" w:type="dxa"/>
            <w:tcBorders>
              <w:right w:val="single" w:color="000000" w:sz="4" w:space="0"/>
            </w:tcBorders>
            <w:noWrap w:val="0"/>
            <w:vAlign w:val="top"/>
          </w:tcPr>
          <w:p>
            <w:pPr>
              <w:pStyle w:val="23"/>
              <w:spacing w:before="29" w:line="400" w:lineRule="atLeast"/>
              <w:ind w:left="163" w:right="151"/>
            </w:pPr>
            <w:r>
              <w:t>序号</w:t>
            </w:r>
          </w:p>
        </w:tc>
        <w:tc>
          <w:tcPr>
            <w:tcW w:w="3420" w:type="dxa"/>
            <w:tcBorders>
              <w:left w:val="single" w:color="000000" w:sz="4" w:space="0"/>
              <w:right w:val="single" w:color="000000" w:sz="4" w:space="0"/>
            </w:tcBorders>
            <w:noWrap w:val="0"/>
            <w:vAlign w:val="top"/>
          </w:tcPr>
          <w:p>
            <w:pPr>
              <w:pStyle w:val="23"/>
              <w:spacing w:before="3"/>
              <w:rPr>
                <w:sz w:val="28"/>
              </w:rPr>
            </w:pPr>
          </w:p>
          <w:p>
            <w:pPr>
              <w:pStyle w:val="23"/>
              <w:ind w:left="769"/>
            </w:pPr>
            <w:r>
              <w:t>项目名称及服务内容</w:t>
            </w:r>
          </w:p>
        </w:tc>
        <w:tc>
          <w:tcPr>
            <w:tcW w:w="1980" w:type="dxa"/>
            <w:tcBorders>
              <w:left w:val="single" w:color="000000" w:sz="4" w:space="0"/>
              <w:right w:val="single" w:color="000000" w:sz="4" w:space="0"/>
            </w:tcBorders>
            <w:noWrap w:val="0"/>
            <w:vAlign w:val="top"/>
          </w:tcPr>
          <w:p>
            <w:pPr>
              <w:pStyle w:val="23"/>
              <w:spacing w:before="3"/>
              <w:rPr>
                <w:sz w:val="28"/>
              </w:rPr>
            </w:pPr>
          </w:p>
          <w:p>
            <w:pPr>
              <w:pStyle w:val="23"/>
              <w:ind w:left="363"/>
            </w:pPr>
            <w:r>
              <w:t>项目费用(元)</w:t>
            </w:r>
          </w:p>
        </w:tc>
        <w:tc>
          <w:tcPr>
            <w:tcW w:w="1440" w:type="dxa"/>
            <w:tcBorders>
              <w:left w:val="single" w:color="000000" w:sz="4" w:space="0"/>
              <w:right w:val="single" w:color="000000" w:sz="4" w:space="0"/>
            </w:tcBorders>
            <w:noWrap w:val="0"/>
            <w:vAlign w:val="top"/>
          </w:tcPr>
          <w:p>
            <w:pPr>
              <w:pStyle w:val="23"/>
              <w:spacing w:before="3"/>
              <w:rPr>
                <w:sz w:val="28"/>
              </w:rPr>
            </w:pPr>
          </w:p>
          <w:p>
            <w:pPr>
              <w:pStyle w:val="23"/>
              <w:ind w:left="356"/>
            </w:pPr>
            <w:r>
              <w:t>费率(%)</w:t>
            </w:r>
          </w:p>
        </w:tc>
        <w:tc>
          <w:tcPr>
            <w:tcW w:w="1800" w:type="dxa"/>
            <w:tcBorders>
              <w:left w:val="single" w:color="000000" w:sz="4" w:space="0"/>
            </w:tcBorders>
            <w:noWrap w:val="0"/>
            <w:vAlign w:val="top"/>
          </w:tcPr>
          <w:p>
            <w:pPr>
              <w:pStyle w:val="23"/>
              <w:spacing w:before="3"/>
              <w:rPr>
                <w:sz w:val="28"/>
              </w:rPr>
            </w:pPr>
          </w:p>
          <w:p>
            <w:pPr>
              <w:pStyle w:val="23"/>
              <w:ind w:left="380"/>
            </w:pPr>
            <w:r>
              <w:t>金额（元）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540" w:type="dxa"/>
            <w:tcBorders>
              <w:bottom w:val="single" w:color="000000" w:sz="4" w:space="0"/>
              <w:right w:val="single" w:color="000000" w:sz="4" w:space="0"/>
            </w:tcBorders>
            <w:noWrap w:val="0"/>
            <w:vAlign w:val="top"/>
          </w:tcPr>
          <w:p>
            <w:pPr>
              <w:pStyle w:val="23"/>
              <w:rPr>
                <w:rFonts w:ascii="Times New Roman"/>
                <w:sz w:val="22"/>
              </w:rPr>
            </w:pPr>
          </w:p>
        </w:tc>
        <w:tc>
          <w:tcPr>
            <w:tcW w:w="342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2" w:hRule="atLeast"/>
        </w:trPr>
        <w:tc>
          <w:tcPr>
            <w:tcW w:w="540" w:type="dxa"/>
            <w:tcBorders>
              <w:top w:val="single" w:color="000000" w:sz="4" w:space="0"/>
              <w:right w:val="single" w:color="000000" w:sz="4" w:space="0"/>
            </w:tcBorders>
            <w:noWrap w:val="0"/>
            <w:vAlign w:val="top"/>
          </w:tcPr>
          <w:p>
            <w:pPr>
              <w:pStyle w:val="23"/>
              <w:rPr>
                <w:rFonts w:ascii="Times New Roman"/>
                <w:sz w:val="22"/>
              </w:rPr>
            </w:pPr>
          </w:p>
        </w:tc>
        <w:tc>
          <w:tcPr>
            <w:tcW w:w="3420" w:type="dxa"/>
            <w:tcBorders>
              <w:top w:val="single" w:color="000000" w:sz="4" w:space="0"/>
              <w:left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right w:val="single" w:color="000000" w:sz="4" w:space="0"/>
            </w:tcBorders>
            <w:noWrap w:val="0"/>
            <w:vAlign w:val="top"/>
          </w:tcPr>
          <w:p>
            <w:pPr>
              <w:pStyle w:val="23"/>
              <w:rPr>
                <w:rFonts w:ascii="Times New Roman"/>
                <w:sz w:val="22"/>
              </w:rPr>
            </w:pPr>
          </w:p>
        </w:tc>
        <w:tc>
          <w:tcPr>
            <w:tcW w:w="1800" w:type="dxa"/>
            <w:tcBorders>
              <w:top w:val="single" w:color="000000" w:sz="4" w:space="0"/>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7" w:hRule="atLeast"/>
        </w:trPr>
        <w:tc>
          <w:tcPr>
            <w:tcW w:w="540" w:type="dxa"/>
            <w:tcBorders>
              <w:bottom w:val="single" w:color="000000" w:sz="4" w:space="0"/>
              <w:right w:val="single" w:color="000000" w:sz="4" w:space="0"/>
            </w:tcBorders>
            <w:noWrap w:val="0"/>
            <w:vAlign w:val="top"/>
          </w:tcPr>
          <w:p>
            <w:pPr>
              <w:pStyle w:val="23"/>
              <w:rPr>
                <w:rFonts w:ascii="Times New Roman"/>
                <w:sz w:val="22"/>
              </w:rPr>
            </w:pPr>
          </w:p>
        </w:tc>
        <w:tc>
          <w:tcPr>
            <w:tcW w:w="342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0" w:hRule="atLeast"/>
        </w:trPr>
        <w:tc>
          <w:tcPr>
            <w:tcW w:w="7380" w:type="dxa"/>
            <w:gridSpan w:val="4"/>
            <w:tcBorders>
              <w:top w:val="single" w:color="000000" w:sz="4" w:space="0"/>
              <w:right w:val="single" w:color="000000" w:sz="4" w:space="0"/>
            </w:tcBorders>
            <w:noWrap w:val="0"/>
            <w:vAlign w:val="top"/>
          </w:tcPr>
          <w:p>
            <w:pPr>
              <w:pStyle w:val="23"/>
              <w:rPr>
                <w:sz w:val="23"/>
              </w:rPr>
            </w:pPr>
          </w:p>
          <w:p>
            <w:pPr>
              <w:pStyle w:val="23"/>
              <w:tabs>
                <w:tab w:val="left" w:pos="640"/>
              </w:tabs>
              <w:ind w:left="12"/>
              <w:jc w:val="center"/>
            </w:pPr>
            <w:r>
              <w:t>合</w:t>
            </w:r>
            <w:r>
              <w:tab/>
            </w:r>
            <w:r>
              <w:t>计</w:t>
            </w:r>
          </w:p>
        </w:tc>
        <w:tc>
          <w:tcPr>
            <w:tcW w:w="1800" w:type="dxa"/>
            <w:tcBorders>
              <w:top w:val="single" w:color="000000" w:sz="4" w:space="0"/>
              <w:left w:val="single" w:color="000000" w:sz="4" w:space="0"/>
            </w:tcBorders>
            <w:noWrap w:val="0"/>
            <w:vAlign w:val="top"/>
          </w:tcPr>
          <w:p>
            <w:pPr>
              <w:pStyle w:val="23"/>
              <w:rPr>
                <w:rFonts w:ascii="Times New Roman"/>
                <w:sz w:val="22"/>
              </w:rPr>
            </w:pPr>
          </w:p>
        </w:tc>
      </w:tr>
    </w:tbl>
    <w:p>
      <w:pPr>
        <w:spacing w:before="156" w:beforeLines="50"/>
        <w:rPr>
          <w:rFonts w:hint="eastAsia"/>
          <w:color w:val="000000"/>
        </w:rPr>
      </w:pPr>
    </w:p>
    <w:p>
      <w:pPr>
        <w:spacing w:before="156" w:beforeLines="50" w:after="156" w:afterLines="50"/>
        <w:jc w:val="center"/>
        <w:rPr>
          <w:rFonts w:ascii="黑体" w:eastAsia="黑体"/>
          <w:color w:val="000000"/>
          <w:sz w:val="28"/>
          <w:szCs w:val="28"/>
        </w:rPr>
      </w:pPr>
      <w:r>
        <w:rPr>
          <w:color w:val="000000"/>
        </w:rPr>
        <w:br w:type="page"/>
      </w:r>
      <w:r>
        <w:rPr>
          <w:rFonts w:ascii="黑体" w:eastAsia="黑体"/>
          <w:color w:val="000000"/>
          <w:sz w:val="28"/>
          <w:szCs w:val="28"/>
        </w:rPr>
        <w:t>安装工程设备明细表</w:t>
      </w:r>
    </w:p>
    <w:p>
      <w:pPr>
        <w:rPr>
          <w:rFonts w:hint="eastAsia" w:ascii="黑体" w:eastAsia="黑体"/>
          <w:color w:val="000000"/>
          <w:sz w:val="24"/>
        </w:rPr>
      </w:pPr>
      <w:r>
        <w:rPr>
          <w:rFonts w:hint="eastAsia" w:ascii="黑体" w:eastAsia="黑体"/>
          <w:color w:val="000000"/>
          <w:sz w:val="24"/>
        </w:rPr>
        <w:t>4.13安装工程设备明细表</w:t>
      </w:r>
    </w:p>
    <w:tbl>
      <w:tblPr>
        <w:tblStyle w:val="18"/>
        <w:tblpPr w:leftFromText="180" w:rightFromText="180" w:vertAnchor="text" w:horzAnchor="page" w:tblpX="1113" w:tblpY="5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3"/>
        <w:gridCol w:w="839"/>
        <w:gridCol w:w="3256"/>
        <w:gridCol w:w="1058"/>
        <w:gridCol w:w="966"/>
        <w:gridCol w:w="1023"/>
        <w:gridCol w:w="105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序号</w:t>
            </w:r>
          </w:p>
        </w:tc>
        <w:tc>
          <w:tcPr>
            <w:tcW w:w="839"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编码</w:t>
            </w:r>
          </w:p>
        </w:tc>
        <w:tc>
          <w:tcPr>
            <w:tcW w:w="3256"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名称</w:t>
            </w:r>
          </w:p>
        </w:tc>
        <w:tc>
          <w:tcPr>
            <w:tcW w:w="1058"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单位</w:t>
            </w:r>
          </w:p>
        </w:tc>
        <w:tc>
          <w:tcPr>
            <w:tcW w:w="966"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数量</w:t>
            </w:r>
          </w:p>
        </w:tc>
        <w:tc>
          <w:tcPr>
            <w:tcW w:w="1023"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单价</w:t>
            </w:r>
          </w:p>
        </w:tc>
        <w:tc>
          <w:tcPr>
            <w:tcW w:w="1052"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金额</w:t>
            </w:r>
          </w:p>
        </w:tc>
        <w:tc>
          <w:tcPr>
            <w:tcW w:w="895"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jc w:val="center"/>
              <w:rPr>
                <w:rFonts w:ascii="Arial" w:hAnsi="Arial" w:cs="Arial"/>
                <w:color w:val="000000"/>
                <w:szCs w:val="21"/>
              </w:rPr>
            </w:pPr>
          </w:p>
        </w:tc>
        <w:tc>
          <w:tcPr>
            <w:tcW w:w="839" w:type="dxa"/>
            <w:noWrap w:val="0"/>
            <w:vAlign w:val="center"/>
          </w:tcPr>
          <w:p>
            <w:pPr>
              <w:jc w:val="center"/>
              <w:rPr>
                <w:rFonts w:ascii="Arial" w:hAnsi="Arial" w:cs="Arial"/>
                <w:color w:val="000000"/>
                <w:szCs w:val="21"/>
              </w:rPr>
            </w:pPr>
          </w:p>
        </w:tc>
        <w:tc>
          <w:tcPr>
            <w:tcW w:w="3256" w:type="dxa"/>
            <w:noWrap w:val="0"/>
            <w:vAlign w:val="center"/>
          </w:tcPr>
          <w:p>
            <w:pPr>
              <w:jc w:val="left"/>
              <w:rPr>
                <w:rFonts w:ascii="Arial" w:hAnsi="Arial" w:cs="Arial"/>
                <w:color w:val="000000"/>
                <w:szCs w:val="21"/>
              </w:rPr>
            </w:pPr>
          </w:p>
        </w:tc>
        <w:tc>
          <w:tcPr>
            <w:tcW w:w="1058" w:type="dxa"/>
            <w:noWrap w:val="0"/>
            <w:vAlign w:val="center"/>
          </w:tcPr>
          <w:p>
            <w:pPr>
              <w:jc w:val="center"/>
              <w:rPr>
                <w:rFonts w:ascii="Arial" w:hAnsi="Arial" w:cs="Arial"/>
                <w:color w:val="000000"/>
                <w:szCs w:val="21"/>
              </w:rPr>
            </w:pPr>
          </w:p>
        </w:tc>
        <w:tc>
          <w:tcPr>
            <w:tcW w:w="966" w:type="dxa"/>
            <w:noWrap w:val="0"/>
            <w:vAlign w:val="center"/>
          </w:tcPr>
          <w:p>
            <w:pPr>
              <w:jc w:val="right"/>
              <w:rPr>
                <w:rFonts w:ascii="Arial" w:hAnsi="Arial" w:cs="Arial"/>
                <w:color w:val="000000"/>
                <w:szCs w:val="21"/>
              </w:rPr>
            </w:pPr>
          </w:p>
        </w:tc>
        <w:tc>
          <w:tcPr>
            <w:tcW w:w="1023" w:type="dxa"/>
            <w:noWrap w:val="0"/>
            <w:vAlign w:val="center"/>
          </w:tcPr>
          <w:p>
            <w:pPr>
              <w:jc w:val="right"/>
              <w:rPr>
                <w:rFonts w:ascii="Arial" w:hAnsi="Arial" w:cs="Arial"/>
                <w:color w:val="000000"/>
                <w:szCs w:val="21"/>
              </w:rPr>
            </w:pPr>
          </w:p>
        </w:tc>
        <w:tc>
          <w:tcPr>
            <w:tcW w:w="1052" w:type="dxa"/>
            <w:noWrap w:val="0"/>
            <w:vAlign w:val="center"/>
          </w:tcPr>
          <w:p>
            <w:pPr>
              <w:jc w:val="right"/>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jc w:val="center"/>
              <w:rPr>
                <w:rFonts w:ascii="Arial" w:hAnsi="Arial" w:cs="Arial"/>
                <w:color w:val="000000"/>
                <w:szCs w:val="21"/>
              </w:rPr>
            </w:pPr>
          </w:p>
        </w:tc>
        <w:tc>
          <w:tcPr>
            <w:tcW w:w="839" w:type="dxa"/>
            <w:noWrap w:val="0"/>
            <w:vAlign w:val="center"/>
          </w:tcPr>
          <w:p>
            <w:pPr>
              <w:jc w:val="center"/>
              <w:rPr>
                <w:rFonts w:ascii="Arial" w:hAnsi="Arial" w:cs="Arial"/>
                <w:color w:val="000000"/>
                <w:szCs w:val="21"/>
              </w:rPr>
            </w:pPr>
          </w:p>
        </w:tc>
        <w:tc>
          <w:tcPr>
            <w:tcW w:w="3256" w:type="dxa"/>
            <w:noWrap w:val="0"/>
            <w:vAlign w:val="center"/>
          </w:tcPr>
          <w:p>
            <w:pPr>
              <w:jc w:val="left"/>
              <w:rPr>
                <w:rFonts w:ascii="Arial" w:hAnsi="Arial" w:cs="Arial"/>
                <w:color w:val="000000"/>
                <w:szCs w:val="21"/>
              </w:rPr>
            </w:pPr>
          </w:p>
        </w:tc>
        <w:tc>
          <w:tcPr>
            <w:tcW w:w="1058" w:type="dxa"/>
            <w:noWrap w:val="0"/>
            <w:vAlign w:val="center"/>
          </w:tcPr>
          <w:p>
            <w:pPr>
              <w:jc w:val="center"/>
              <w:rPr>
                <w:rFonts w:ascii="Arial" w:hAnsi="Arial" w:cs="Arial"/>
                <w:color w:val="000000"/>
                <w:szCs w:val="21"/>
              </w:rPr>
            </w:pPr>
          </w:p>
        </w:tc>
        <w:tc>
          <w:tcPr>
            <w:tcW w:w="966" w:type="dxa"/>
            <w:noWrap w:val="0"/>
            <w:vAlign w:val="center"/>
          </w:tcPr>
          <w:p>
            <w:pPr>
              <w:jc w:val="right"/>
              <w:rPr>
                <w:rFonts w:ascii="Arial" w:hAnsi="Arial" w:cs="Arial"/>
                <w:color w:val="000000"/>
                <w:szCs w:val="21"/>
              </w:rPr>
            </w:pPr>
          </w:p>
        </w:tc>
        <w:tc>
          <w:tcPr>
            <w:tcW w:w="1023" w:type="dxa"/>
            <w:noWrap w:val="0"/>
            <w:vAlign w:val="center"/>
          </w:tcPr>
          <w:p>
            <w:pPr>
              <w:jc w:val="right"/>
              <w:rPr>
                <w:rFonts w:ascii="Arial" w:hAnsi="Arial" w:cs="Arial"/>
                <w:color w:val="000000"/>
                <w:szCs w:val="21"/>
              </w:rPr>
            </w:pPr>
          </w:p>
        </w:tc>
        <w:tc>
          <w:tcPr>
            <w:tcW w:w="1052" w:type="dxa"/>
            <w:noWrap w:val="0"/>
            <w:vAlign w:val="center"/>
          </w:tcPr>
          <w:p>
            <w:pPr>
              <w:jc w:val="right"/>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jc w:val="center"/>
              <w:rPr>
                <w:rFonts w:ascii="Arial" w:hAnsi="Arial" w:cs="Arial"/>
                <w:color w:val="000000"/>
                <w:szCs w:val="21"/>
              </w:rPr>
            </w:pPr>
          </w:p>
        </w:tc>
        <w:tc>
          <w:tcPr>
            <w:tcW w:w="839" w:type="dxa"/>
            <w:noWrap w:val="0"/>
            <w:vAlign w:val="center"/>
          </w:tcPr>
          <w:p>
            <w:pPr>
              <w:jc w:val="center"/>
              <w:rPr>
                <w:rFonts w:ascii="Arial" w:hAnsi="Arial" w:cs="Arial"/>
                <w:color w:val="000000"/>
                <w:szCs w:val="21"/>
              </w:rPr>
            </w:pPr>
          </w:p>
        </w:tc>
        <w:tc>
          <w:tcPr>
            <w:tcW w:w="3256" w:type="dxa"/>
            <w:noWrap w:val="0"/>
            <w:vAlign w:val="center"/>
          </w:tcPr>
          <w:p>
            <w:pPr>
              <w:jc w:val="left"/>
              <w:rPr>
                <w:rFonts w:ascii="Arial" w:hAnsi="Arial" w:cs="Arial"/>
                <w:color w:val="000000"/>
                <w:szCs w:val="21"/>
              </w:rPr>
            </w:pPr>
          </w:p>
        </w:tc>
        <w:tc>
          <w:tcPr>
            <w:tcW w:w="1058" w:type="dxa"/>
            <w:noWrap w:val="0"/>
            <w:vAlign w:val="center"/>
          </w:tcPr>
          <w:p>
            <w:pPr>
              <w:jc w:val="center"/>
              <w:rPr>
                <w:rFonts w:ascii="Arial" w:hAnsi="Arial" w:cs="Arial"/>
                <w:color w:val="000000"/>
                <w:szCs w:val="21"/>
              </w:rPr>
            </w:pPr>
          </w:p>
        </w:tc>
        <w:tc>
          <w:tcPr>
            <w:tcW w:w="966" w:type="dxa"/>
            <w:noWrap w:val="0"/>
            <w:vAlign w:val="center"/>
          </w:tcPr>
          <w:p>
            <w:pPr>
              <w:jc w:val="right"/>
              <w:rPr>
                <w:rFonts w:ascii="Arial" w:hAnsi="Arial" w:cs="Arial"/>
                <w:color w:val="000000"/>
                <w:szCs w:val="21"/>
              </w:rPr>
            </w:pPr>
          </w:p>
        </w:tc>
        <w:tc>
          <w:tcPr>
            <w:tcW w:w="1023" w:type="dxa"/>
            <w:noWrap w:val="0"/>
            <w:vAlign w:val="center"/>
          </w:tcPr>
          <w:p>
            <w:pPr>
              <w:jc w:val="right"/>
              <w:rPr>
                <w:rFonts w:ascii="Arial" w:hAnsi="Arial" w:cs="Arial"/>
                <w:color w:val="000000"/>
                <w:szCs w:val="21"/>
              </w:rPr>
            </w:pPr>
          </w:p>
        </w:tc>
        <w:tc>
          <w:tcPr>
            <w:tcW w:w="1052" w:type="dxa"/>
            <w:noWrap w:val="0"/>
            <w:vAlign w:val="center"/>
          </w:tcPr>
          <w:p>
            <w:pPr>
              <w:jc w:val="right"/>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7785" w:type="dxa"/>
            <w:gridSpan w:val="6"/>
            <w:noWrap w:val="0"/>
            <w:vAlign w:val="center"/>
          </w:tcPr>
          <w:p>
            <w:pPr>
              <w:widowControl/>
              <w:jc w:val="center"/>
              <w:textAlignment w:val="center"/>
              <w:rPr>
                <w:rFonts w:hint="eastAsia" w:ascii="Arial" w:hAnsi="Arial" w:cs="Arial"/>
                <w:color w:val="000000"/>
                <w:szCs w:val="21"/>
              </w:rPr>
            </w:pPr>
            <w:r>
              <w:rPr>
                <w:rFonts w:hint="eastAsia" w:ascii="Arial" w:hAnsi="Arial" w:cs="Arial"/>
                <w:color w:val="000000"/>
                <w:szCs w:val="21"/>
              </w:rPr>
              <w:t>合计</w:t>
            </w: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widowControl/>
              <w:jc w:val="left"/>
              <w:textAlignment w:val="center"/>
              <w:rPr>
                <w:rFonts w:ascii="Arial" w:hAnsi="Arial" w:cs="Arial"/>
                <w:color w:val="000000"/>
                <w:szCs w:val="21"/>
              </w:rPr>
            </w:pPr>
          </w:p>
        </w:tc>
      </w:tr>
    </w:tbl>
    <w:p>
      <w:pPr>
        <w:pStyle w:val="8"/>
        <w:jc w:val="center"/>
        <w:rPr>
          <w:rFonts w:ascii="Arial" w:hAnsi="Arial" w:cs="Arial"/>
          <w:b/>
          <w:color w:val="000000"/>
          <w:kern w:val="0"/>
          <w:szCs w:val="32"/>
          <w:lang w:bidi="ar"/>
        </w:rPr>
      </w:pPr>
    </w:p>
    <w:p>
      <w:pPr>
        <w:pStyle w:val="8"/>
        <w:jc w:val="center"/>
        <w:rPr>
          <w:rFonts w:ascii="Arial" w:hAnsi="Arial" w:cs="Arial"/>
          <w:b/>
          <w:color w:val="000000"/>
          <w:kern w:val="0"/>
          <w:szCs w:val="32"/>
          <w:lang w:bidi="ar"/>
        </w:rPr>
      </w:pPr>
    </w:p>
    <w:p>
      <w:pPr>
        <w:rPr>
          <w:rFonts w:hint="eastAsia"/>
          <w:color w:val="000000"/>
        </w:rPr>
      </w:pPr>
    </w:p>
    <w:p>
      <w:pPr>
        <w:rPr>
          <w:rFonts w:hint="eastAsia" w:ascii="黑体" w:eastAsia="黑体"/>
          <w:color w:val="000000"/>
          <w:sz w:val="24"/>
        </w:rPr>
      </w:pPr>
      <w:r>
        <w:rPr>
          <w:rFonts w:hint="eastAsia" w:ascii="黑体" w:eastAsia="黑体"/>
          <w:color w:val="000000"/>
          <w:sz w:val="24"/>
        </w:rPr>
        <w:t>4.14规费、税金项目清单与计价表</w:t>
      </w:r>
    </w:p>
    <w:p>
      <w:pPr>
        <w:spacing w:before="156" w:beforeLines="50" w:after="156" w:afterLines="50"/>
        <w:jc w:val="center"/>
        <w:rPr>
          <w:rFonts w:ascii="黑体" w:eastAsia="黑体"/>
          <w:color w:val="000000"/>
          <w:sz w:val="28"/>
          <w:szCs w:val="28"/>
        </w:rPr>
      </w:pPr>
      <w:r>
        <w:rPr>
          <w:rFonts w:hint="eastAsia" w:ascii="黑体" w:eastAsia="黑体"/>
          <w:color w:val="000000"/>
          <w:sz w:val="28"/>
          <w:szCs w:val="28"/>
        </w:rPr>
        <w:t>规费、税金项目清单与计价表</w:t>
      </w:r>
    </w:p>
    <w:p>
      <w:pPr>
        <w:spacing w:line="400" w:lineRule="exact"/>
        <w:ind w:firstLine="211" w:firstLineChars="100"/>
        <w:rPr>
          <w:rFonts w:hint="eastAsia"/>
          <w:color w:val="000000"/>
          <w:szCs w:val="21"/>
        </w:rPr>
      </w:pPr>
      <w:r>
        <w:rPr>
          <w:rFonts w:hint="eastAsia"/>
          <w:color w:val="000000"/>
          <w:szCs w:val="21"/>
        </w:rPr>
        <w:t>工程名称：                     标段：                            第   页  共   页</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666"/>
        <w:gridCol w:w="1754"/>
        <w:gridCol w:w="1591"/>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879"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序号</w:t>
            </w:r>
          </w:p>
        </w:tc>
        <w:tc>
          <w:tcPr>
            <w:tcW w:w="2666"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项目名称</w:t>
            </w:r>
          </w:p>
        </w:tc>
        <w:tc>
          <w:tcPr>
            <w:tcW w:w="1754"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计算基础</w:t>
            </w:r>
          </w:p>
        </w:tc>
        <w:tc>
          <w:tcPr>
            <w:tcW w:w="1591"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费率</w:t>
            </w:r>
          </w:p>
          <w:p>
            <w:pPr>
              <w:spacing w:line="400" w:lineRule="exact"/>
              <w:jc w:val="center"/>
              <w:rPr>
                <w:rFonts w:hint="eastAsia" w:ascii="宋体" w:hAnsi="宋体"/>
                <w:color w:val="000000"/>
                <w:szCs w:val="21"/>
              </w:rPr>
            </w:pPr>
            <w:r>
              <w:rPr>
                <w:rFonts w:hint="eastAsia" w:ascii="宋体" w:hAnsi="宋体"/>
                <w:color w:val="000000"/>
                <w:szCs w:val="21"/>
              </w:rPr>
              <w:t>（%）</w:t>
            </w:r>
          </w:p>
        </w:tc>
        <w:tc>
          <w:tcPr>
            <w:tcW w:w="2290" w:type="dxa"/>
            <w:vMerge w:val="restart"/>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金额</w:t>
            </w:r>
          </w:p>
          <w:p>
            <w:pPr>
              <w:spacing w:line="400" w:lineRule="exact"/>
              <w:jc w:val="center"/>
              <w:rPr>
                <w:rFonts w:hint="eastAsia"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79"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p>
        </w:tc>
        <w:tc>
          <w:tcPr>
            <w:tcW w:w="266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000000"/>
                <w:szCs w:val="21"/>
              </w:rPr>
            </w:pPr>
          </w:p>
        </w:tc>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000000"/>
                <w:szCs w:val="21"/>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000000"/>
                <w:szCs w:val="21"/>
              </w:rPr>
            </w:pPr>
          </w:p>
        </w:tc>
        <w:tc>
          <w:tcPr>
            <w:tcW w:w="2290" w:type="dxa"/>
            <w:vMerge w:val="continue"/>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规费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113"/>
              <w:rPr>
                <w:rFonts w:hint="eastAsia"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安全文明施工费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319"/>
              <w:rPr>
                <w:rFonts w:hint="eastAsia"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1.1.1</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安全施工费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319"/>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1.1.2</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环境保护费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319"/>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1.1.3</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文明施工费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319"/>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1.1.4</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临时设施费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319"/>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1.2</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社会保险费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spacing w:before="1"/>
              <w:ind w:left="319"/>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1.3</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1" w:firstLineChars="100"/>
              <w:jc w:val="left"/>
              <w:rPr>
                <w:rFonts w:hint="eastAsia" w:ascii="宋体" w:hAnsi="宋体"/>
                <w:szCs w:val="21"/>
              </w:rPr>
            </w:pPr>
            <w:r>
              <w:rPr>
                <w:rFonts w:hint="eastAsia" w:ascii="宋体" w:hAnsi="宋体"/>
                <w:szCs w:val="21"/>
              </w:rPr>
              <w:t>住房公积金</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spacing w:before="1"/>
              <w:ind w:left="322"/>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1" w:firstLineChars="100"/>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1.4</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宋体" w:hAnsi="宋体"/>
                <w:szCs w:val="21"/>
              </w:rPr>
            </w:pPr>
            <w:r>
              <w:rPr>
                <w:rFonts w:hint="eastAsia" w:ascii="宋体" w:hAnsi="宋体"/>
                <w:szCs w:val="21"/>
              </w:rPr>
              <w:t>环境保护税</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293"/>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1.5</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宋体" w:hAnsi="宋体"/>
                <w:szCs w:val="21"/>
              </w:rPr>
            </w:pPr>
            <w:r>
              <w:rPr>
                <w:rFonts w:hint="eastAsia" w:ascii="宋体" w:hAnsi="宋体"/>
                <w:szCs w:val="21"/>
              </w:rPr>
              <w:t>建设项目工伤保险</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293"/>
              <w:rPr>
                <w:rFonts w:hint="eastAsia"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ind w:firstLine="180"/>
              <w:jc w:val="left"/>
              <w:rPr>
                <w:rFonts w:hint="eastAsia" w:ascii="宋体" w:hAnsi="宋体"/>
                <w:szCs w:val="21"/>
              </w:rPr>
            </w:pPr>
            <w:r>
              <w:rPr>
                <w:rFonts w:ascii="宋体" w:hAnsi="宋体"/>
                <w:szCs w:val="21"/>
              </w:rPr>
              <w:t>1.6</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宋体" w:hAnsi="宋体"/>
                <w:szCs w:val="21"/>
              </w:rPr>
            </w:pPr>
            <w:r>
              <w:rPr>
                <w:rFonts w:ascii="宋体" w:hAnsi="宋体"/>
                <w:szCs w:val="21"/>
              </w:rPr>
              <w:t>优质优价费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293"/>
              <w:rPr>
                <w:rFonts w:hint="eastAsia"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2</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szCs w:val="21"/>
              </w:rPr>
            </w:pPr>
            <w:r>
              <w:rPr>
                <w:rFonts w:hint="eastAsia" w:ascii="宋体" w:hAnsi="宋体"/>
                <w:szCs w:val="21"/>
              </w:rPr>
              <w:t>税金</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113"/>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890" w:type="dxa"/>
            <w:gridSpan w:val="4"/>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合     计</w:t>
            </w:r>
          </w:p>
        </w:tc>
        <w:tc>
          <w:tcPr>
            <w:tcW w:w="2290" w:type="dxa"/>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ascii="宋体" w:hAnsi="宋体"/>
                <w:color w:val="000000"/>
                <w:szCs w:val="21"/>
              </w:rPr>
            </w:pPr>
          </w:p>
        </w:tc>
      </w:tr>
    </w:tbl>
    <w:p>
      <w:pPr>
        <w:spacing w:line="360" w:lineRule="auto"/>
        <w:jc w:val="left"/>
        <w:outlineLvl w:val="0"/>
        <w:rPr>
          <w:rFonts w:hint="eastAsia" w:ascii="宋体" w:hAnsi="宋体"/>
          <w:color w:val="000000"/>
          <w:szCs w:val="21"/>
        </w:rPr>
      </w:pPr>
      <w:r>
        <w:rPr>
          <w:rFonts w:hint="eastAsia" w:ascii="宋体" w:hAnsi="宋体"/>
          <w:color w:val="000000"/>
          <w:szCs w:val="21"/>
        </w:rPr>
        <w:t>注：表中费用应按规定计算，不可竞争。</w:t>
      </w:r>
    </w:p>
    <w:p>
      <w:pPr>
        <w:rPr>
          <w:rFonts w:hint="eastAsia"/>
        </w:rPr>
      </w:pPr>
    </w:p>
    <w:p>
      <w:pPr>
        <w:pStyle w:val="2"/>
        <w:rPr>
          <w:rFonts w:hint="default" w:eastAsia="宋体"/>
          <w:lang w:val="en-US" w:eastAsia="zh-CN"/>
        </w:rPr>
        <w:sectPr>
          <w:headerReference r:id="rId8" w:type="first"/>
          <w:headerReference r:id="rId7" w:type="default"/>
          <w:pgSz w:w="11905" w:h="16838"/>
          <w:pgMar w:top="850" w:right="850" w:bottom="850" w:left="850" w:header="850" w:footer="992" w:gutter="0"/>
          <w:pgNumType w:fmt="decimal"/>
          <w:cols w:space="0" w:num="1"/>
          <w:titlePg/>
          <w:rtlGutter w:val="1"/>
          <w:docGrid w:type="linesAndChars" w:linePitch="291" w:charSpace="409"/>
        </w:sectPr>
      </w:pPr>
      <w:r>
        <w:rPr>
          <w:rFonts w:hint="eastAsia" w:ascii="黑体" w:hAnsi="Times New Roman" w:eastAsia="黑体" w:cs="Times New Roman"/>
          <w:color w:val="000000"/>
          <w:kern w:val="2"/>
          <w:sz w:val="24"/>
          <w:szCs w:val="24"/>
          <w:lang w:val="en-US" w:eastAsia="zh-CN" w:bidi="ar-SA"/>
        </w:rPr>
        <w:t>4.15工程量清单详见采购预算（控制价），登录邹城市外宣网随竞争性磋商文件同时下载。</w:t>
      </w:r>
    </w:p>
    <w:p>
      <w:pPr>
        <w:pStyle w:val="2"/>
        <w:rPr>
          <w:rFonts w:hint="eastAsia"/>
        </w:rPr>
      </w:pPr>
      <w:bookmarkStart w:id="35" w:name="_Toc3918"/>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第五部分  合同授予</w:t>
      </w:r>
      <w:bookmarkEnd w:id="21"/>
      <w:bookmarkEnd w:id="22"/>
      <w:bookmarkEnd w:id="23"/>
      <w:bookmarkEnd w:id="24"/>
      <w:bookmarkEnd w:id="35"/>
    </w:p>
    <w:bookmarkEnd w:id="25"/>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eastAsia="宋体" w:cs="宋体"/>
          <w:b/>
          <w:bCs/>
          <w:color w:val="auto"/>
          <w:kern w:val="0"/>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磋商结果公示结束后发出成交通知书，成交通知书发出</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日内，由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二、合同格式</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合同格式中的甲方系指</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keepNext w:val="0"/>
        <w:keepLines w:val="0"/>
        <w:spacing w:line="415" w:lineRule="auto"/>
        <w:jc w:val="center"/>
        <w:rPr>
          <w:rFonts w:hint="eastAsia" w:ascii="宋体" w:hAnsi="宋体" w:eastAsia="宋体" w:cs="宋体"/>
          <w:sz w:val="24"/>
          <w:szCs w:val="24"/>
        </w:rPr>
      </w:pPr>
      <w:bookmarkStart w:id="36" w:name="_Toc19317"/>
      <w:bookmarkStart w:id="37" w:name="_Toc19694"/>
      <w:bookmarkStart w:id="38" w:name="_Toc27613"/>
      <w:r>
        <w:rPr>
          <w:rFonts w:hint="eastAsia" w:ascii="宋体" w:hAnsi="宋体" w:eastAsia="宋体" w:cs="宋体"/>
          <w:sz w:val="24"/>
          <w:szCs w:val="24"/>
        </w:rPr>
        <w:t>第一节合同附件格式</w:t>
      </w:r>
    </w:p>
    <w:p>
      <w:pPr>
        <w:pStyle w:val="4"/>
        <w:keepNext w:val="0"/>
        <w:keepLines w:val="0"/>
        <w:spacing w:line="415" w:lineRule="auto"/>
        <w:jc w:val="center"/>
        <w:rPr>
          <w:rFonts w:hint="eastAsia" w:ascii="宋体" w:hAnsi="宋体" w:eastAsia="宋体" w:cs="宋体"/>
          <w:b w:val="0"/>
          <w:color w:val="000000"/>
          <w:sz w:val="24"/>
          <w:szCs w:val="24"/>
        </w:rPr>
      </w:pPr>
      <w:r>
        <w:rPr>
          <w:rFonts w:hint="eastAsia" w:ascii="宋体" w:hAnsi="宋体" w:eastAsia="宋体" w:cs="宋体"/>
          <w:sz w:val="24"/>
          <w:szCs w:val="24"/>
        </w:rPr>
        <w:t>合同协议书</w:t>
      </w:r>
    </w:p>
    <w:p>
      <w:pPr>
        <w:spacing w:line="460" w:lineRule="exact"/>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rPr>
        <w:t xml:space="preserve">         </w:t>
      </w:r>
    </w:p>
    <w:p>
      <w:pPr>
        <w:spacing w:line="460" w:lineRule="exact"/>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rPr>
        <w:t xml:space="preserve">           </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根据《中华人民共和国合同法》、《中华人民共和国建筑法》及有关法律规定，遵循平等、自愿、公平和诚实信用的原则，双方就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工程施工及有关事项协商一致，共同达成如下协议：</w:t>
      </w:r>
    </w:p>
    <w:p>
      <w:pPr>
        <w:pStyle w:val="6"/>
        <w:spacing w:before="120" w:after="120"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bookmarkStart w:id="39" w:name="_Toc351203481"/>
      <w:r>
        <w:rPr>
          <w:rFonts w:hint="eastAsia" w:ascii="宋体" w:hAnsi="宋体" w:eastAsia="宋体" w:cs="宋体"/>
          <w:color w:val="000000"/>
          <w:sz w:val="24"/>
          <w:szCs w:val="24"/>
        </w:rPr>
        <w:t>一、工程概况</w:t>
      </w:r>
      <w:bookmarkEnd w:id="39"/>
    </w:p>
    <w:p>
      <w:pPr>
        <w:spacing w:line="460" w:lineRule="exact"/>
        <w:ind w:firstLine="470" w:firstLineChars="196"/>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bCs/>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spacing w:line="460" w:lineRule="exact"/>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60" w:lineRule="exact"/>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rPr>
        <w:t>。</w:t>
      </w:r>
    </w:p>
    <w:p>
      <w:pPr>
        <w:spacing w:line="460" w:lineRule="exact"/>
        <w:ind w:firstLine="470" w:firstLineChars="196"/>
        <w:rPr>
          <w:rFonts w:hint="eastAsia" w:ascii="宋体" w:hAnsi="宋体" w:eastAsia="宋体" w:cs="宋体"/>
          <w:bCs/>
          <w:color w:val="000000"/>
          <w:sz w:val="24"/>
          <w:szCs w:val="24"/>
        </w:rPr>
      </w:pPr>
      <w:r>
        <w:rPr>
          <w:rFonts w:hint="eastAsia" w:ascii="宋体" w:hAnsi="宋体" w:eastAsia="宋体" w:cs="宋体"/>
          <w:color w:val="000000"/>
          <w:sz w:val="24"/>
          <w:szCs w:val="24"/>
        </w:rPr>
        <w:t>群体工程应附《承包人承揽工程项目一览表》（附件1）。</w:t>
      </w:r>
    </w:p>
    <w:p>
      <w:pPr>
        <w:spacing w:line="460" w:lineRule="exact"/>
        <w:ind w:firstLine="470" w:firstLineChars="196"/>
        <w:rPr>
          <w:rFonts w:hint="eastAsia" w:ascii="宋体" w:hAnsi="宋体" w:eastAsia="宋体" w:cs="宋体"/>
          <w:color w:val="000000"/>
          <w:sz w:val="24"/>
          <w:szCs w:val="24"/>
        </w:rPr>
      </w:pPr>
      <w:r>
        <w:rPr>
          <w:rFonts w:hint="eastAsia" w:ascii="宋体" w:hAnsi="宋体" w:eastAsia="宋体" w:cs="宋体"/>
          <w:bCs/>
          <w:color w:val="000000"/>
          <w:sz w:val="24"/>
          <w:szCs w:val="24"/>
        </w:rPr>
        <w:t>4.工程承包范围：</w:t>
      </w:r>
      <w:r>
        <w:rPr>
          <w:rFonts w:hint="eastAsia" w:ascii="宋体" w:hAnsi="宋体" w:cs="宋体"/>
          <w:bCs/>
          <w:color w:val="000000"/>
          <w:sz w:val="24"/>
          <w:szCs w:val="24"/>
          <w:lang w:eastAsia="zh-CN"/>
        </w:rPr>
        <w:t>邹城市北宿镇圣和花园南区10KV配电工程（第三次）</w:t>
      </w:r>
      <w:r>
        <w:rPr>
          <w:rFonts w:hint="eastAsia" w:ascii="宋体" w:hAnsi="宋体" w:eastAsia="宋体" w:cs="宋体"/>
          <w:color w:val="000000"/>
          <w:sz w:val="24"/>
          <w:szCs w:val="24"/>
        </w:rPr>
        <w:t>施工图纸范围内的所有工程（以工程量清单为准）。</w:t>
      </w:r>
    </w:p>
    <w:p>
      <w:pPr>
        <w:pStyle w:val="6"/>
        <w:spacing w:before="120" w:after="120" w:line="46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40" w:name="_Toc351203482"/>
      <w:r>
        <w:rPr>
          <w:rFonts w:hint="eastAsia" w:ascii="宋体" w:hAnsi="宋体" w:eastAsia="宋体" w:cs="宋体"/>
          <w:b w:val="0"/>
          <w:color w:val="000000"/>
          <w:sz w:val="24"/>
          <w:szCs w:val="24"/>
        </w:rPr>
        <w:t xml:space="preserve"> </w:t>
      </w:r>
      <w:r>
        <w:rPr>
          <w:rFonts w:hint="eastAsia" w:ascii="宋体" w:hAnsi="宋体" w:eastAsia="宋体" w:cs="宋体"/>
          <w:bCs w:val="0"/>
          <w:color w:val="000000"/>
          <w:sz w:val="24"/>
          <w:szCs w:val="24"/>
        </w:rPr>
        <w:t>二、合同工期</w:t>
      </w:r>
      <w:bookmarkEnd w:id="40"/>
    </w:p>
    <w:p>
      <w:pPr>
        <w:spacing w:line="460" w:lineRule="exact"/>
        <w:ind w:firstLine="459"/>
        <w:rPr>
          <w:rFonts w:hint="eastAsia" w:ascii="宋体" w:hAnsi="宋体" w:eastAsia="宋体" w:cs="宋体"/>
          <w:bCs/>
          <w:color w:val="000000"/>
          <w:sz w:val="24"/>
          <w:szCs w:val="24"/>
        </w:rPr>
      </w:pPr>
      <w:r>
        <w:rPr>
          <w:rFonts w:hint="eastAsia" w:ascii="宋体" w:hAnsi="宋体" w:eastAsia="宋体" w:cs="宋体"/>
          <w:bCs/>
          <w:color w:val="000000"/>
          <w:sz w:val="24"/>
          <w:szCs w:val="24"/>
        </w:rPr>
        <w:t>计划开工日期：</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日。</w:t>
      </w:r>
    </w:p>
    <w:p>
      <w:pPr>
        <w:spacing w:line="460" w:lineRule="exact"/>
        <w:ind w:firstLine="459"/>
        <w:rPr>
          <w:rFonts w:hint="eastAsia" w:ascii="宋体" w:hAnsi="宋体" w:eastAsia="宋体" w:cs="宋体"/>
          <w:bCs/>
          <w:color w:val="000000"/>
          <w:sz w:val="24"/>
          <w:szCs w:val="24"/>
        </w:rPr>
      </w:pPr>
      <w:r>
        <w:rPr>
          <w:rFonts w:hint="eastAsia" w:ascii="宋体" w:hAnsi="宋体" w:eastAsia="宋体" w:cs="宋体"/>
          <w:bCs/>
          <w:color w:val="000000"/>
          <w:sz w:val="24"/>
          <w:szCs w:val="24"/>
        </w:rPr>
        <w:t>计划竣工日期：</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日。</w:t>
      </w:r>
    </w:p>
    <w:p>
      <w:pPr>
        <w:spacing w:line="460" w:lineRule="exact"/>
        <w:ind w:firstLine="459"/>
        <w:rPr>
          <w:rFonts w:hint="eastAsia" w:ascii="宋体" w:hAnsi="宋体" w:eastAsia="宋体" w:cs="宋体"/>
          <w:bCs/>
          <w:color w:val="000000"/>
          <w:sz w:val="24"/>
          <w:szCs w:val="24"/>
        </w:rPr>
      </w:pPr>
      <w:r>
        <w:rPr>
          <w:rFonts w:hint="eastAsia" w:ascii="宋体" w:hAnsi="宋体" w:eastAsia="宋体" w:cs="宋体"/>
          <w:bCs/>
          <w:color w:val="000000"/>
          <w:sz w:val="24"/>
          <w:szCs w:val="24"/>
        </w:rPr>
        <w:t>工期总日历天数：</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天。以批准的开工令为开工日期。</w:t>
      </w:r>
    </w:p>
    <w:p>
      <w:pPr>
        <w:pStyle w:val="6"/>
        <w:spacing w:before="120" w:after="120" w:line="46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41" w:name="_Toc351203483"/>
      <w:r>
        <w:rPr>
          <w:rFonts w:hint="eastAsia" w:ascii="宋体" w:hAnsi="宋体" w:eastAsia="宋体" w:cs="宋体"/>
          <w:bCs w:val="0"/>
          <w:color w:val="000000"/>
          <w:sz w:val="24"/>
          <w:szCs w:val="24"/>
        </w:rPr>
        <w:t>三、质量标准</w:t>
      </w:r>
      <w:bookmarkEnd w:id="41"/>
      <w:r>
        <w:rPr>
          <w:rFonts w:hint="eastAsia" w:ascii="宋体" w:hAnsi="宋体" w:eastAsia="宋体" w:cs="宋体"/>
          <w:b w:val="0"/>
          <w:color w:val="000000"/>
          <w:sz w:val="24"/>
          <w:szCs w:val="24"/>
        </w:rPr>
        <w:t xml:space="preserve"> </w:t>
      </w:r>
    </w:p>
    <w:p>
      <w:pPr>
        <w:spacing w:line="460" w:lineRule="exact"/>
        <w:ind w:firstLine="482" w:firstLineChars="200"/>
        <w:rPr>
          <w:rFonts w:hint="eastAsia" w:ascii="宋体" w:hAnsi="宋体" w:eastAsia="宋体" w:cs="宋体"/>
          <w:bCs/>
          <w:color w:val="000000"/>
          <w:sz w:val="24"/>
          <w:szCs w:val="24"/>
        </w:rPr>
      </w:pPr>
      <w:r>
        <w:rPr>
          <w:rFonts w:hint="eastAsia" w:ascii="宋体" w:hAnsi="宋体" w:eastAsia="宋体" w:cs="宋体"/>
          <w:b/>
          <w:color w:val="000000"/>
          <w:sz w:val="24"/>
          <w:szCs w:val="24"/>
        </w:rPr>
        <w:t>验收质量标准：</w:t>
      </w:r>
      <w:r>
        <w:rPr>
          <w:rFonts w:hint="eastAsia" w:ascii="宋体" w:hAnsi="宋体" w:eastAsia="宋体" w:cs="宋体"/>
          <w:b/>
          <w:color w:val="000000"/>
          <w:sz w:val="24"/>
          <w:szCs w:val="24"/>
          <w:u w:val="single"/>
        </w:rPr>
        <w:t xml:space="preserve"> 合格 </w:t>
      </w:r>
      <w:r>
        <w:rPr>
          <w:rFonts w:hint="eastAsia" w:ascii="宋体" w:hAnsi="宋体" w:eastAsia="宋体" w:cs="宋体"/>
          <w:b/>
          <w:color w:val="000000"/>
          <w:sz w:val="24"/>
          <w:szCs w:val="24"/>
        </w:rPr>
        <w:t>标准。</w:t>
      </w:r>
    </w:p>
    <w:p>
      <w:pPr>
        <w:pStyle w:val="6"/>
        <w:spacing w:before="120" w:after="120" w:line="46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42" w:name="_Toc351203484"/>
      <w:r>
        <w:rPr>
          <w:rFonts w:hint="eastAsia" w:ascii="宋体" w:hAnsi="宋体" w:eastAsia="宋体" w:cs="宋体"/>
          <w:bCs w:val="0"/>
          <w:color w:val="000000"/>
          <w:sz w:val="24"/>
          <w:szCs w:val="24"/>
        </w:rPr>
        <w:t>四、签约合同价与合同价格形式</w:t>
      </w:r>
      <w:bookmarkEnd w:id="42"/>
      <w:r>
        <w:rPr>
          <w:rFonts w:hint="eastAsia" w:ascii="宋体" w:hAnsi="宋体" w:eastAsia="宋体" w:cs="宋体"/>
          <w:b w:val="0"/>
          <w:color w:val="000000"/>
          <w:sz w:val="24"/>
          <w:szCs w:val="24"/>
        </w:rPr>
        <w:tab/>
      </w:r>
    </w:p>
    <w:p>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1.签约合同价为：人民币（大写）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元)；</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sz w:val="24"/>
          <w:szCs w:val="24"/>
        </w:rPr>
        <w:t>：</w:t>
      </w:r>
      <w:r>
        <w:rPr>
          <w:rFonts w:hint="eastAsia" w:ascii="宋体" w:hAnsi="宋体" w:eastAsia="宋体" w:cs="宋体"/>
          <w:b/>
          <w:sz w:val="24"/>
          <w:szCs w:val="24"/>
        </w:rPr>
        <w:t>本合同采用</w:t>
      </w:r>
      <w:r>
        <w:rPr>
          <w:rFonts w:hint="eastAsia" w:ascii="宋体" w:hAnsi="宋体" w:eastAsia="宋体" w:cs="宋体"/>
          <w:b/>
          <w:color w:val="000000"/>
          <w:sz w:val="24"/>
          <w:szCs w:val="24"/>
          <w:u w:val="single"/>
        </w:rPr>
        <w:t xml:space="preserve"> 综合单价</w:t>
      </w:r>
      <w:r>
        <w:rPr>
          <w:rFonts w:hint="eastAsia" w:ascii="宋体" w:hAnsi="宋体" w:eastAsia="宋体" w:cs="宋体"/>
          <w:b/>
          <w:sz w:val="24"/>
          <w:szCs w:val="24"/>
          <w:u w:val="single"/>
        </w:rPr>
        <w:t xml:space="preserve"> </w:t>
      </w:r>
      <w:r>
        <w:rPr>
          <w:rFonts w:hint="eastAsia" w:ascii="宋体" w:hAnsi="宋体" w:eastAsia="宋体" w:cs="宋体"/>
          <w:b/>
          <w:sz w:val="24"/>
          <w:szCs w:val="24"/>
        </w:rPr>
        <w:t>合同形式</w:t>
      </w:r>
      <w:r>
        <w:rPr>
          <w:rFonts w:hint="eastAsia" w:ascii="宋体" w:hAnsi="宋体" w:eastAsia="宋体" w:cs="宋体"/>
          <w:sz w:val="24"/>
          <w:szCs w:val="24"/>
        </w:rPr>
        <w:t>。</w:t>
      </w:r>
    </w:p>
    <w:p>
      <w:pPr>
        <w:pStyle w:val="6"/>
        <w:spacing w:before="120" w:after="120" w:line="460" w:lineRule="exact"/>
        <w:rPr>
          <w:rFonts w:hint="eastAsia" w:ascii="宋体" w:hAnsi="宋体" w:eastAsia="宋体" w:cs="宋体"/>
          <w:b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bCs w:val="0"/>
          <w:color w:val="000000"/>
          <w:sz w:val="24"/>
          <w:szCs w:val="24"/>
        </w:rPr>
        <w:t xml:space="preserve"> </w:t>
      </w:r>
      <w:bookmarkStart w:id="43" w:name="_Toc351203485"/>
      <w:r>
        <w:rPr>
          <w:rFonts w:hint="eastAsia" w:ascii="宋体" w:hAnsi="宋体" w:eastAsia="宋体" w:cs="宋体"/>
          <w:color w:val="000000"/>
          <w:sz w:val="24"/>
          <w:szCs w:val="24"/>
        </w:rPr>
        <w:t>五、</w:t>
      </w:r>
      <w:bookmarkEnd w:id="43"/>
      <w:r>
        <w:rPr>
          <w:rFonts w:hint="eastAsia" w:ascii="宋体" w:hAnsi="宋体" w:eastAsia="宋体" w:cs="宋体"/>
          <w:color w:val="000000"/>
          <w:sz w:val="24"/>
          <w:szCs w:val="24"/>
        </w:rPr>
        <w:t>项目经理</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bCs/>
          <w:color w:val="000000"/>
          <w:sz w:val="24"/>
          <w:szCs w:val="24"/>
          <w:u w:val="single"/>
        </w:rPr>
        <w:t>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Style w:val="6"/>
        <w:spacing w:before="120" w:after="120" w:line="460" w:lineRule="exact"/>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bCs w:val="0"/>
          <w:color w:val="000000"/>
          <w:sz w:val="24"/>
          <w:szCs w:val="24"/>
        </w:rPr>
        <w:t xml:space="preserve">  </w:t>
      </w:r>
      <w:bookmarkStart w:id="44" w:name="_Toc351203486"/>
      <w:r>
        <w:rPr>
          <w:rFonts w:hint="eastAsia" w:ascii="宋体" w:hAnsi="宋体" w:eastAsia="宋体" w:cs="宋体"/>
          <w:color w:val="000000"/>
          <w:sz w:val="24"/>
          <w:szCs w:val="24"/>
        </w:rPr>
        <w:t>六、合同文件构成</w:t>
      </w:r>
      <w:bookmarkEnd w:id="44"/>
    </w:p>
    <w:p>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（1）中标通知书</w:t>
      </w:r>
      <w:r>
        <w:rPr>
          <w:rFonts w:hint="eastAsia" w:ascii="宋体" w:hAnsi="宋体" w:eastAsia="宋体" w:cs="宋体"/>
          <w:color w:val="FF6600"/>
          <w:sz w:val="24"/>
          <w:szCs w:val="24"/>
        </w:rPr>
        <w:t xml:space="preserve"> </w:t>
      </w:r>
      <w:r>
        <w:rPr>
          <w:rFonts w:hint="eastAsia" w:ascii="宋体" w:hAnsi="宋体" w:eastAsia="宋体" w:cs="宋体"/>
          <w:sz w:val="24"/>
          <w:szCs w:val="24"/>
        </w:rPr>
        <w:t>；</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（2）投标函及其附录</w:t>
      </w:r>
      <w:r>
        <w:rPr>
          <w:rFonts w:hint="eastAsia" w:ascii="宋体" w:hAnsi="宋体" w:eastAsia="宋体" w:cs="宋体"/>
          <w:color w:val="FF6600"/>
          <w:sz w:val="24"/>
          <w:szCs w:val="24"/>
        </w:rPr>
        <w:t xml:space="preserve"> </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pStyle w:val="6"/>
        <w:spacing w:before="120" w:after="120" w:line="46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color w:val="000000"/>
          <w:sz w:val="24"/>
          <w:szCs w:val="24"/>
        </w:rPr>
        <w:t xml:space="preserve"> </w:t>
      </w:r>
      <w:bookmarkStart w:id="45" w:name="_Toc351203487"/>
      <w:r>
        <w:rPr>
          <w:rFonts w:hint="eastAsia" w:ascii="宋体" w:hAnsi="宋体" w:eastAsia="宋体" w:cs="宋体"/>
          <w:color w:val="000000"/>
          <w:sz w:val="24"/>
          <w:szCs w:val="24"/>
        </w:rPr>
        <w:t>七、承诺</w:t>
      </w:r>
      <w:bookmarkEnd w:id="45"/>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1.发包人承诺按照法律规定履行项目审批手续、筹集工程建设资金并按照合同约定的期限和方式支付合同价款。</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3.发包人和承包人通过招投标形式签订合同的，双方理解并承诺不再就同一工程另行签订与合同实质性内容相背离的协议。</w:t>
      </w:r>
    </w:p>
    <w:p>
      <w:pPr>
        <w:spacing w:line="460" w:lineRule="exact"/>
        <w:rPr>
          <w:rFonts w:hint="eastAsia" w:ascii="宋体" w:hAnsi="宋体" w:eastAsia="宋体" w:cs="宋体"/>
          <w:color w:val="000000"/>
          <w:sz w:val="24"/>
          <w:szCs w:val="24"/>
        </w:rPr>
      </w:pPr>
      <w:bookmarkStart w:id="46" w:name="_Toc351203488"/>
      <w:r>
        <w:rPr>
          <w:rFonts w:hint="eastAsia" w:ascii="宋体" w:hAnsi="宋体" w:eastAsia="宋体" w:cs="宋体"/>
          <w:color w:val="000000"/>
          <w:sz w:val="24"/>
          <w:szCs w:val="24"/>
        </w:rPr>
        <w:t xml:space="preserve">    </w:t>
      </w:r>
      <w:r>
        <w:rPr>
          <w:rFonts w:hint="eastAsia" w:ascii="宋体" w:hAnsi="宋体" w:eastAsia="宋体" w:cs="宋体"/>
          <w:b/>
          <w:bCs/>
          <w:color w:val="000000"/>
          <w:sz w:val="24"/>
          <w:szCs w:val="24"/>
        </w:rPr>
        <w:t>八、词语含义</w:t>
      </w:r>
      <w:bookmarkEnd w:id="46"/>
    </w:p>
    <w:p>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pPr>
        <w:pStyle w:val="6"/>
        <w:spacing w:before="120" w:after="120" w:line="460" w:lineRule="exact"/>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r>
        <w:rPr>
          <w:rFonts w:hint="eastAsia" w:ascii="宋体" w:hAnsi="宋体" w:eastAsia="宋体" w:cs="宋体"/>
          <w:b w:val="0"/>
          <w:bCs w:val="0"/>
          <w:color w:val="000000"/>
          <w:sz w:val="24"/>
          <w:szCs w:val="24"/>
        </w:rPr>
        <w:t xml:space="preserve"> </w:t>
      </w:r>
      <w:bookmarkStart w:id="47" w:name="_Toc351203489"/>
      <w:r>
        <w:rPr>
          <w:rFonts w:hint="eastAsia" w:ascii="宋体" w:hAnsi="宋体" w:eastAsia="宋体" w:cs="宋体"/>
          <w:color w:val="000000"/>
          <w:sz w:val="24"/>
          <w:szCs w:val="24"/>
        </w:rPr>
        <w:t>九、签订时间</w:t>
      </w:r>
      <w:bookmarkEnd w:id="47"/>
    </w:p>
    <w:p>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日签订。</w:t>
      </w:r>
      <w:bookmarkStart w:id="48" w:name="_Toc351203490"/>
    </w:p>
    <w:p>
      <w:pPr>
        <w:numPr>
          <w:ilvl w:val="0"/>
          <w:numId w:val="3"/>
        </w:numPr>
        <w:spacing w:line="4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签订地点</w:t>
      </w:r>
      <w:bookmarkEnd w:id="48"/>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签订。</w:t>
      </w:r>
      <w:bookmarkStart w:id="49" w:name="_Toc351203491"/>
    </w:p>
    <w:p>
      <w:pPr>
        <w:numPr>
          <w:ilvl w:val="0"/>
          <w:numId w:val="3"/>
        </w:numPr>
        <w:spacing w:line="4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补充协议</w:t>
      </w:r>
      <w:bookmarkEnd w:id="49"/>
    </w:p>
    <w:p>
      <w:pPr>
        <w:spacing w:line="460" w:lineRule="exact"/>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合同未尽事宜，合同当事人另行签订补充协议，补充协议是合同的组成部分。</w:t>
      </w:r>
    </w:p>
    <w:p>
      <w:pPr>
        <w:pStyle w:val="6"/>
        <w:spacing w:before="120" w:after="120" w:line="46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bookmarkStart w:id="50" w:name="_Toc351203492"/>
      <w:r>
        <w:rPr>
          <w:rFonts w:hint="eastAsia" w:ascii="宋体" w:hAnsi="宋体" w:eastAsia="宋体" w:cs="宋体"/>
          <w:b w:val="0"/>
          <w:bCs w:val="0"/>
          <w:color w:val="000000"/>
          <w:sz w:val="24"/>
          <w:szCs w:val="24"/>
        </w:rPr>
        <w:t>十二、合同生效</w:t>
      </w:r>
      <w:bookmarkEnd w:id="50"/>
    </w:p>
    <w:p>
      <w:pPr>
        <w:pStyle w:val="6"/>
        <w:spacing w:before="120" w:after="120" w:line="46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本合同自</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生效。</w:t>
      </w:r>
    </w:p>
    <w:p>
      <w:pPr>
        <w:pStyle w:val="6"/>
        <w:spacing w:before="120" w:after="120" w:line="46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bookmarkStart w:id="51" w:name="_Toc351203493"/>
      <w:r>
        <w:rPr>
          <w:rFonts w:hint="eastAsia" w:ascii="宋体" w:hAnsi="宋体" w:eastAsia="宋体" w:cs="宋体"/>
          <w:b w:val="0"/>
          <w:bCs w:val="0"/>
          <w:color w:val="000000"/>
          <w:sz w:val="24"/>
          <w:szCs w:val="24"/>
        </w:rPr>
        <w:t>十三、合同份数</w:t>
      </w:r>
      <w:bookmarkEnd w:id="51"/>
    </w:p>
    <w:p>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份，均具有同等法律效力，发包人执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w:t>
      </w:r>
    </w:p>
    <w:p>
      <w:pPr>
        <w:spacing w:line="460" w:lineRule="exact"/>
        <w:ind w:firstLine="480" w:firstLineChars="200"/>
        <w:rPr>
          <w:rFonts w:hint="eastAsia" w:ascii="宋体" w:hAnsi="宋体" w:eastAsia="宋体" w:cs="宋体"/>
          <w:color w:val="000000"/>
          <w:sz w:val="24"/>
          <w:szCs w:val="24"/>
        </w:rPr>
      </w:pP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发包人：  (公章)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承包人：  (公章)                          </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法定代表人或其委托代理人：</w:t>
      </w:r>
    </w:p>
    <w:p>
      <w:pPr>
        <w:spacing w:line="460" w:lineRule="exact"/>
        <w:ind w:firstLine="1200" w:firstLineChars="500"/>
        <w:rPr>
          <w:rFonts w:hint="eastAsia" w:ascii="宋体" w:hAnsi="宋体" w:eastAsia="宋体" w:cs="宋体"/>
          <w:color w:val="000000"/>
          <w:sz w:val="24"/>
          <w:szCs w:val="24"/>
        </w:rPr>
      </w:pPr>
      <w:r>
        <w:rPr>
          <w:rFonts w:hint="eastAsia" w:ascii="宋体" w:hAnsi="宋体" w:eastAsia="宋体" w:cs="宋体"/>
          <w:color w:val="000000"/>
          <w:sz w:val="24"/>
          <w:szCs w:val="24"/>
        </w:rPr>
        <w:t>（签字</w:t>
      </w:r>
      <w:r>
        <w:rPr>
          <w:rFonts w:hint="eastAsia" w:ascii="宋体" w:hAnsi="宋体" w:cs="宋体"/>
          <w:color w:val="000000"/>
          <w:sz w:val="24"/>
          <w:szCs w:val="24"/>
          <w:lang w:val="en-US" w:eastAsia="zh-CN"/>
        </w:rPr>
        <w:t>或盖章</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（签字</w:t>
      </w:r>
      <w:r>
        <w:rPr>
          <w:rFonts w:hint="eastAsia" w:ascii="宋体" w:hAnsi="宋体" w:cs="宋体"/>
          <w:color w:val="000000"/>
          <w:sz w:val="24"/>
          <w:szCs w:val="24"/>
          <w:lang w:val="en-US" w:eastAsia="zh-CN"/>
        </w:rPr>
        <w:t>或盖章</w:t>
      </w:r>
      <w:r>
        <w:rPr>
          <w:rFonts w:hint="eastAsia" w:ascii="宋体" w:hAnsi="宋体" w:eastAsia="宋体" w:cs="宋体"/>
          <w:color w:val="000000"/>
          <w:sz w:val="24"/>
          <w:szCs w:val="24"/>
        </w:rPr>
        <w:t>）</w:t>
      </w:r>
    </w:p>
    <w:p>
      <w:pPr>
        <w:pStyle w:val="4"/>
        <w:rPr>
          <w:rFonts w:hint="eastAsia" w:ascii="宋体" w:hAnsi="宋体" w:eastAsia="宋体" w:cs="宋体"/>
          <w:b w:val="0"/>
          <w:bCs w:val="0"/>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 xml:space="preserve">日期：  年   月   日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日期：  年   月   日</w:t>
      </w: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widowControl/>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br w:type="page"/>
      </w:r>
    </w:p>
    <w:p>
      <w:pPr>
        <w:widowControl/>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第二节   通用合同条款</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b/>
          <w:kern w:val="0"/>
          <w:sz w:val="24"/>
          <w:szCs w:val="24"/>
        </w:rPr>
        <w:t>通用合同条款（见《建设工程施工合同示范文本》2013版</w:t>
      </w:r>
    </w:p>
    <w:p>
      <w:pPr>
        <w:pStyle w:val="4"/>
        <w:pageBreakBefore/>
        <w:spacing w:line="413" w:lineRule="auto"/>
        <w:ind w:firstLine="3494" w:firstLineChars="1450"/>
        <w:rPr>
          <w:rFonts w:hint="eastAsia" w:ascii="宋体" w:hAnsi="宋体" w:eastAsia="宋体" w:cs="宋体"/>
          <w:sz w:val="24"/>
          <w:szCs w:val="24"/>
        </w:rPr>
      </w:pPr>
      <w:bookmarkStart w:id="52" w:name="_Toc383094732"/>
      <w:bookmarkStart w:id="53" w:name="_Toc448765316"/>
      <w:bookmarkStart w:id="54" w:name="_Toc389643016"/>
      <w:bookmarkStart w:id="55" w:name="_Toc381714529"/>
      <w:bookmarkStart w:id="56" w:name="_Toc295124071"/>
      <w:bookmarkStart w:id="57" w:name="_Toc416701275"/>
      <w:r>
        <w:rPr>
          <w:rFonts w:hint="eastAsia" w:ascii="宋体" w:hAnsi="宋体" w:eastAsia="宋体" w:cs="宋体"/>
          <w:sz w:val="24"/>
          <w:szCs w:val="24"/>
        </w:rPr>
        <w:t>第三节  专用合同条款</w:t>
      </w:r>
      <w:bookmarkEnd w:id="52"/>
      <w:bookmarkEnd w:id="53"/>
      <w:bookmarkEnd w:id="54"/>
      <w:bookmarkEnd w:id="55"/>
      <w:bookmarkEnd w:id="56"/>
    </w:p>
    <w:bookmarkEnd w:id="57"/>
    <w:p>
      <w:pPr>
        <w:pStyle w:val="5"/>
        <w:rPr>
          <w:rFonts w:hint="eastAsia" w:ascii="宋体" w:hAnsi="宋体" w:eastAsia="宋体" w:cs="宋体"/>
          <w:sz w:val="24"/>
          <w:szCs w:val="24"/>
        </w:rPr>
      </w:pPr>
      <w:r>
        <w:rPr>
          <w:rFonts w:hint="eastAsia" w:ascii="宋体" w:hAnsi="宋体" w:eastAsia="宋体" w:cs="宋体"/>
          <w:sz w:val="24"/>
          <w:szCs w:val="24"/>
        </w:rPr>
        <w:t>1.一般约定</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1.1词语定义</w:t>
      </w:r>
    </w:p>
    <w:p>
      <w:pPr>
        <w:spacing w:before="48" w:beforeLines="2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1.1.2合同当事人和人员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1.1.2.2发包人：</w:t>
      </w:r>
      <w:r>
        <w:rPr>
          <w:rFonts w:hint="eastAsia" w:ascii="宋体" w:hAnsi="宋体" w:eastAsia="宋体" w:cs="宋体"/>
          <w:kern w:val="0"/>
          <w:sz w:val="24"/>
          <w:szCs w:val="24"/>
          <w:u w:val="single"/>
          <w:lang w:eastAsia="zh-CN"/>
        </w:rPr>
        <w:t>邹城市</w:t>
      </w:r>
      <w:r>
        <w:rPr>
          <w:rFonts w:hint="eastAsia" w:ascii="宋体" w:hAnsi="宋体" w:eastAsia="宋体" w:cs="宋体"/>
          <w:kern w:val="0"/>
          <w:sz w:val="24"/>
          <w:szCs w:val="24"/>
          <w:u w:val="single"/>
          <w:lang w:val="en-US" w:eastAsia="zh-CN"/>
        </w:rPr>
        <w:t>北宿镇东故下村村民委员会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1.1.2.6监理人：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1.1.2.8发包人代表：指发包人指定的派驻施工场地(现场)的全权代表。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职    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1.1.2.9 专业分包人：指根据合同条款第15.8.1项的约定，由发包人和承包人以招标方式选择的分包人。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1.1.2.10 专项供应商：指根据合同条款第15.8.1项的约定，由发包人和承包人以招标方式选择的供应商。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1.1.2.11独立承包人：指与发包人直接订立工程承包合同，负责实施与工程有关的其他工作的当事人。</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1.1.3工程和设备</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1.1.3.2永久工程：</w:t>
      </w:r>
      <w:r>
        <w:rPr>
          <w:rFonts w:hint="eastAsia" w:ascii="宋体" w:hAnsi="宋体" w:eastAsia="宋体" w:cs="宋体"/>
          <w:sz w:val="24"/>
          <w:szCs w:val="24"/>
          <w:u w:val="single"/>
        </w:rPr>
        <w:t xml:space="preserve">按合同约定建造并移交给发包人的工程，包括工程设备       </w:t>
      </w:r>
      <w:r>
        <w:rPr>
          <w:rFonts w:hint="eastAsia" w:ascii="宋体" w:hAnsi="宋体" w:eastAsia="宋体" w:cs="宋体"/>
          <w:sz w:val="24"/>
          <w:szCs w:val="24"/>
        </w:rPr>
        <w:t>。</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1.1.3.3临时工程：</w:t>
      </w:r>
      <w:r>
        <w:rPr>
          <w:rFonts w:hint="eastAsia" w:ascii="宋体" w:hAnsi="宋体" w:eastAsia="宋体" w:cs="宋体"/>
          <w:sz w:val="24"/>
          <w:szCs w:val="24"/>
          <w:u w:val="single"/>
        </w:rPr>
        <w:t>为完成合同约定的永久工程所修建的各类临时性工程，不包括施工设备</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1.1.3.4单位工程：指具有相对独立的设计文件，能够独立组织施工并能形成独立使用功能的永久工程的组成部分。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1.1.3.10永久占地：</w:t>
      </w:r>
      <w:r>
        <w:rPr>
          <w:rFonts w:hint="eastAsia" w:ascii="宋体" w:hAnsi="宋体" w:eastAsia="宋体" w:cs="宋体"/>
          <w:sz w:val="24"/>
          <w:szCs w:val="24"/>
          <w:u w:val="single"/>
        </w:rPr>
        <w:t xml:space="preserve">指为实施本合同工程而需要的一切永久占用的土地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1.1.3.11临时占地：</w:t>
      </w:r>
      <w:r>
        <w:rPr>
          <w:rFonts w:hint="eastAsia" w:ascii="宋体" w:hAnsi="宋体" w:eastAsia="宋体" w:cs="宋体"/>
          <w:sz w:val="24"/>
          <w:szCs w:val="24"/>
          <w:u w:val="single"/>
        </w:rPr>
        <w:t>指为实施本合同工程而需要的一切临时占用的土地</w:t>
      </w:r>
      <w:r>
        <w:rPr>
          <w:rFonts w:hint="eastAsia" w:ascii="宋体" w:hAnsi="宋体" w:eastAsia="宋体" w:cs="宋体"/>
          <w:sz w:val="24"/>
          <w:szCs w:val="24"/>
        </w:rPr>
        <w:t>。</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1.1.4日期</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1.1.4.5缺陷责任期期限：</w:t>
      </w:r>
      <w:r>
        <w:rPr>
          <w:rFonts w:hint="eastAsia" w:ascii="宋体" w:hAnsi="宋体" w:eastAsia="宋体" w:cs="宋体"/>
          <w:sz w:val="24"/>
          <w:szCs w:val="24"/>
          <w:u w:val="single"/>
        </w:rPr>
        <w:t>24个月</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1.1.6其他</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1.1.6.2材料：指构成或将构成永久工程组成部分的各类物品(工程设备除外)，包括合同中可能约定的承包人仅负责供应的材料。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1.1.6.4除另有特别指明外，专用合同条款中使用的措辞“合同条款”指通用合同条款和(或)专用合同条款。</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1.4合同文件的优先顺序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合同文件的优先解释顺序如下：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(1)合同协议书；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(2)中标通知书；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(3)投标函及投标函附录；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(4)专用合同条款；</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(5)通用合同条款；</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(6)技术标准和要求；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(7)图纸；</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(8)已标价工程量清单；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(9)其他合同文件。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合同协议书中约定采用总价合同形式的，已标价工程量清单中的各项工程量对合同双方不具合同约束力。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图纸与技术标准和要求之间有矛盾或者不一致的，以其中要求较严格的标准为准。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合同双方在合同履行过程中签订的补充协议亦构成合同文件的组成部分，其解释顺序视其内容与其他合同文件的相互关系而定。</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1.5合同协议书</w:t>
      </w:r>
    </w:p>
    <w:p>
      <w:pPr>
        <w:spacing w:before="120" w:beforeLines="50" w:after="120" w:afterLines="5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合同生效的条件：</w:t>
      </w:r>
      <w:r>
        <w:rPr>
          <w:rFonts w:hint="eastAsia" w:ascii="宋体" w:hAnsi="宋体" w:eastAsia="宋体" w:cs="宋体"/>
          <w:sz w:val="24"/>
          <w:szCs w:val="24"/>
          <w:u w:val="single"/>
        </w:rPr>
        <w:t>发包人和承包人的法定代表人或其委托代理人在合同协议书上签字并盖单位章后，合同生效</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1.6图纸和承包人文件</w:t>
      </w:r>
    </w:p>
    <w:p>
      <w:pPr>
        <w:spacing w:before="120" w:beforeLines="50" w:after="120" w:afterLines="5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1.6.1图纸的提供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(1)发包人按照合同条款本项的约定向承包人提供图纸。承包人需要增加图纸套数的，发包人应代为复制，复制费用由承包人承担。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(3)发包人提供图纸的期限：</w:t>
      </w:r>
      <w:r>
        <w:rPr>
          <w:rFonts w:hint="eastAsia" w:ascii="宋体" w:hAnsi="宋体" w:eastAsia="宋体" w:cs="宋体"/>
          <w:sz w:val="24"/>
          <w:szCs w:val="24"/>
          <w:u w:val="single"/>
        </w:rPr>
        <w:t>开工前三天</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(4)发包人提供图纸的数量：</w:t>
      </w:r>
      <w:r>
        <w:rPr>
          <w:rFonts w:hint="eastAsia" w:ascii="宋体" w:hAnsi="宋体" w:eastAsia="宋体" w:cs="宋体"/>
          <w:sz w:val="24"/>
          <w:szCs w:val="24"/>
          <w:u w:val="single"/>
        </w:rPr>
        <w:t xml:space="preserve"> 三套 </w:t>
      </w:r>
      <w:r>
        <w:rPr>
          <w:rFonts w:hint="eastAsia" w:ascii="宋体" w:hAnsi="宋体" w:eastAsia="宋体" w:cs="宋体"/>
          <w:sz w:val="24"/>
          <w:szCs w:val="24"/>
        </w:rPr>
        <w:t>。</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1.6.2承包人提供的文件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sz w:val="24"/>
          <w:szCs w:val="24"/>
          <w:u w:val="single"/>
        </w:rPr>
        <w:t xml:space="preserve">   需要时按发包人及监理人要求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(2)承包人提供文件的期限：</w:t>
      </w:r>
      <w:r>
        <w:rPr>
          <w:rFonts w:hint="eastAsia" w:ascii="宋体" w:hAnsi="宋体" w:eastAsia="宋体" w:cs="宋体"/>
          <w:sz w:val="24"/>
          <w:szCs w:val="24"/>
          <w:u w:val="single"/>
        </w:rPr>
        <w:t xml:space="preserve">  按发包人及监理人要求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(3)承包人提供文件的数量：</w:t>
      </w:r>
      <w:r>
        <w:rPr>
          <w:rFonts w:hint="eastAsia" w:ascii="宋体" w:hAnsi="宋体" w:eastAsia="宋体" w:cs="宋体"/>
          <w:sz w:val="24"/>
          <w:szCs w:val="24"/>
          <w:u w:val="single"/>
        </w:rPr>
        <w:t xml:space="preserve">  按发包人及监理人要求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(4)监理人批复承包人提供文件的期限：</w:t>
      </w:r>
      <w:r>
        <w:rPr>
          <w:rFonts w:hint="eastAsia" w:ascii="宋体" w:hAnsi="宋体" w:eastAsia="宋体" w:cs="宋体"/>
          <w:sz w:val="24"/>
          <w:szCs w:val="24"/>
          <w:u w:val="single"/>
        </w:rPr>
        <w:t xml:space="preserve">  收到承包人提供的文件后7天内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(5)其他约定：</w:t>
      </w:r>
      <w:r>
        <w:rPr>
          <w:rFonts w:hint="eastAsia" w:ascii="宋体" w:hAnsi="宋体" w:eastAsia="宋体" w:cs="宋体"/>
          <w:sz w:val="24"/>
          <w:szCs w:val="24"/>
          <w:u w:val="single"/>
        </w:rPr>
        <w:t xml:space="preserve">                  /                                             </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1.6.3图纸的修改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监理人应当按照合同条款第1.6.1(2)目约定的有合同约束力的图纸供应计划，签发图纸修改图给承包人。</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1.7联络</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1.7.2联络来往函件的送达和接收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(2)发包人指定的接收地点：</w:t>
      </w:r>
      <w:r>
        <w:rPr>
          <w:rFonts w:hint="eastAsia" w:ascii="宋体" w:hAnsi="宋体" w:eastAsia="宋体" w:cs="宋体"/>
          <w:sz w:val="24"/>
          <w:szCs w:val="24"/>
          <w:u w:val="single"/>
        </w:rPr>
        <w:t xml:space="preserve"> 本工程现场发包人代表办公室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(3)发包人指定的接收人为：</w:t>
      </w:r>
      <w:r>
        <w:rPr>
          <w:rFonts w:hint="eastAsia" w:ascii="宋体" w:hAnsi="宋体" w:eastAsia="宋体" w:cs="宋体"/>
          <w:sz w:val="24"/>
          <w:szCs w:val="24"/>
          <w:u w:val="single"/>
        </w:rPr>
        <w:t xml:space="preserve"> 发包人代表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(4)监理人指定的接收地点：</w:t>
      </w:r>
      <w:r>
        <w:rPr>
          <w:rFonts w:hint="eastAsia" w:ascii="宋体" w:hAnsi="宋体" w:eastAsia="宋体" w:cs="宋体"/>
          <w:sz w:val="24"/>
          <w:szCs w:val="24"/>
          <w:u w:val="single"/>
        </w:rPr>
        <w:t xml:space="preserve"> 本工程现场总监代表办公室                     </w:t>
      </w:r>
      <w:r>
        <w:rPr>
          <w:rFonts w:hint="eastAsia" w:ascii="宋体" w:hAnsi="宋体" w:eastAsia="宋体" w:cs="宋体"/>
          <w:sz w:val="24"/>
          <w:szCs w:val="24"/>
        </w:rPr>
        <w:t>。</w:t>
      </w:r>
    </w:p>
    <w:p>
      <w:p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(5)监理人指定的接收人为：</w:t>
      </w:r>
      <w:r>
        <w:rPr>
          <w:rFonts w:hint="eastAsia" w:ascii="宋体" w:hAnsi="宋体" w:eastAsia="宋体" w:cs="宋体"/>
          <w:sz w:val="24"/>
          <w:szCs w:val="24"/>
          <w:u w:val="single"/>
        </w:rPr>
        <w:t xml:space="preserve"> 总监或总监代表</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5"/>
        <w:rPr>
          <w:rFonts w:hint="eastAsia" w:ascii="宋体" w:hAnsi="宋体" w:eastAsia="宋体" w:cs="宋体"/>
          <w:sz w:val="24"/>
          <w:szCs w:val="24"/>
        </w:rPr>
      </w:pPr>
      <w:r>
        <w:rPr>
          <w:rFonts w:hint="eastAsia" w:ascii="宋体" w:hAnsi="宋体" w:eastAsia="宋体" w:cs="宋体"/>
          <w:sz w:val="24"/>
          <w:szCs w:val="24"/>
        </w:rPr>
        <w:t>2.发包人义务</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2.3提供施工场地</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施工场地应当在监理人发出的开工通知中载明的开工日期前</w:t>
      </w:r>
      <w:r>
        <w:rPr>
          <w:rFonts w:hint="eastAsia" w:ascii="宋体" w:hAnsi="宋体" w:eastAsia="宋体" w:cs="宋体"/>
          <w:sz w:val="24"/>
          <w:szCs w:val="24"/>
          <w:u w:val="single"/>
        </w:rPr>
        <w:t xml:space="preserve"> 3 </w:t>
      </w:r>
      <w:r>
        <w:rPr>
          <w:rFonts w:hint="eastAsia" w:ascii="宋体" w:hAnsi="宋体" w:eastAsia="宋体" w:cs="宋体"/>
          <w:sz w:val="24"/>
          <w:szCs w:val="24"/>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2.5组织设计交底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2.8其他义务</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(1)按有关规定及时办理工程质量监督手续。</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(4)发包人应当履行合同约定的其他义务以及下述义务：</w:t>
      </w:r>
      <w:r>
        <w:rPr>
          <w:rFonts w:hint="eastAsia" w:ascii="宋体" w:hAnsi="宋体" w:eastAsia="宋体" w:cs="宋体"/>
          <w:sz w:val="24"/>
          <w:szCs w:val="24"/>
          <w:u w:val="single"/>
        </w:rPr>
        <w:t xml:space="preserve">            /               </w:t>
      </w:r>
    </w:p>
    <w:p>
      <w:pPr>
        <w:pStyle w:val="5"/>
        <w:rPr>
          <w:rFonts w:hint="eastAsia" w:ascii="宋体" w:hAnsi="宋体" w:eastAsia="宋体" w:cs="宋体"/>
          <w:sz w:val="24"/>
          <w:szCs w:val="24"/>
        </w:rPr>
      </w:pPr>
      <w:r>
        <w:rPr>
          <w:rFonts w:hint="eastAsia" w:ascii="宋体" w:hAnsi="宋体" w:eastAsia="宋体" w:cs="宋体"/>
          <w:sz w:val="24"/>
          <w:szCs w:val="24"/>
        </w:rPr>
        <w:t>3.监理人</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3.1监理人的职责和权力</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3.1.1须经发包人批准行使的权力：</w:t>
      </w:r>
      <w:r>
        <w:rPr>
          <w:rFonts w:hint="eastAsia" w:ascii="宋体" w:hAnsi="宋体" w:eastAsia="宋体" w:cs="宋体"/>
          <w:sz w:val="24"/>
          <w:szCs w:val="24"/>
          <w:u w:val="single"/>
        </w:rPr>
        <w:t xml:space="preserve"> 涉及本工程分包、变更、费用、质量、工期的事项及监理合同中须发包人批准才能行使的监理人的权力。  </w:t>
      </w:r>
    </w:p>
    <w:p>
      <w:pPr>
        <w:spacing w:line="400" w:lineRule="exact"/>
        <w:rPr>
          <w:rFonts w:hint="eastAsia" w:ascii="宋体" w:hAnsi="宋体" w:eastAsia="宋体" w:cs="宋体"/>
          <w:sz w:val="24"/>
          <w:szCs w:val="24"/>
        </w:rPr>
      </w:pPr>
      <w:r>
        <w:rPr>
          <w:rFonts w:hint="eastAsia" w:ascii="宋体" w:hAnsi="宋体" w:eastAsia="宋体" w:cs="宋体"/>
          <w:sz w:val="24"/>
          <w:szCs w:val="24"/>
        </w:rPr>
        <w:t>不管通用合同条款第3.1.1项如何约定，监理人履行须经发包人批准行使的权力时，应当向承包人出示其行使该权力已经取得发包人批准的文件或者其他合法有效的证明。</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3.3监理人员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3.3.4总监理工程师不应将第3.5款约定应由总监理工程师作出确定的权力授权或者委托给其他监理人员。</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3.4监理人的指示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3.4.4除通用合同条款已有的专门约定外，承包人只能从总监理工程师或按第3.3.1项授权的监理人员处取得指示，发包人应当通过监理人向承包人发出指示。</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3.6监理人的宽恕</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rPr>
          <w:rFonts w:hint="eastAsia" w:ascii="宋体" w:hAnsi="宋体" w:eastAsia="宋体" w:cs="宋体"/>
          <w:sz w:val="24"/>
          <w:szCs w:val="24"/>
        </w:rPr>
      </w:pPr>
      <w:r>
        <w:rPr>
          <w:rFonts w:hint="eastAsia" w:ascii="宋体" w:hAnsi="宋体" w:eastAsia="宋体" w:cs="宋体"/>
          <w:sz w:val="24"/>
          <w:szCs w:val="24"/>
        </w:rPr>
        <w:t>4.承包人</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4.1承包人的一般义务</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4.1.8为他人提供方便</w:t>
      </w:r>
    </w:p>
    <w:p>
      <w:pPr>
        <w:spacing w:line="3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sz w:val="24"/>
          <w:szCs w:val="24"/>
          <w:u w:val="single"/>
        </w:rPr>
        <w:t xml:space="preserve">根据施工过程中实际情况由发包人和监理人指派并审批 </w:t>
      </w:r>
      <w:r>
        <w:rPr>
          <w:rFonts w:hint="eastAsia" w:ascii="宋体" w:hAnsi="宋体" w:eastAsia="宋体" w:cs="宋体"/>
          <w:sz w:val="24"/>
          <w:szCs w:val="24"/>
        </w:rPr>
        <w:t>。</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(2)承包人还应按监理人指示为独立承包人以外的他人在施工场地或者附近实施与合同工程有关的其他工作提供可能的条件，可能发生费用由监理人按第3.5款商定或者确定。</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4.1.10其他义务</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sz w:val="24"/>
          <w:szCs w:val="24"/>
          <w:u w:val="single"/>
        </w:rPr>
        <w:t xml:space="preserve">需要时发包人与承包人另行约定         </w:t>
      </w:r>
      <w:r>
        <w:rPr>
          <w:rFonts w:hint="eastAsia" w:ascii="宋体" w:hAnsi="宋体" w:eastAsia="宋体" w:cs="宋体"/>
          <w:sz w:val="24"/>
          <w:szCs w:val="24"/>
        </w:rPr>
        <w:t>。</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(2)承包人应履行合同约定的其他义务以及下述义务：</w:t>
      </w:r>
      <w:r>
        <w:rPr>
          <w:rFonts w:hint="eastAsia" w:ascii="宋体" w:hAnsi="宋体" w:eastAsia="宋体" w:cs="宋体"/>
          <w:sz w:val="24"/>
          <w:szCs w:val="24"/>
          <w:u w:val="single"/>
        </w:rPr>
        <w:t xml:space="preserve">需要时发包人与承包人另行约定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4.2履约担保</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4.2.1履约担保的格式和金额</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的金额为</w:t>
      </w:r>
      <w:r>
        <w:rPr>
          <w:rFonts w:hint="eastAsia" w:ascii="宋体" w:hAnsi="宋体" w:eastAsia="宋体" w:cs="宋体"/>
          <w:b/>
          <w:sz w:val="24"/>
          <w:szCs w:val="24"/>
          <w:u w:val="single"/>
        </w:rPr>
        <w:t xml:space="preserve">    /  </w:t>
      </w:r>
      <w:r>
        <w:rPr>
          <w:rFonts w:hint="eastAsia" w:ascii="宋体" w:hAnsi="宋体" w:eastAsia="宋体" w:cs="宋体"/>
          <w:b/>
          <w:sz w:val="24"/>
          <w:szCs w:val="24"/>
        </w:rPr>
        <w:t>。</w:t>
      </w:r>
      <w:r>
        <w:rPr>
          <w:rFonts w:hint="eastAsia" w:ascii="宋体" w:hAnsi="宋体" w:eastAsia="宋体" w:cs="宋体"/>
          <w:sz w:val="24"/>
          <w:szCs w:val="24"/>
        </w:rPr>
        <w:t>履约担保是本合同的附件。</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4.2.2履约担保的有效期</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4.2.3履约担保的退还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履约担保应在监理人向承包人颁发(出具)工程接收证书之日后28天内退还给承包人。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发包人不承担承包人与履约担保有关的任何利息或其它类似的费用或者收益。</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4.2.4通知义务</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4.3分包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4.3.2发包人同意承包人分包的非主体、非关键性工作见投标函附录。除通用合同条款第4.3款的约定外，分包还应遵循以下约定：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(3)在相关分包合同签订并报送有关建设行政主管部门备案后7天内，承包人应当将一份副本提交给监理人，承包人应保障分包工作不得再次分包。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(5)未经发包人和监理人审批同意的分包工程和分包人，发包人有权拒绝验收分包工程和支付相应款项，由此引起的发包人费用增加和(或)延误的工期由承包人承担。</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4.5承包人项目经理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rPr>
        <w:t>4.5.2</w:t>
      </w:r>
      <w:r>
        <w:rPr>
          <w:rFonts w:hint="eastAsia" w:ascii="宋体" w:hAnsi="宋体" w:eastAsia="宋体" w:cs="宋体"/>
          <w:b/>
          <w:bCs/>
          <w:sz w:val="24"/>
          <w:szCs w:val="24"/>
          <w:u w:val="single"/>
        </w:rPr>
        <w:t>项目经理及管理班子人员名单（包括技术负责人、质检员、安全员、材料员、劳务员、施工员、资料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若发包人认为上述人员无法满足项目需求的，有权要求承包人更换合格的项目班子成员，承包人拒不更换的，发包人有权解除合同，所有损失由承包人承担。</w:t>
      </w:r>
    </w:p>
    <w:p>
      <w:pPr>
        <w:spacing w:line="40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本项目以上所列的现场管理人员，在施工现场工作时间每周不低于5天，每天工作不低于8小时，否则按照项目经理2000元/天，其余管理人员500元/天支付违约金给发包人。</w:t>
      </w:r>
    </w:p>
    <w:p>
      <w:pPr>
        <w:spacing w:line="40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按照相关法规约定承包人不得擅自变更招标文件中明确的项目经理。如遇不可抗力（相关法律法规约定的事件）原因项目经理确需变更的，必须报请经建设单位书面同意，方可更换。未经建设单位同意私自更换项目经理的，承包人按合同总额的3%支付违约金给发包人。</w:t>
      </w:r>
    </w:p>
    <w:p>
      <w:pPr>
        <w:spacing w:line="40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按照相关法规约定承包人不得擅自变更招标文件中明确的项目管理人员。如遇不可抗力（相关法律法规约定的事件）原因项目管理人员确需变更的，必须报请经建设单位书面同意，方可更换。未经建设单位同意私自更换每位项目管理人员的，承包人按合同总额1%支付违约金给发包人。</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u w:val="single"/>
        </w:rPr>
        <w:t>本条未提到的项目经理其它权利和义务执行合同通用条款</w:t>
      </w:r>
      <w:r>
        <w:rPr>
          <w:rFonts w:hint="eastAsia" w:ascii="宋体" w:hAnsi="宋体" w:eastAsia="宋体" w:cs="宋体"/>
          <w:b/>
          <w:bCs/>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4.11不利物质条件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4.11.1不利物质条件的范围：</w:t>
      </w:r>
      <w:r>
        <w:rPr>
          <w:rFonts w:hint="eastAsia" w:ascii="宋体" w:hAnsi="宋体" w:eastAsia="宋体" w:cs="宋体"/>
          <w:sz w:val="24"/>
          <w:szCs w:val="24"/>
          <w:u w:val="single"/>
        </w:rPr>
        <w:t>不利物质条件指承包人在施工场地遇到的不可预见的自然物质条件、非自然的物质障碍和污染物，包括地下和水文条件，但不包括气候条件。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4.11.3</w:t>
      </w:r>
      <w:r>
        <w:rPr>
          <w:rFonts w:hint="eastAsia" w:ascii="宋体" w:hAnsi="宋体" w:eastAsia="宋体" w:cs="宋体"/>
          <w:sz w:val="24"/>
          <w:szCs w:val="24"/>
          <w:u w:val="single"/>
        </w:rPr>
        <w:t>在不利物质条件发生之前，监理人已经指示承包人有可能发生，但承包人未能及时采取有效措施，而导致的损失和后果均由承包人承担。</w:t>
      </w:r>
    </w:p>
    <w:p>
      <w:pPr>
        <w:pStyle w:val="5"/>
        <w:spacing w:before="48" w:beforeLines="20"/>
        <w:rPr>
          <w:rFonts w:hint="eastAsia" w:ascii="宋体" w:hAnsi="宋体" w:eastAsia="宋体" w:cs="宋体"/>
          <w:sz w:val="24"/>
          <w:szCs w:val="24"/>
        </w:rPr>
      </w:pPr>
      <w:r>
        <w:rPr>
          <w:rFonts w:hint="eastAsia" w:ascii="宋体" w:hAnsi="宋体" w:eastAsia="宋体" w:cs="宋体"/>
          <w:sz w:val="24"/>
          <w:szCs w:val="24"/>
        </w:rPr>
        <w:t>5.材料和工程设备</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5.1承包人提供的材料和工程设备</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工程所发生的材料均需为技术监督、质量检测检验等部门核准同意产品，并须提交第三方检验检测机构出具的产品合格检验检测报告，且一切相关检测、复检、各级（各类）验收、协调等费用（含第三方检验机构的费用）应综合考虑在投标报价中。</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承包人使用的主要材料不得使用贴牌产品，否则每发现一次，承包人需向发包人支付合同造价1%的违约金，已经使用的由承包人按要求负责拆除，并重新采购，承担造成的一切损失，由此延误的工期不予顺延。</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发包人有权择优选择或调整工程中使用的主要材料，并据实调增（减）材料价格，承包人需积极配合。</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承包人采购的材料到货后必须履行检验批报审手续，经检验合格并得到监理工程师发出的书面认定后，承包人方可投入使用，否则不能使用并不予结算。</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发包人和监理工程师对材料供应商的决定或认可并不解除承包人对工程质量、工期的责任，也不解除承包人对材料应负的责任。</w:t>
      </w:r>
    </w:p>
    <w:p>
      <w:pPr>
        <w:spacing w:line="44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承包人负责提供的材料和工程设备，技术标准和要求中有规定的必须优于或等同于技术标准和要求中的规定。</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bCs/>
          <w:sz w:val="24"/>
          <w:szCs w:val="24"/>
          <w:u w:val="single"/>
        </w:rPr>
        <w:t>承包人负责提供的主要材料和工程设备必须经发包人和承包人共同考察，经发包人确定材料品</w:t>
      </w:r>
      <w:r>
        <w:rPr>
          <w:rFonts w:hint="eastAsia" w:ascii="宋体" w:hAnsi="宋体" w:eastAsia="宋体" w:cs="宋体"/>
          <w:b/>
          <w:sz w:val="24"/>
          <w:szCs w:val="24"/>
          <w:u w:val="single"/>
        </w:rPr>
        <w:t>牌、规格后方可投入工程。</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发包人对承包人确定的供应商及各种材料的厂家、品牌具有监督审核权，若发包人人认为承包人确定的供应商无法满足设计及使用要求时，承包人应按设计及使用要求更换合格的设备、材料供应商。承包人拒不更换的，视为承包人违约，发包人有权单方面解除合同，所有损失由承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5.1.2承包人将由其提供的材料和工程设备的供货人及品种、规格、数量和供货时间等报送监理人审批的期限：</w:t>
      </w:r>
      <w:r>
        <w:rPr>
          <w:rFonts w:hint="eastAsia" w:ascii="宋体" w:hAnsi="宋体" w:eastAsia="宋体" w:cs="宋体"/>
          <w:sz w:val="24"/>
          <w:szCs w:val="24"/>
          <w:u w:val="single"/>
        </w:rPr>
        <w:t xml:space="preserve">相关分部分项工程开始施工前7天报送监理人审批。 </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5.2发包人提供的材料和工程设备</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5.2.1发包人负责提供的材料和工程设备的名称、规格、数量、价格、交货方式、交货地点和计划交货日期等见合同附件三“发包人提供的材料和工程设备一览表”。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5.2.3由发包人提供的材料和工程设备验收后，由承包人负责接收、运输和保管。</w:t>
      </w:r>
    </w:p>
    <w:p>
      <w:pPr>
        <w:pStyle w:val="5"/>
        <w:rPr>
          <w:rFonts w:hint="eastAsia" w:ascii="宋体" w:hAnsi="宋体" w:eastAsia="宋体" w:cs="宋体"/>
          <w:sz w:val="24"/>
          <w:szCs w:val="24"/>
        </w:rPr>
      </w:pPr>
      <w:r>
        <w:rPr>
          <w:rFonts w:hint="eastAsia" w:ascii="宋体" w:hAnsi="宋体" w:eastAsia="宋体" w:cs="宋体"/>
          <w:sz w:val="24"/>
          <w:szCs w:val="24"/>
        </w:rPr>
        <w:t>6.施工设备和临时设施</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6.1承包人提供的施工设备和临时设施</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6.1.2发包人承担修建临时设施的费用的范围：</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rPr>
          <w:rFonts w:hint="eastAsia" w:ascii="宋体" w:hAnsi="宋体" w:eastAsia="宋体" w:cs="宋体"/>
          <w:sz w:val="24"/>
          <w:szCs w:val="24"/>
        </w:rPr>
      </w:pPr>
      <w:r>
        <w:rPr>
          <w:rFonts w:hint="eastAsia" w:ascii="宋体" w:hAnsi="宋体" w:eastAsia="宋体" w:cs="宋体"/>
          <w:sz w:val="24"/>
          <w:szCs w:val="24"/>
        </w:rPr>
        <w:t>需要发包人办理申请手续和承担相关费用的临时占地：</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6.2发包人提供的施工设备和临时设施</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发包人提供的施工设备和临时设施：</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发包人提供的施工设备和临时设施的运行、维护、拆除、清运费用的承担人：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6.4施工设备和临时设施专用于合同工程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6.4.1除为专用合同条款第4.1.8项约定的其他独立承包人和监理人指示的他人提供条件外，承包人运入施工场地的所有施工设备以及在施工场地建设的临时设施仅限于用于合同工程。</w:t>
      </w:r>
    </w:p>
    <w:p>
      <w:pPr>
        <w:pStyle w:val="5"/>
        <w:rPr>
          <w:rFonts w:hint="eastAsia" w:ascii="宋体" w:hAnsi="宋体" w:eastAsia="宋体" w:cs="宋体"/>
          <w:sz w:val="24"/>
          <w:szCs w:val="24"/>
        </w:rPr>
      </w:pPr>
      <w:r>
        <w:rPr>
          <w:rFonts w:hint="eastAsia" w:ascii="宋体" w:hAnsi="宋体" w:eastAsia="宋体" w:cs="宋体"/>
          <w:sz w:val="24"/>
          <w:szCs w:val="24"/>
        </w:rPr>
        <w:t>7.交通运输</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7.1道路通行权和场外设施</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取得道路通行权、场外设施修建权的办理人：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，其相关费用由承包人承担。</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7.2场内施工道路</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7.2.1施工所需的场内临时道路和交通设施的修建、维护、养护和管理人：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，相关费用由</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7.2.2发包人和监理人有权无偿使用承包人修建的临时道路和交通设施，不需要交纳任何费用。</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7.4超大件和超重件的运输</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运输超大件或超重件所需的道路和桥梁临时加固改造等费用的承担人：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w:t>
      </w:r>
    </w:p>
    <w:p>
      <w:pPr>
        <w:pStyle w:val="5"/>
        <w:rPr>
          <w:rFonts w:hint="eastAsia" w:ascii="宋体" w:hAnsi="宋体" w:eastAsia="宋体" w:cs="宋体"/>
          <w:sz w:val="24"/>
          <w:szCs w:val="24"/>
        </w:rPr>
      </w:pPr>
      <w:r>
        <w:rPr>
          <w:rFonts w:hint="eastAsia" w:ascii="宋体" w:hAnsi="宋体" w:eastAsia="宋体" w:cs="宋体"/>
          <w:sz w:val="24"/>
          <w:szCs w:val="24"/>
        </w:rPr>
        <w:t>8.测量放线</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8.1施工控制网</w:t>
      </w:r>
    </w:p>
    <w:p>
      <w:pPr>
        <w:spacing w:line="400" w:lineRule="exact"/>
        <w:rPr>
          <w:rFonts w:hint="eastAsia" w:ascii="宋体" w:hAnsi="宋体" w:eastAsia="宋体" w:cs="宋体"/>
          <w:sz w:val="24"/>
          <w:szCs w:val="24"/>
        </w:rPr>
      </w:pPr>
      <w:r>
        <w:rPr>
          <w:rFonts w:hint="eastAsia" w:ascii="宋体" w:hAnsi="宋体" w:eastAsia="宋体" w:cs="宋体"/>
          <w:sz w:val="24"/>
          <w:szCs w:val="24"/>
        </w:rPr>
        <w:t>8.1.1发包人通过监理人提供测量基准点、基准线和水准点及其书面资料的期限：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rPr>
          <w:rFonts w:hint="eastAsia" w:ascii="宋体" w:hAnsi="宋体" w:eastAsia="宋体" w:cs="宋体"/>
          <w:sz w:val="24"/>
          <w:szCs w:val="24"/>
        </w:rPr>
      </w:pPr>
      <w:r>
        <w:rPr>
          <w:rFonts w:hint="eastAsia" w:ascii="宋体" w:hAnsi="宋体" w:eastAsia="宋体" w:cs="宋体"/>
          <w:sz w:val="24"/>
          <w:szCs w:val="24"/>
        </w:rPr>
        <w:t>承包人测设施工控制网的要求：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rPr>
          <w:rFonts w:hint="eastAsia" w:ascii="宋体" w:hAnsi="宋体" w:eastAsia="宋体" w:cs="宋体"/>
          <w:sz w:val="24"/>
          <w:szCs w:val="24"/>
        </w:rPr>
      </w:pPr>
      <w:r>
        <w:rPr>
          <w:rFonts w:hint="eastAsia" w:ascii="宋体" w:hAnsi="宋体" w:eastAsia="宋体" w:cs="宋体"/>
          <w:sz w:val="24"/>
          <w:szCs w:val="24"/>
        </w:rPr>
        <w:t>承包人将施工控制网资料报送监理人审批的期限：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5"/>
        <w:numPr>
          <w:ilvl w:val="0"/>
          <w:numId w:val="4"/>
        </w:numPr>
        <w:rPr>
          <w:rFonts w:hint="eastAsia" w:ascii="宋体" w:hAnsi="宋体" w:eastAsia="宋体" w:cs="宋体"/>
          <w:sz w:val="24"/>
          <w:szCs w:val="24"/>
        </w:rPr>
      </w:pPr>
      <w:r>
        <w:rPr>
          <w:rFonts w:hint="eastAsia" w:ascii="宋体" w:hAnsi="宋体" w:eastAsia="宋体" w:cs="宋体"/>
          <w:sz w:val="24"/>
          <w:szCs w:val="24"/>
        </w:rPr>
        <w:t>施工安全、治安保卫和环境保护</w:t>
      </w:r>
    </w:p>
    <w:p>
      <w:pPr>
        <w:rPr>
          <w:rFonts w:hint="eastAsia" w:ascii="宋体" w:hAnsi="宋体" w:eastAsia="宋体" w:cs="宋体"/>
          <w:b/>
          <w:bCs/>
          <w:sz w:val="24"/>
          <w:szCs w:val="24"/>
          <w:u w:val="single"/>
        </w:rPr>
      </w:pPr>
      <w:r>
        <w:rPr>
          <w:rFonts w:hint="eastAsia" w:ascii="宋体" w:hAnsi="宋体" w:eastAsia="宋体" w:cs="宋体"/>
          <w:b/>
          <w:bCs/>
          <w:sz w:val="24"/>
          <w:szCs w:val="24"/>
          <w:u w:val="single"/>
        </w:rPr>
        <w:t>因承包人原因施工过程中出现的一切质量、安全、人身伤亡等一切事故，均有承包人承担负责。</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9.2承包人的施工安全责任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9.2.1承包人向监理人报送施工安全措施计划的期限：</w:t>
      </w:r>
      <w:r>
        <w:rPr>
          <w:rFonts w:hint="eastAsia" w:ascii="宋体" w:hAnsi="宋体" w:eastAsia="宋体" w:cs="宋体"/>
          <w:sz w:val="24"/>
          <w:szCs w:val="24"/>
          <w:u w:val="single"/>
        </w:rPr>
        <w:t xml:space="preserve"> 签订施工合同后7天内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监理人收到承包人报送的施工安全措施计划后应当在</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天内给予批复。</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9.3治安保卫</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9.3.1承包人应当负责统一管理施工场地的治安保卫事项，履行合同工程的治安保卫职责。</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9.3.3施工场地治安管理计划和突发治安事件紧急预案的编制责任人：</w:t>
      </w:r>
      <w:r>
        <w:rPr>
          <w:rFonts w:hint="eastAsia" w:ascii="宋体" w:hAnsi="宋体" w:eastAsia="宋体" w:cs="宋体"/>
          <w:sz w:val="24"/>
          <w:szCs w:val="24"/>
          <w:u w:val="single"/>
        </w:rPr>
        <w:t xml:space="preserve">承包人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9.4环境保护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9.4.2施工环保措施计划报送监理人审批的时间：</w:t>
      </w:r>
      <w:r>
        <w:rPr>
          <w:rFonts w:hint="eastAsia" w:ascii="宋体" w:hAnsi="宋体" w:eastAsia="宋体" w:cs="宋体"/>
          <w:sz w:val="24"/>
          <w:szCs w:val="24"/>
          <w:u w:val="single"/>
        </w:rPr>
        <w:t xml:space="preserve">  签订施工合同后7天内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监理人收到承包人报送的施工环保措施计划后应当在</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天内给予批复。</w:t>
      </w:r>
    </w:p>
    <w:p>
      <w:pPr>
        <w:pStyle w:val="5"/>
        <w:rPr>
          <w:rFonts w:hint="eastAsia" w:ascii="宋体" w:hAnsi="宋体" w:eastAsia="宋体" w:cs="宋体"/>
          <w:sz w:val="24"/>
          <w:szCs w:val="24"/>
        </w:rPr>
      </w:pPr>
      <w:r>
        <w:rPr>
          <w:rFonts w:hint="eastAsia" w:ascii="宋体" w:hAnsi="宋体" w:eastAsia="宋体" w:cs="宋体"/>
          <w:sz w:val="24"/>
          <w:szCs w:val="24"/>
        </w:rPr>
        <w:t>10.进度计划</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10.1合同进度计划</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u w:val="single"/>
        </w:rPr>
        <w:t xml:space="preserve">  承包人应按投标阶段承诺的总进度计划关键线路目标，以及施工顺序和方法要点，向监理人提交更准确更详细的施工进度计划和施工方案</w:t>
      </w:r>
      <w:r>
        <w:rPr>
          <w:rFonts w:hint="eastAsia" w:ascii="宋体" w:hAnsi="宋体" w:eastAsia="宋体" w:cs="宋体"/>
          <w:sz w:val="24"/>
          <w:szCs w:val="24"/>
        </w:rPr>
        <w:t>，施工进度计划中还应载明要求发包人组织设计人进行阶段性工程设计交底的时间。</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(2)监理人批复或对施工进度计划和施工方案说明提出修改意见的期限：自监理人收到承包人报送的相关进度计划和施工方案说明后7天内。</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(3)承包人编制分阶段或分项施工进度计划和施工方案说明的内容：</w:t>
      </w:r>
      <w:r>
        <w:rPr>
          <w:rFonts w:hint="eastAsia" w:ascii="宋体" w:hAnsi="宋体" w:eastAsia="宋体" w:cs="宋体"/>
          <w:sz w:val="24"/>
          <w:szCs w:val="24"/>
          <w:u w:val="single"/>
        </w:rPr>
        <w:t>按发包人和监理人要求。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承包人报送分阶段或分项施工进度计划和施工方案说明的期限：</w:t>
      </w:r>
      <w:r>
        <w:rPr>
          <w:rFonts w:hint="eastAsia" w:ascii="宋体" w:hAnsi="宋体" w:eastAsia="宋体" w:cs="宋体"/>
          <w:sz w:val="24"/>
          <w:szCs w:val="24"/>
          <w:u w:val="single"/>
        </w:rPr>
        <w:t>按发包人和监理人要求。</w:t>
      </w:r>
    </w:p>
    <w:p>
      <w:pPr>
        <w:spacing w:line="400" w:lineRule="exact"/>
        <w:rPr>
          <w:rFonts w:hint="eastAsia" w:ascii="宋体" w:hAnsi="宋体" w:eastAsia="宋体" w:cs="宋体"/>
          <w:sz w:val="24"/>
          <w:szCs w:val="24"/>
        </w:rPr>
      </w:pPr>
      <w:r>
        <w:rPr>
          <w:rFonts w:hint="eastAsia" w:ascii="宋体" w:hAnsi="宋体" w:eastAsia="宋体" w:cs="宋体"/>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10.2合同进度计划的修订</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(1)承包人报送修订合同进度计划申请报告和相关资料的期限：</w:t>
      </w:r>
      <w:r>
        <w:rPr>
          <w:rFonts w:hint="eastAsia" w:ascii="宋体" w:hAnsi="宋体" w:eastAsia="宋体" w:cs="宋体"/>
          <w:sz w:val="24"/>
          <w:szCs w:val="24"/>
          <w:u w:val="single"/>
        </w:rPr>
        <w:t>实际进度发生滞后的当月25日前。</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(2)监理人批复修订合同进度计划申请报告的期限：</w:t>
      </w:r>
      <w:r>
        <w:rPr>
          <w:rFonts w:hint="eastAsia" w:ascii="宋体" w:hAnsi="宋体" w:eastAsia="宋体" w:cs="宋体"/>
          <w:sz w:val="24"/>
          <w:szCs w:val="24"/>
          <w:u w:val="single"/>
        </w:rPr>
        <w:t xml:space="preserve"> 收到修订合同进度计划申请报告后2天内。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(3)监理人批复修订合同进度计划的期限：</w:t>
      </w:r>
      <w:r>
        <w:rPr>
          <w:rFonts w:hint="eastAsia" w:ascii="宋体" w:hAnsi="宋体" w:eastAsia="宋体" w:cs="宋体"/>
          <w:sz w:val="24"/>
          <w:szCs w:val="24"/>
          <w:u w:val="single"/>
        </w:rPr>
        <w:t>收到修订合同进度计划后3天内</w:t>
      </w:r>
      <w:r>
        <w:rPr>
          <w:rFonts w:hint="eastAsia" w:ascii="宋体" w:hAnsi="宋体" w:eastAsia="宋体" w:cs="宋体"/>
          <w:sz w:val="24"/>
          <w:szCs w:val="24"/>
        </w:rPr>
        <w:t>。</w:t>
      </w:r>
    </w:p>
    <w:p>
      <w:pPr>
        <w:pStyle w:val="5"/>
        <w:rPr>
          <w:rFonts w:hint="eastAsia" w:ascii="宋体" w:hAnsi="宋体" w:eastAsia="宋体" w:cs="宋体"/>
          <w:sz w:val="24"/>
          <w:szCs w:val="24"/>
        </w:rPr>
      </w:pPr>
      <w:r>
        <w:rPr>
          <w:rFonts w:hint="eastAsia" w:ascii="宋体" w:hAnsi="宋体" w:eastAsia="宋体" w:cs="宋体"/>
          <w:sz w:val="24"/>
          <w:szCs w:val="24"/>
        </w:rPr>
        <w:t>11.开工和竣工</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11.3发包人的工期延误</w:t>
      </w:r>
    </w:p>
    <w:p>
      <w:pPr>
        <w:spacing w:line="400" w:lineRule="exact"/>
        <w:rPr>
          <w:rFonts w:hint="eastAsia" w:ascii="宋体" w:hAnsi="宋体" w:eastAsia="宋体" w:cs="宋体"/>
          <w:sz w:val="24"/>
          <w:szCs w:val="24"/>
        </w:rPr>
      </w:pPr>
      <w:r>
        <w:rPr>
          <w:rFonts w:hint="eastAsia" w:ascii="宋体" w:hAnsi="宋体" w:eastAsia="宋体" w:cs="宋体"/>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sz w:val="24"/>
          <w:szCs w:val="24"/>
          <w:u w:val="single"/>
        </w:rPr>
        <w:t xml:space="preserve">         /       </w:t>
      </w:r>
      <w:r>
        <w:rPr>
          <w:rFonts w:hint="eastAsia" w:ascii="宋体" w:hAnsi="宋体" w:eastAsia="宋体" w:cs="宋体"/>
          <w:sz w:val="24"/>
          <w:szCs w:val="24"/>
        </w:rPr>
        <w:t>等延误承包人关键线路工作的情况。</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11.4异常恶劣的气候条件</w:t>
      </w:r>
    </w:p>
    <w:p>
      <w:pPr>
        <w:spacing w:line="400" w:lineRule="exact"/>
        <w:rPr>
          <w:rFonts w:hint="eastAsia" w:ascii="宋体" w:hAnsi="宋体" w:eastAsia="宋体" w:cs="宋体"/>
          <w:sz w:val="24"/>
          <w:szCs w:val="24"/>
        </w:rPr>
      </w:pPr>
      <w:r>
        <w:rPr>
          <w:rFonts w:hint="eastAsia" w:ascii="宋体" w:hAnsi="宋体" w:eastAsia="宋体" w:cs="宋体"/>
          <w:sz w:val="24"/>
          <w:szCs w:val="24"/>
        </w:rPr>
        <w:t>异常恶劣的气候条件的范围和标准：</w:t>
      </w:r>
      <w:r>
        <w:rPr>
          <w:rFonts w:hint="eastAsia" w:ascii="宋体" w:hAnsi="宋体" w:eastAsia="宋体" w:cs="宋体"/>
          <w:sz w:val="24"/>
          <w:szCs w:val="24"/>
          <w:u w:val="single"/>
        </w:rPr>
        <w:t xml:space="preserve">  以国家、省、市的相关规定为准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11.5承包人的工期延误</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逾期竣工违约金的计算标准：</w:t>
      </w:r>
      <w:r>
        <w:rPr>
          <w:rFonts w:hint="eastAsia" w:ascii="宋体" w:hAnsi="宋体" w:eastAsia="宋体" w:cs="宋体"/>
          <w:b/>
          <w:bCs/>
          <w:sz w:val="24"/>
          <w:szCs w:val="24"/>
          <w:u w:val="single"/>
        </w:rPr>
        <w:t>工期每误期一天支付违约金2000元</w:t>
      </w:r>
      <w:r>
        <w:rPr>
          <w:rFonts w:hint="eastAsia" w:ascii="宋体" w:hAnsi="宋体" w:eastAsia="宋体" w:cs="宋体"/>
          <w:b/>
          <w:bCs/>
          <w:sz w:val="24"/>
          <w:szCs w:val="24"/>
          <w:u w:val="single"/>
          <w:lang w:eastAsia="zh-CN"/>
        </w:rPr>
        <w:t>。</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逾期竣工违约金的计算方法：</w:t>
      </w:r>
      <w:r>
        <w:rPr>
          <w:rFonts w:hint="eastAsia" w:ascii="宋体" w:hAnsi="宋体" w:eastAsia="宋体" w:cs="宋体"/>
          <w:b/>
          <w:bCs/>
          <w:sz w:val="24"/>
          <w:szCs w:val="24"/>
          <w:u w:val="single"/>
        </w:rPr>
        <w:t xml:space="preserve"> 工期每误期一天支付违约金2000元。</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逾期竣工违约金的限额：</w:t>
      </w:r>
      <w:r>
        <w:rPr>
          <w:rFonts w:hint="eastAsia" w:ascii="宋体" w:hAnsi="宋体" w:eastAsia="宋体" w:cs="宋体"/>
          <w:b/>
          <w:bCs/>
          <w:sz w:val="24"/>
          <w:szCs w:val="24"/>
          <w:u w:val="single"/>
        </w:rPr>
        <w:t>最高赔偿金额不超过签约合同价的5 %。</w:t>
      </w:r>
      <w:r>
        <w:rPr>
          <w:rFonts w:hint="eastAsia" w:ascii="宋体" w:hAnsi="宋体" w:eastAsia="宋体" w:cs="宋体"/>
          <w:sz w:val="24"/>
          <w:szCs w:val="24"/>
          <w:u w:val="single"/>
        </w:rPr>
        <w:t xml:space="preserve">   </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11.6工期提前</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提前竣工的奖励办法：</w:t>
      </w:r>
      <w:r>
        <w:rPr>
          <w:rFonts w:hint="eastAsia" w:ascii="宋体" w:hAnsi="宋体" w:eastAsia="宋体" w:cs="宋体"/>
          <w:sz w:val="24"/>
          <w:szCs w:val="24"/>
          <w:u w:val="single"/>
        </w:rPr>
        <w:t xml:space="preserve">           无                        </w:t>
      </w:r>
      <w:r>
        <w:rPr>
          <w:rFonts w:hint="eastAsia" w:ascii="宋体" w:hAnsi="宋体" w:eastAsia="宋体" w:cs="宋体"/>
          <w:sz w:val="24"/>
          <w:szCs w:val="24"/>
        </w:rPr>
        <w:t xml:space="preserve"> 。</w:t>
      </w:r>
    </w:p>
    <w:p>
      <w:pPr>
        <w:pStyle w:val="5"/>
        <w:rPr>
          <w:rFonts w:hint="eastAsia" w:ascii="宋体" w:hAnsi="宋体" w:eastAsia="宋体" w:cs="宋体"/>
          <w:sz w:val="24"/>
          <w:szCs w:val="24"/>
        </w:rPr>
      </w:pPr>
      <w:r>
        <w:rPr>
          <w:rFonts w:hint="eastAsia" w:ascii="宋体" w:hAnsi="宋体" w:eastAsia="宋体" w:cs="宋体"/>
          <w:sz w:val="24"/>
          <w:szCs w:val="24"/>
        </w:rPr>
        <w:t>12.暂停施工</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12.1承包人暂停施工的责任</w:t>
      </w:r>
    </w:p>
    <w:p>
      <w:pPr>
        <w:spacing w:after="72" w:after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(5)承包人承担暂停施工责任的其他情形：</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12.4暂停施工后的复工</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pStyle w:val="5"/>
        <w:rPr>
          <w:rFonts w:hint="eastAsia" w:ascii="宋体" w:hAnsi="宋体" w:eastAsia="宋体" w:cs="宋体"/>
          <w:sz w:val="24"/>
          <w:szCs w:val="24"/>
        </w:rPr>
      </w:pPr>
      <w:r>
        <w:rPr>
          <w:rFonts w:hint="eastAsia" w:ascii="宋体" w:hAnsi="宋体" w:eastAsia="宋体" w:cs="宋体"/>
          <w:sz w:val="24"/>
          <w:szCs w:val="24"/>
        </w:rPr>
        <w:t>13.工程质量</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13.1工程质量要求</w:t>
      </w:r>
    </w:p>
    <w:p>
      <w:pPr>
        <w:spacing w:after="72" w:after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13.1.2</w:t>
      </w:r>
      <w:r>
        <w:rPr>
          <w:rFonts w:hint="eastAsia" w:ascii="宋体" w:hAnsi="宋体" w:eastAsia="宋体" w:cs="宋体"/>
          <w:b/>
          <w:bCs/>
          <w:sz w:val="24"/>
          <w:szCs w:val="24"/>
          <w:u w:val="single"/>
        </w:rPr>
        <w:t>在工程施工过程中，因承包人偷工减料，使用劣质材料、不合格设备，或因技术、管理等自身原因，造成工程质量达不到合同约定验收标准的，招标人和监理人有权要求承包人返工直至符合合同要求为止，由此造成的费用增加和（或）工期延误由承包人承担。</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13.2承包人的质量管理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13.2.1承包人向监理人提交工程质量保证措施文件的期限：</w:t>
      </w:r>
      <w:r>
        <w:rPr>
          <w:rFonts w:hint="eastAsia" w:ascii="宋体" w:hAnsi="宋体" w:eastAsia="宋体" w:cs="宋体"/>
          <w:sz w:val="24"/>
          <w:szCs w:val="24"/>
          <w:u w:val="single"/>
        </w:rPr>
        <w:t>签订施工合同后7天内</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监理人审批工程质量保证措施文件的期限：</w:t>
      </w:r>
      <w:r>
        <w:rPr>
          <w:rFonts w:hint="eastAsia" w:ascii="宋体" w:hAnsi="宋体" w:eastAsia="宋体" w:cs="宋体"/>
          <w:sz w:val="24"/>
          <w:szCs w:val="24"/>
          <w:u w:val="single"/>
        </w:rPr>
        <w:t>收到承包人报送的工程质量保证措施文件后3天内给予批复</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 xml:space="preserve">13.3承包人的质量检查 </w:t>
      </w:r>
    </w:p>
    <w:p>
      <w:pPr>
        <w:spacing w:before="72" w:before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承包人向监理人报送工程质量报表的期限：</w:t>
      </w:r>
      <w:r>
        <w:rPr>
          <w:rFonts w:hint="eastAsia" w:ascii="宋体" w:hAnsi="宋体" w:eastAsia="宋体" w:cs="宋体"/>
          <w:sz w:val="24"/>
          <w:szCs w:val="24"/>
          <w:u w:val="single"/>
        </w:rPr>
        <w:t xml:space="preserve">每月25日前  </w:t>
      </w:r>
      <w:r>
        <w:rPr>
          <w:rFonts w:hint="eastAsia" w:ascii="宋体" w:hAnsi="宋体" w:eastAsia="宋体" w:cs="宋体"/>
          <w:sz w:val="24"/>
          <w:szCs w:val="24"/>
        </w:rPr>
        <w:t>。</w:t>
      </w:r>
    </w:p>
    <w:p>
      <w:pPr>
        <w:spacing w:before="120" w:beforeLines="5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承包人向监理人报送工程质量报表的要求：</w:t>
      </w:r>
      <w:r>
        <w:rPr>
          <w:rFonts w:hint="eastAsia" w:ascii="宋体" w:hAnsi="宋体" w:eastAsia="宋体" w:cs="宋体"/>
          <w:sz w:val="24"/>
          <w:szCs w:val="24"/>
          <w:u w:val="single"/>
        </w:rPr>
        <w:t xml:space="preserve">  按规范及监理人要求  </w:t>
      </w:r>
      <w:r>
        <w:rPr>
          <w:rFonts w:hint="eastAsia" w:ascii="宋体" w:hAnsi="宋体" w:eastAsia="宋体" w:cs="宋体"/>
          <w:sz w:val="24"/>
          <w:szCs w:val="24"/>
        </w:rPr>
        <w:t>。</w:t>
      </w:r>
    </w:p>
    <w:p>
      <w:pPr>
        <w:spacing w:before="120" w:beforeLines="5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监理人审查工程质量报表的期限：</w:t>
      </w:r>
      <w:r>
        <w:rPr>
          <w:rFonts w:hint="eastAsia" w:ascii="宋体" w:hAnsi="宋体" w:eastAsia="宋体" w:cs="宋体"/>
          <w:sz w:val="24"/>
          <w:szCs w:val="24"/>
          <w:u w:val="single"/>
        </w:rPr>
        <w:t xml:space="preserve">收到承包人报送的工程质量报表后3天内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13.4监理人的质量检查</w:t>
      </w:r>
    </w:p>
    <w:p>
      <w:pPr>
        <w:spacing w:before="72" w:beforeLines="30"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承包人应当为监理人的检查和检验提供方便，监理人可以进行察看和查阅施工原始记录的其他地方包括：</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13.5工程隐蔽部位覆盖前的检查</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13.5.1监理人对工程隐蔽部位进行检查的期限：</w:t>
      </w:r>
      <w:r>
        <w:rPr>
          <w:rFonts w:hint="eastAsia" w:ascii="宋体" w:hAnsi="宋体" w:eastAsia="宋体" w:cs="宋体"/>
          <w:sz w:val="24"/>
          <w:szCs w:val="24"/>
          <w:u w:val="single"/>
        </w:rPr>
        <w:t xml:space="preserve"> 收到承包人的通知后3天内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13.7质量争议</w:t>
      </w:r>
    </w:p>
    <w:p>
      <w:pPr>
        <w:spacing w:before="72" w:before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rPr>
          <w:rFonts w:hint="eastAsia" w:ascii="宋体" w:hAnsi="宋体" w:eastAsia="宋体" w:cs="宋体"/>
          <w:sz w:val="24"/>
          <w:szCs w:val="24"/>
        </w:rPr>
      </w:pPr>
      <w:r>
        <w:rPr>
          <w:rFonts w:hint="eastAsia" w:ascii="宋体" w:hAnsi="宋体" w:eastAsia="宋体" w:cs="宋体"/>
          <w:sz w:val="24"/>
          <w:szCs w:val="24"/>
        </w:rPr>
        <w:t>15.变更</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15.1变更的范围和内容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应当进行变更的其他情形：</w:t>
      </w:r>
      <w:r>
        <w:rPr>
          <w:rFonts w:hint="eastAsia" w:ascii="宋体" w:hAnsi="宋体" w:eastAsia="宋体" w:cs="宋体"/>
          <w:sz w:val="24"/>
          <w:szCs w:val="24"/>
          <w:u w:val="single"/>
        </w:rPr>
        <w:t xml:space="preserve">  发包方与承包方根据实际情况另行约定    </w:t>
      </w:r>
      <w:r>
        <w:rPr>
          <w:rFonts w:hint="eastAsia" w:ascii="宋体" w:hAnsi="宋体" w:eastAsia="宋体" w:cs="宋体"/>
          <w:sz w:val="24"/>
          <w:szCs w:val="24"/>
        </w:rPr>
        <w:t>。</w:t>
      </w:r>
    </w:p>
    <w:p>
      <w:pPr>
        <w:spacing w:before="72" w:before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15.3变更程序</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15.3.2变更估价</w:t>
      </w:r>
    </w:p>
    <w:p>
      <w:pPr>
        <w:spacing w:before="72" w:before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(1)承包人提交变更报价书的期限：</w:t>
      </w:r>
      <w:r>
        <w:rPr>
          <w:rFonts w:hint="eastAsia" w:ascii="宋体" w:hAnsi="宋体" w:eastAsia="宋体" w:cs="宋体"/>
          <w:sz w:val="24"/>
          <w:szCs w:val="24"/>
          <w:u w:val="single"/>
        </w:rPr>
        <w:t xml:space="preserve">   按政府工程变更报批程序办理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(3)监理人商定或确定变更价格的期限：</w:t>
      </w:r>
      <w:r>
        <w:rPr>
          <w:rFonts w:hint="eastAsia" w:ascii="宋体" w:hAnsi="宋体" w:eastAsia="宋体" w:cs="宋体"/>
          <w:sz w:val="24"/>
          <w:szCs w:val="24"/>
          <w:u w:val="single"/>
        </w:rPr>
        <w:t xml:space="preserve">按政府工程变更报批程序办理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(4)收到变更指示后，如承包人未在规定的期限内提交变更报价书的，监理人可自行决定是否调整合同价款以及如果监理人决定调整合同价款时，相应调整的具体金额。</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15.4变更的估价原则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15.4.5合同协议书约定采用单价合同形式时，因非承包人原因引起已标价工程量清单中列明的工程量发生增减，</w:t>
      </w:r>
      <w:r>
        <w:rPr>
          <w:rFonts w:hint="eastAsia" w:ascii="宋体" w:hAnsi="宋体" w:eastAsia="宋体" w:cs="宋体"/>
          <w:b/>
          <w:bCs/>
          <w:sz w:val="24"/>
          <w:szCs w:val="24"/>
        </w:rPr>
        <w:t>按政府工程变更报批程序办理。</w:t>
      </w:r>
    </w:p>
    <w:p>
      <w:pPr>
        <w:spacing w:line="360" w:lineRule="auto"/>
        <w:ind w:firstLine="480" w:firstLineChars="200"/>
        <w:rPr>
          <w:rFonts w:hint="eastAsia" w:ascii="宋体" w:hAnsi="宋体" w:eastAsia="宋体" w:cs="宋体"/>
          <w:b/>
          <w:bCs/>
          <w:sz w:val="24"/>
          <w:szCs w:val="24"/>
          <w:u w:val="single"/>
        </w:rPr>
      </w:pPr>
      <w:r>
        <w:rPr>
          <w:rFonts w:hint="eastAsia" w:ascii="宋体" w:hAnsi="宋体" w:eastAsia="宋体" w:cs="宋体"/>
          <w:sz w:val="24"/>
          <w:szCs w:val="24"/>
        </w:rPr>
        <w:t>15.4.6因变更引起价格调整的其他处理方式：</w:t>
      </w:r>
      <w:r>
        <w:rPr>
          <w:rFonts w:hint="eastAsia" w:ascii="宋体" w:hAnsi="宋体" w:eastAsia="宋体" w:cs="宋体"/>
          <w:b/>
          <w:bCs/>
          <w:sz w:val="24"/>
          <w:szCs w:val="24"/>
          <w:u w:val="single"/>
        </w:rPr>
        <w:t>因设计变更（含专业工程二次设计）、追加工程、工程量清单漏项等新增加的工程量清单项目，由项目责任单位组织按照该工程招标控制价的编制原则、编制依据、编制方法、编制该新增项目的工程预算，经项目责任单位确认并提报审计部门审核后，按照本工程招标时投标总报价相对招标控制总价的下浮比例确定该部分项目的价格。</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15.5承包人的合理化建议</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15.5.2对承包人提出合理化建议的奖励方法：</w:t>
      </w:r>
      <w:r>
        <w:rPr>
          <w:rFonts w:hint="eastAsia" w:ascii="宋体" w:hAnsi="宋体" w:eastAsia="宋体" w:cs="宋体"/>
          <w:sz w:val="24"/>
          <w:szCs w:val="24"/>
          <w:u w:val="single"/>
        </w:rPr>
        <w:t xml:space="preserve">   无                。</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15.8暂估价</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(1)在任何招标工作启动前，承包人应当提前至少</w:t>
      </w:r>
      <w:r>
        <w:rPr>
          <w:rFonts w:hint="eastAsia" w:ascii="宋体" w:hAnsi="宋体" w:eastAsia="宋体" w:cs="宋体"/>
          <w:sz w:val="24"/>
          <w:szCs w:val="24"/>
          <w:u w:val="single"/>
        </w:rPr>
        <w:t xml:space="preserve">  7  </w:t>
      </w:r>
      <w:r>
        <w:rPr>
          <w:rFonts w:hint="eastAsia" w:ascii="宋体" w:hAnsi="宋体" w:eastAsia="宋体" w:cs="宋体"/>
          <w:sz w:val="24"/>
          <w:szCs w:val="24"/>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天内给予批准或者提出修改意见。承包人应当严格按照经过发包人批准的招标工作计划开展招标工作。</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(2)承包人应当在发出招标公告(或者资格预审公告或者投标邀请书)、资格预审文件和招标文件前至少</w:t>
      </w:r>
      <w:r>
        <w:rPr>
          <w:rFonts w:hint="eastAsia" w:ascii="宋体" w:hAnsi="宋体" w:eastAsia="宋体" w:cs="宋体"/>
          <w:sz w:val="24"/>
          <w:szCs w:val="24"/>
          <w:u w:val="single"/>
        </w:rPr>
        <w:t xml:space="preserve"> 7  </w:t>
      </w:r>
      <w:r>
        <w:rPr>
          <w:rFonts w:hint="eastAsia" w:ascii="宋体" w:hAnsi="宋体" w:eastAsia="宋体" w:cs="宋体"/>
          <w:sz w:val="24"/>
          <w:szCs w:val="24"/>
        </w:rPr>
        <w:t>天，分别将相关文件通过监理人报请发包人审批，发包人应当在监理人收到承包人报送的相关文件后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(3)如果发、承包任何一方委派评标代表，评标委员会应当由七人以上单数构成。除发包人或者承包人自愿放弃委派评标代表的权利外，招标人评标代表应当分别由发包人和承包人等额委派。</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(7)承包人与专业分包人或者专项供应商订立合同前</w:t>
      </w:r>
      <w:r>
        <w:rPr>
          <w:rFonts w:hint="eastAsia" w:ascii="宋体" w:hAnsi="宋体" w:eastAsia="宋体" w:cs="宋体"/>
          <w:sz w:val="24"/>
          <w:szCs w:val="24"/>
          <w:u w:val="single"/>
        </w:rPr>
        <w:t xml:space="preserve"> 7 </w:t>
      </w:r>
      <w:r>
        <w:rPr>
          <w:rFonts w:hint="eastAsia" w:ascii="宋体" w:hAnsi="宋体" w:eastAsia="宋体" w:cs="宋体"/>
          <w:sz w:val="24"/>
          <w:szCs w:val="24"/>
        </w:rPr>
        <w:t>天，应当将准备用于正式签订的合同文件通过监理人报发包人审核，发包人应当在监理人收到相关文件后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天内给予批准或者提出修改意见，承包人应当按照发包人批准的合同文件签订相关合同，合同订立后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天内，承包人应当将其中的两份副本报送监理人，其中一份由监理人报发包人留存。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(8)发包人对承包人报送文件进行审批或提出的修改意见应当合理，并符合现行有关法律法规的规定。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15.8.2发包人在工程量清单中给定暂估价的材料和工程设备不属于依法必须招标的范围或未达到规定的规模标准的，按照下列约定：</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    </w:t>
      </w:r>
      <w:r>
        <w:rPr>
          <w:rFonts w:hint="eastAsia" w:ascii="宋体" w:hAnsi="宋体" w:eastAsia="宋体" w:cs="宋体"/>
          <w:sz w:val="24"/>
          <w:szCs w:val="24"/>
          <w:u w:val="single"/>
        </w:rPr>
        <w:t>。</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15.8.3发包人在工程量清单中给定暂估价的专业工程不属于依法必须招标的范围或者未达到依法必须招标的规模标准的，其最终价格的估价人为：</w:t>
      </w:r>
      <w:r>
        <w:rPr>
          <w:rFonts w:hint="eastAsia" w:ascii="宋体" w:hAnsi="宋体" w:eastAsia="宋体" w:cs="宋体"/>
          <w:sz w:val="24"/>
          <w:szCs w:val="24"/>
          <w:u w:val="single"/>
        </w:rPr>
        <w:t xml:space="preserve">  /  </w:t>
      </w:r>
      <w:r>
        <w:rPr>
          <w:rFonts w:hint="eastAsia" w:ascii="宋体" w:hAnsi="宋体" w:eastAsia="宋体" w:cs="宋体"/>
          <w:sz w:val="24"/>
          <w:szCs w:val="24"/>
        </w:rPr>
        <w:t>。或者按照下列约定：</w:t>
      </w:r>
      <w:r>
        <w:rPr>
          <w:rFonts w:hint="eastAsia" w:ascii="宋体" w:hAnsi="宋体" w:eastAsia="宋体" w:cs="宋体"/>
          <w:b/>
          <w:bCs/>
          <w:sz w:val="24"/>
          <w:szCs w:val="24"/>
          <w:u w:val="single"/>
        </w:rPr>
        <w:t xml:space="preserve">  / </w:t>
      </w:r>
      <w:r>
        <w:rPr>
          <w:rFonts w:hint="eastAsia" w:ascii="宋体" w:hAnsi="宋体" w:eastAsia="宋体" w:cs="宋体"/>
          <w:sz w:val="24"/>
          <w:szCs w:val="24"/>
          <w:u w:val="single"/>
        </w:rPr>
        <w:t>。</w:t>
      </w:r>
    </w:p>
    <w:p>
      <w:pPr>
        <w:pStyle w:val="5"/>
        <w:rPr>
          <w:rFonts w:hint="eastAsia" w:ascii="宋体" w:hAnsi="宋体" w:eastAsia="宋体" w:cs="宋体"/>
          <w:sz w:val="24"/>
          <w:szCs w:val="24"/>
        </w:rPr>
      </w:pPr>
      <w:r>
        <w:rPr>
          <w:rFonts w:hint="eastAsia" w:ascii="宋体" w:hAnsi="宋体" w:eastAsia="宋体" w:cs="宋体"/>
          <w:sz w:val="24"/>
          <w:szCs w:val="24"/>
        </w:rPr>
        <w:t>16.价格调整</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16.1物价波动引起的价格调整</w:t>
      </w:r>
    </w:p>
    <w:p>
      <w:pPr>
        <w:spacing w:line="420" w:lineRule="exact"/>
        <w:ind w:firstLine="480" w:firstLineChars="200"/>
        <w:rPr>
          <w:rFonts w:hint="eastAsia" w:ascii="宋体" w:hAnsi="宋体" w:eastAsia="宋体" w:cs="宋体"/>
          <w:b/>
          <w:bCs/>
          <w:sz w:val="24"/>
          <w:szCs w:val="24"/>
          <w:u w:val="single"/>
        </w:rPr>
      </w:pPr>
      <w:r>
        <w:rPr>
          <w:rFonts w:hint="eastAsia" w:ascii="宋体" w:hAnsi="宋体" w:eastAsia="宋体" w:cs="宋体"/>
          <w:sz w:val="24"/>
          <w:szCs w:val="24"/>
        </w:rPr>
        <w:t>物价波动引起的价格调整方法：</w:t>
      </w:r>
      <w:r>
        <w:rPr>
          <w:rFonts w:hint="eastAsia" w:ascii="宋体" w:hAnsi="宋体" w:eastAsia="宋体" w:cs="宋体"/>
          <w:sz w:val="24"/>
          <w:szCs w:val="24"/>
          <w:u w:val="single"/>
        </w:rPr>
        <w:t>不调整</w:t>
      </w:r>
    </w:p>
    <w:p>
      <w:pPr>
        <w:pStyle w:val="5"/>
        <w:rPr>
          <w:rFonts w:hint="eastAsia" w:ascii="宋体" w:hAnsi="宋体" w:eastAsia="宋体" w:cs="宋体"/>
          <w:sz w:val="24"/>
          <w:szCs w:val="24"/>
        </w:rPr>
      </w:pPr>
      <w:r>
        <w:rPr>
          <w:rFonts w:hint="eastAsia" w:ascii="宋体" w:hAnsi="宋体" w:eastAsia="宋体" w:cs="宋体"/>
          <w:sz w:val="24"/>
          <w:szCs w:val="24"/>
        </w:rPr>
        <w:t>17.计量与支付</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17.1计量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17.1.2计量方法</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工程量计算规则执行国家标准《建设工程工程量清单计价规范》(GB50500—2013)及</w:t>
      </w:r>
      <w:r>
        <w:rPr>
          <w:rFonts w:hint="eastAsia" w:ascii="宋体" w:hAnsi="宋体" w:eastAsia="宋体" w:cs="宋体"/>
          <w:b/>
          <w:bCs/>
          <w:sz w:val="24"/>
          <w:szCs w:val="24"/>
        </w:rPr>
        <w:t>《山东省建设工程工程量清单计价规则》</w:t>
      </w:r>
      <w:r>
        <w:rPr>
          <w:rFonts w:hint="eastAsia" w:ascii="宋体" w:hAnsi="宋体" w:eastAsia="宋体" w:cs="宋体"/>
          <w:sz w:val="24"/>
          <w:szCs w:val="24"/>
        </w:rPr>
        <w:t>或其适用的修订版本。除合同另有约定外，承包人实际完成的工程量按约定的工程量计算规则和有合同约束力的图纸进行计量。</w:t>
      </w:r>
    </w:p>
    <w:p>
      <w:pPr>
        <w:spacing w:before="48" w:beforeLines="20" w:after="48" w:afterLines="2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17.1.3计量周期</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(1)本合同的计量周期为月，每月</w:t>
      </w:r>
      <w:r>
        <w:rPr>
          <w:rFonts w:hint="eastAsia" w:ascii="宋体" w:hAnsi="宋体" w:eastAsia="宋体" w:cs="宋体"/>
          <w:sz w:val="24"/>
          <w:szCs w:val="24"/>
          <w:u w:val="single"/>
        </w:rPr>
        <w:t xml:space="preserve"> 26 </w:t>
      </w:r>
      <w:r>
        <w:rPr>
          <w:rFonts w:hint="eastAsia" w:ascii="宋体" w:hAnsi="宋体" w:eastAsia="宋体" w:cs="宋体"/>
          <w:sz w:val="24"/>
          <w:szCs w:val="24"/>
        </w:rPr>
        <w:t>日为当月计量截止日期(不含当日)和下月计量起始日期(含当日)。</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(2)本合同</w:t>
      </w:r>
      <w:r>
        <w:rPr>
          <w:rFonts w:hint="eastAsia" w:ascii="宋体" w:hAnsi="宋体" w:eastAsia="宋体" w:cs="宋体"/>
          <w:sz w:val="24"/>
          <w:szCs w:val="24"/>
          <w:u w:val="single"/>
        </w:rPr>
        <w:t xml:space="preserve"> 执行 </w:t>
      </w:r>
      <w:r>
        <w:rPr>
          <w:rFonts w:hint="eastAsia" w:ascii="宋体" w:hAnsi="宋体" w:eastAsia="宋体" w:cs="宋体"/>
          <w:sz w:val="24"/>
          <w:szCs w:val="24"/>
        </w:rPr>
        <w:t>通用合同条款本项约定的单价子目计量。总价子目计量方法按专用合同条款第17.1.5项总价子目的计量——</w:t>
      </w:r>
      <w:r>
        <w:rPr>
          <w:rFonts w:hint="eastAsia" w:ascii="宋体" w:hAnsi="宋体" w:eastAsia="宋体" w:cs="宋体"/>
          <w:sz w:val="24"/>
          <w:szCs w:val="24"/>
          <w:u w:val="single"/>
        </w:rPr>
        <w:t>按实际完成工程量计量</w:t>
      </w:r>
      <w:r>
        <w:rPr>
          <w:rFonts w:hint="eastAsia" w:ascii="宋体" w:hAnsi="宋体" w:eastAsia="宋体" w:cs="宋体"/>
          <w:sz w:val="24"/>
          <w:szCs w:val="24"/>
        </w:rPr>
        <w:t>。</w:t>
      </w:r>
    </w:p>
    <w:p>
      <w:pPr>
        <w:spacing w:before="48" w:beforeLines="20" w:after="48" w:afterLines="2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17.1.5总价子目的计量一按实际完成工程量计量</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(1)总价子目的价格调整方法：</w:t>
      </w:r>
      <w:r>
        <w:rPr>
          <w:rFonts w:hint="eastAsia" w:ascii="宋体" w:hAnsi="宋体" w:eastAsia="宋体" w:cs="宋体"/>
          <w:sz w:val="24"/>
          <w:szCs w:val="24"/>
          <w:u w:val="single"/>
        </w:rPr>
        <w:t xml:space="preserve">    执行通用条款     </w:t>
      </w:r>
      <w:r>
        <w:rPr>
          <w:rFonts w:hint="eastAsia" w:ascii="宋体" w:hAnsi="宋体" w:eastAsia="宋体" w:cs="宋体"/>
          <w:sz w:val="24"/>
          <w:szCs w:val="24"/>
        </w:rPr>
        <w:t>。总价子目的计量和支付应以总价为基础，对承包人实际完成的工程量进行计量，是进行工程目标管理和控制进度款支付的依据。</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(5)除按照第15条约定的变更外</w:t>
      </w:r>
      <w:r>
        <w:rPr>
          <w:rFonts w:hint="eastAsia" w:ascii="宋体" w:hAnsi="宋体" w:eastAsia="宋体" w:cs="宋体"/>
          <w:sz w:val="24"/>
          <w:szCs w:val="24"/>
          <w:lang w:eastAsia="zh-CN"/>
        </w:rPr>
        <w:t>，</w:t>
      </w:r>
      <w:r>
        <w:rPr>
          <w:rFonts w:hint="eastAsia" w:ascii="宋体" w:hAnsi="宋体"/>
          <w:b/>
          <w:bCs/>
          <w:sz w:val="24"/>
          <w:u w:val="single"/>
        </w:rPr>
        <w:t>在竣工结算时总价子目的工程量按实际发生计量。</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17.2预付款</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17.2.1预付款</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(1)预付款额度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分部分项工程部分的预付款额度：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措施项目部分预付款额度：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其中：安全文明施工费用预付额度：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(2)预付办法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预付款预付办法：</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预付款的支付时间：</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发包人逾期支付合同约定的预付款，除承担通用合同条款第22.2款约定的违约责任外，还应向承包人支付按专用合同条款第17.3.3(2)目约定的标准和方法计算的逾期付款违约金。</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17.2.2预付款保函</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预付款保函的金额与预付款金额相同。预付款保函的提交时间：</w:t>
      </w:r>
      <w:r>
        <w:rPr>
          <w:rFonts w:hint="eastAsia" w:ascii="宋体" w:hAnsi="宋体" w:eastAsia="宋体" w:cs="宋体"/>
          <w:sz w:val="24"/>
          <w:szCs w:val="24"/>
          <w:u w:val="single"/>
        </w:rPr>
        <w:t xml:space="preserve">  无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17.2.3预付款的扣回与还清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预付款的扣回办法：</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17.2.4预付款保函的格式</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承包人应当按照专用合同条款第17.2.2项约定的金额和时间以及发包人在本工程招标文件中规定的或者其他经过发包人事先认可的格式向发包人递交一份无条件兑付的和不可撤销的预付款保函。</w:t>
      </w:r>
    </w:p>
    <w:p>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17.2.5预付款保函的有效期</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预付款保函的有效期应当自预付款支付给承包人之日起至发包人签认的进度付款证书说明预付款已完全扣清之日止。</w:t>
      </w:r>
    </w:p>
    <w:p>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17.2.6发包人的通知义务</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不管保函条款中如何约定，发包人根据担保提出索赔或兑现要求之前，均应通知承包人并说明导致此类索赔或兑现的原因，但此类通知不应理解为是在任何意义上寻求承包人的同意。</w:t>
      </w:r>
    </w:p>
    <w:p>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17.2.7预付款保函的退还</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预付款保函应在发包人签认的进度付款证书说明预付款已完全扣清之日后14天内退还给承包人。发包人不承担承包人与预付款保函有关的任何利息或其它类似的费用或者收益。</w:t>
      </w:r>
    </w:p>
    <w:p>
      <w:pPr>
        <w:pStyle w:val="5"/>
        <w:spacing w:line="360" w:lineRule="exact"/>
        <w:rPr>
          <w:rFonts w:hint="eastAsia" w:ascii="宋体" w:hAnsi="宋体" w:eastAsia="宋体" w:cs="宋体"/>
          <w:sz w:val="24"/>
          <w:szCs w:val="24"/>
        </w:rPr>
      </w:pPr>
      <w:r>
        <w:rPr>
          <w:rFonts w:hint="eastAsia" w:ascii="宋体" w:hAnsi="宋体" w:eastAsia="宋体" w:cs="宋体"/>
          <w:sz w:val="24"/>
          <w:szCs w:val="24"/>
        </w:rPr>
        <w:t>17.3工程进度付款</w:t>
      </w:r>
    </w:p>
    <w:p>
      <w:pPr>
        <w:spacing w:line="3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17.3.2进度付款申请单</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进度付款申请单的份数：</w:t>
      </w:r>
      <w:r>
        <w:rPr>
          <w:rFonts w:hint="eastAsia" w:ascii="宋体" w:hAnsi="宋体" w:eastAsia="宋体" w:cs="宋体"/>
          <w:sz w:val="24"/>
          <w:szCs w:val="24"/>
          <w:u w:val="single"/>
        </w:rPr>
        <w:t xml:space="preserve">  五份                                          </w:t>
      </w:r>
      <w:r>
        <w:rPr>
          <w:rFonts w:hint="eastAsia" w:ascii="宋体" w:hAnsi="宋体" w:eastAsia="宋体" w:cs="宋体"/>
          <w:sz w:val="24"/>
          <w:szCs w:val="24"/>
        </w:rPr>
        <w:t>。</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进度付款申请单的内容：</w:t>
      </w:r>
      <w:r>
        <w:rPr>
          <w:rFonts w:hint="eastAsia" w:ascii="宋体" w:hAnsi="宋体" w:eastAsia="宋体" w:cs="宋体"/>
          <w:sz w:val="24"/>
          <w:szCs w:val="24"/>
          <w:u w:val="single"/>
        </w:rPr>
        <w:t xml:space="preserve">  按监理人统一要求办理                          </w:t>
      </w:r>
      <w:r>
        <w:rPr>
          <w:rFonts w:hint="eastAsia" w:ascii="宋体" w:hAnsi="宋体" w:eastAsia="宋体" w:cs="宋体"/>
          <w:sz w:val="24"/>
          <w:szCs w:val="24"/>
        </w:rPr>
        <w:t>。</w:t>
      </w:r>
    </w:p>
    <w:p>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17.3.3进度付款证书和支付时间</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逾期付款违约金的计算标准为</w:t>
      </w:r>
      <w:r>
        <w:rPr>
          <w:rFonts w:hint="eastAsia" w:ascii="宋体" w:hAnsi="宋体" w:eastAsia="宋体" w:cs="宋体"/>
          <w:sz w:val="24"/>
          <w:szCs w:val="24"/>
          <w:u w:val="single"/>
        </w:rPr>
        <w:t xml:space="preserve">        无逾期付款违约金                    </w:t>
      </w:r>
      <w:r>
        <w:rPr>
          <w:rFonts w:hint="eastAsia" w:ascii="宋体" w:hAnsi="宋体" w:eastAsia="宋体" w:cs="宋体"/>
          <w:sz w:val="24"/>
          <w:szCs w:val="24"/>
        </w:rPr>
        <w:t>。</w:t>
      </w:r>
    </w:p>
    <w:p>
      <w:pPr>
        <w:spacing w:line="3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逾期付款违约金的计算方法为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(4)进度付款涉及政府性资金的支付方法：</w:t>
      </w:r>
    </w:p>
    <w:p>
      <w:pPr>
        <w:widowControl/>
        <w:spacing w:line="360" w:lineRule="auto"/>
        <w:ind w:firstLine="472" w:firstLineChars="196"/>
        <w:jc w:val="left"/>
        <w:rPr>
          <w:rFonts w:hint="eastAsia" w:ascii="宋体" w:hAnsi="宋体" w:eastAsia="宋体" w:cs="宋体"/>
          <w:b/>
          <w:sz w:val="24"/>
          <w:szCs w:val="24"/>
          <w:highlight w:val="none"/>
          <w:u w:val="single"/>
          <w:lang w:eastAsia="zh-CN"/>
        </w:rPr>
      </w:pPr>
      <w:r>
        <w:rPr>
          <w:rFonts w:hint="eastAsia" w:ascii="宋体" w:hAnsi="宋体" w:eastAsia="宋体" w:cs="宋体"/>
          <w:b/>
          <w:sz w:val="24"/>
          <w:szCs w:val="24"/>
          <w:highlight w:val="none"/>
          <w:u w:val="single"/>
          <w:lang w:eastAsia="zh-CN"/>
        </w:rPr>
        <w:t>本工程无预付款，工程竣工验收合格并</w:t>
      </w:r>
      <w:r>
        <w:rPr>
          <w:rFonts w:hint="eastAsia" w:ascii="宋体" w:hAnsi="宋体" w:cs="宋体"/>
          <w:b/>
          <w:sz w:val="24"/>
          <w:szCs w:val="24"/>
          <w:highlight w:val="none"/>
          <w:u w:val="single"/>
          <w:lang w:val="en-US" w:eastAsia="zh-CN"/>
        </w:rPr>
        <w:t>通电完成后付至合同价款的40%，</w:t>
      </w:r>
      <w:r>
        <w:rPr>
          <w:rFonts w:hint="eastAsia" w:ascii="宋体" w:hAnsi="宋体" w:eastAsia="宋体" w:cs="宋体"/>
          <w:b/>
          <w:sz w:val="24"/>
          <w:szCs w:val="24"/>
          <w:highlight w:val="none"/>
          <w:u w:val="single"/>
          <w:lang w:eastAsia="zh-CN"/>
        </w:rPr>
        <w:t>经工程审计完成后付至审定价款的97%，剩余3%在质保期满后，无质量问题无息付清。工程最终结算造价以审核部门审定的造价为准。</w:t>
      </w:r>
    </w:p>
    <w:p>
      <w:pPr>
        <w:spacing w:line="400" w:lineRule="exact"/>
        <w:ind w:firstLine="482" w:firstLineChars="200"/>
        <w:rPr>
          <w:rFonts w:hint="eastAsia" w:ascii="宋体" w:hAnsi="宋体" w:eastAsia="宋体" w:cs="宋体"/>
          <w:sz w:val="24"/>
          <w:szCs w:val="24"/>
        </w:rPr>
      </w:pPr>
      <w:r>
        <w:rPr>
          <w:rFonts w:hint="eastAsia" w:ascii="宋体" w:hAnsi="宋体" w:eastAsia="宋体" w:cs="宋体"/>
          <w:b/>
          <w:sz w:val="24"/>
          <w:szCs w:val="24"/>
          <w:highlight w:val="none"/>
          <w:u w:val="single"/>
          <w:lang w:eastAsia="zh-CN"/>
        </w:rPr>
        <w:t>为确保工程保质保量按期完工，本项目工程款承包人必须专款专用，如发现承包人挪用工程款现象，由此造成的一切损失均有承包人承担。</w:t>
      </w:r>
      <w:r>
        <w:rPr>
          <w:rFonts w:hint="eastAsia" w:ascii="宋体" w:hAnsi="宋体" w:eastAsia="宋体" w:cs="宋体"/>
          <w:sz w:val="24"/>
          <w:szCs w:val="24"/>
        </w:rPr>
        <w:t>17.3.5临时付款证书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17.4质量保证金</w:t>
      </w:r>
    </w:p>
    <w:p>
      <w:pPr>
        <w:spacing w:line="400" w:lineRule="exact"/>
        <w:ind w:left="346" w:leftChars="165"/>
        <w:rPr>
          <w:rFonts w:hint="eastAsia" w:ascii="宋体" w:hAnsi="宋体" w:eastAsia="宋体" w:cs="宋体"/>
          <w:sz w:val="24"/>
          <w:szCs w:val="24"/>
        </w:rPr>
      </w:pPr>
      <w:r>
        <w:rPr>
          <w:rFonts w:hint="eastAsia" w:ascii="宋体" w:hAnsi="宋体" w:eastAsia="宋体" w:cs="宋体"/>
          <w:sz w:val="24"/>
          <w:szCs w:val="24"/>
        </w:rPr>
        <w:t>17.4.1</w:t>
      </w:r>
    </w:p>
    <w:p>
      <w:pPr>
        <w:spacing w:line="400" w:lineRule="exact"/>
        <w:ind w:left="346" w:leftChars="165"/>
        <w:rPr>
          <w:rFonts w:hint="eastAsia" w:ascii="宋体" w:hAnsi="宋体" w:eastAsia="宋体" w:cs="宋体"/>
          <w:sz w:val="24"/>
          <w:szCs w:val="24"/>
        </w:rPr>
      </w:pPr>
      <w:r>
        <w:rPr>
          <w:rFonts w:hint="eastAsia" w:ascii="宋体" w:hAnsi="宋体" w:eastAsia="宋体" w:cs="宋体"/>
          <w:sz w:val="24"/>
          <w:szCs w:val="24"/>
        </w:rPr>
        <w:t>质量保证金的金额或比例：</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质量保证金的扣留方法：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17.5竣工结算</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17.5.1竣工付款申请单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承包人提交竣工付款申请单的份数：</w:t>
      </w:r>
      <w:r>
        <w:rPr>
          <w:rFonts w:hint="eastAsia" w:ascii="宋体" w:hAnsi="宋体" w:eastAsia="宋体" w:cs="宋体"/>
          <w:sz w:val="24"/>
          <w:szCs w:val="24"/>
          <w:u w:val="single"/>
        </w:rPr>
        <w:t xml:space="preserve">   五份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承包人提交竣工付款申请单的期限：</w:t>
      </w:r>
      <w:r>
        <w:rPr>
          <w:rFonts w:hint="eastAsia" w:ascii="宋体" w:hAnsi="宋体" w:eastAsia="宋体" w:cs="宋体"/>
          <w:sz w:val="24"/>
          <w:szCs w:val="24"/>
          <w:u w:val="single"/>
        </w:rPr>
        <w:t xml:space="preserve">  竣工验收合格且结算审计完成双方认可生效后28天内</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竣工付款申请单的内容：</w:t>
      </w:r>
      <w:r>
        <w:rPr>
          <w:rFonts w:hint="eastAsia" w:ascii="宋体" w:hAnsi="宋体" w:eastAsia="宋体" w:cs="宋体"/>
          <w:sz w:val="24"/>
          <w:szCs w:val="24"/>
          <w:u w:val="single"/>
        </w:rPr>
        <w:t>竣工结算合同总价、已支付的工程价款、应扣留的质量保证金、应支付的竣工付款金额等</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不管通用合同条款17.5.2项如何约定，发包人和承包人应当在监理人颁发(出具)工程接收证书后56天内办清竣工结算和竣工付款。</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17.6最终结清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17.6.1最终结清申请单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 xml:space="preserve">   五份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承包人提交最终结清申请单的期限：</w:t>
      </w:r>
      <w:r>
        <w:rPr>
          <w:rFonts w:hint="eastAsia" w:ascii="宋体" w:hAnsi="宋体" w:eastAsia="宋体" w:cs="宋体"/>
          <w:sz w:val="24"/>
          <w:szCs w:val="24"/>
          <w:u w:val="single"/>
        </w:rPr>
        <w:t xml:space="preserve">  缺陷责任期终止证书签发后14天内      </w:t>
      </w:r>
      <w:r>
        <w:rPr>
          <w:rFonts w:hint="eastAsia" w:ascii="宋体" w:hAnsi="宋体" w:eastAsia="宋体" w:cs="宋体"/>
          <w:sz w:val="24"/>
          <w:szCs w:val="24"/>
        </w:rPr>
        <w:t>。</w:t>
      </w:r>
    </w:p>
    <w:p>
      <w:pPr>
        <w:pStyle w:val="5"/>
        <w:rPr>
          <w:rFonts w:hint="eastAsia" w:ascii="宋体" w:hAnsi="宋体" w:eastAsia="宋体" w:cs="宋体"/>
          <w:sz w:val="24"/>
          <w:szCs w:val="24"/>
        </w:rPr>
      </w:pPr>
      <w:r>
        <w:rPr>
          <w:rFonts w:hint="eastAsia" w:ascii="宋体" w:hAnsi="宋体" w:eastAsia="宋体" w:cs="宋体"/>
          <w:sz w:val="24"/>
          <w:szCs w:val="24"/>
        </w:rPr>
        <w:t>18.竣工验收</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18.2竣工验收申请报告</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sz w:val="24"/>
          <w:szCs w:val="24"/>
          <w:u w:val="single"/>
        </w:rPr>
        <w:t xml:space="preserve"> 按国家规范及工程所在地建设行政主管部门和(或)城市建设档案管理机构对竣工验收资料内容的规定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竣工验收资料的份数：</w:t>
      </w:r>
      <w:r>
        <w:rPr>
          <w:rFonts w:hint="eastAsia" w:ascii="宋体" w:hAnsi="宋体" w:eastAsia="宋体" w:cs="宋体"/>
          <w:sz w:val="24"/>
          <w:szCs w:val="24"/>
          <w:u w:val="single"/>
        </w:rPr>
        <w:t xml:space="preserve">除向政府主管部门备案的资料外，按现行《建设工程文件规范》《建筑资料管理规程》及《山东省建筑工程施工技术资料管理规程》归档的工程资料为3套，其竣工图的绘制及工程资料归档由承包人负责，并承担相应费用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竣工验收资料的费用支付方式：</w:t>
      </w:r>
      <w:r>
        <w:rPr>
          <w:rFonts w:hint="eastAsia" w:ascii="宋体" w:hAnsi="宋体" w:eastAsia="宋体" w:cs="宋体"/>
          <w:sz w:val="24"/>
          <w:szCs w:val="24"/>
          <w:u w:val="single"/>
        </w:rPr>
        <w:t xml:space="preserve">  由承包人自行承担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18.3验收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18.3.5经验收合格的工程，实际竣工日期为承包人按照第18.2款提交竣工验收申请报告或按照本款重新提交竣工验收申请报告的日期(以两者中时间在后者为准)。</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18.5施工期运行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18.5.1需要施工期运行的单位工程或设备安装工程：</w:t>
      </w:r>
      <w:r>
        <w:rPr>
          <w:rFonts w:hint="eastAsia" w:ascii="宋体" w:hAnsi="宋体" w:eastAsia="宋体" w:cs="宋体"/>
          <w:sz w:val="24"/>
          <w:szCs w:val="24"/>
          <w:u w:val="single"/>
        </w:rPr>
        <w:t xml:space="preserve">  根据实际情况按发包人要求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18.6试运行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18.6.1工程及工程设备试运行的组织与费用承担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（1）工程设备安装具备单机无负荷试运行条件，由承包人组织试运行，费用由承包人承担。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（2）工程设备安装具备无负荷联动试运行条件，由发包人组织试运行，费用由发包人承担。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（3）投料试运行应在工程竣工验收后由发包人负责，如发包人要求在工程竣工验收前进行或需要承包人配合时，应征得承包人同意，另行签订补充协议。</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18.7竣工清场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18.7.1监理人颁发(出具)工程接收证书后，承包人负责按照通用合同条款本项约定的要求对施工场地进行清理并承担相关费用，直至监理人检验合格为止。</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18.8施工队伍的撤离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缺陷责任期满时，承包人可以继续在施工场地保留的人员和施工设备以及最终撤离的期限：</w:t>
      </w:r>
      <w:r>
        <w:rPr>
          <w:rFonts w:hint="eastAsia" w:ascii="宋体" w:hAnsi="宋体" w:eastAsia="宋体" w:cs="宋体"/>
          <w:sz w:val="24"/>
          <w:szCs w:val="24"/>
          <w:u w:val="single"/>
        </w:rPr>
        <w:t xml:space="preserve">缺陷责任期满时，承包人的人员和施工设备应全部撤离施工场地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18.9中间验收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本工程需要进行中间验收的部位如下：</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sz w:val="24"/>
          <w:szCs w:val="24"/>
          <w:u w:val="single"/>
        </w:rPr>
        <w:t xml:space="preserve"> 监理人要求的 </w:t>
      </w:r>
      <w:r>
        <w:rPr>
          <w:rFonts w:hint="eastAsia" w:ascii="宋体" w:hAnsi="宋体" w:eastAsia="宋体" w:cs="宋体"/>
          <w:sz w:val="24"/>
          <w:szCs w:val="24"/>
        </w:rPr>
        <w:t>期限内进行修改后重新验收。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经监理人验收后工程质量符合约定的验收标准，但验收24小时后监理人仍不在验收记录上签字的，视为监理人已经认可验收记录，承包人可继续施工。</w:t>
      </w:r>
    </w:p>
    <w:p>
      <w:pPr>
        <w:pStyle w:val="5"/>
        <w:rPr>
          <w:rFonts w:hint="eastAsia" w:ascii="宋体" w:hAnsi="宋体" w:eastAsia="宋体" w:cs="宋体"/>
          <w:sz w:val="24"/>
          <w:szCs w:val="24"/>
        </w:rPr>
      </w:pPr>
      <w:r>
        <w:rPr>
          <w:rFonts w:hint="eastAsia" w:ascii="宋体" w:hAnsi="宋体" w:eastAsia="宋体" w:cs="宋体"/>
          <w:sz w:val="24"/>
          <w:szCs w:val="24"/>
        </w:rPr>
        <w:t>19.缺陷责任与保修责任</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19.7保修责任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(1)工程质量保修范围：</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(2)工程质量保修期限：</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(3)工程质量保修责任：</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rPr>
          <w:rFonts w:hint="eastAsia" w:ascii="宋体" w:hAnsi="宋体" w:eastAsia="宋体" w:cs="宋体"/>
          <w:sz w:val="24"/>
          <w:szCs w:val="24"/>
        </w:rPr>
      </w:pPr>
      <w:r>
        <w:rPr>
          <w:rFonts w:hint="eastAsia" w:ascii="宋体" w:hAnsi="宋体" w:eastAsia="宋体" w:cs="宋体"/>
          <w:sz w:val="24"/>
          <w:szCs w:val="24"/>
        </w:rPr>
        <w:t>20.保险</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20.1工程保险</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本工程</w:t>
      </w:r>
      <w:r>
        <w:rPr>
          <w:rFonts w:hint="eastAsia" w:ascii="宋体" w:hAnsi="宋体" w:eastAsia="宋体" w:cs="宋体"/>
          <w:sz w:val="24"/>
          <w:szCs w:val="24"/>
          <w:u w:val="single"/>
        </w:rPr>
        <w:t xml:space="preserve">     </w:t>
      </w:r>
      <w:r>
        <w:rPr>
          <w:rFonts w:hint="eastAsia" w:ascii="宋体" w:hAnsi="宋体" w:eastAsia="宋体" w:cs="宋体"/>
          <w:sz w:val="24"/>
          <w:szCs w:val="24"/>
        </w:rPr>
        <w:t>工程保险。投保工程保险时，险种为：</w:t>
      </w:r>
      <w:r>
        <w:rPr>
          <w:rFonts w:hint="eastAsia" w:ascii="宋体" w:hAnsi="宋体" w:eastAsia="宋体" w:cs="宋体"/>
          <w:sz w:val="24"/>
          <w:szCs w:val="24"/>
          <w:u w:val="single"/>
        </w:rPr>
        <w:t xml:space="preserve">      </w:t>
      </w:r>
      <w:r>
        <w:rPr>
          <w:rFonts w:hint="eastAsia" w:ascii="宋体" w:hAnsi="宋体" w:eastAsia="宋体" w:cs="宋体"/>
          <w:sz w:val="24"/>
          <w:szCs w:val="24"/>
        </w:rPr>
        <w:t>，并符合以下约定。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(1)投保人：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(2)投保内容：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(3)保险费率：由投保人与合同双方同意的保险人商定。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(4)保险金额：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(5)保险期限：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20.4第三者责任险</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20.4.2保险金额：</w:t>
      </w:r>
      <w:r>
        <w:rPr>
          <w:rFonts w:hint="eastAsia" w:ascii="宋体" w:hAnsi="宋体" w:eastAsia="宋体" w:cs="宋体"/>
          <w:sz w:val="24"/>
          <w:szCs w:val="24"/>
          <w:u w:val="single"/>
        </w:rPr>
        <w:t xml:space="preserve">                          </w:t>
      </w:r>
      <w:r>
        <w:rPr>
          <w:rFonts w:hint="eastAsia" w:ascii="宋体" w:hAnsi="宋体" w:eastAsia="宋体" w:cs="宋体"/>
          <w:sz w:val="24"/>
          <w:szCs w:val="24"/>
        </w:rPr>
        <w:t>，保险费率由承包人与发包人同意的保险人商定，相关保险费由</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承担。</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20.5其他保险</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承包人应为其施工设备、进场材料和工程设备等办理的保险：</w:t>
      </w:r>
      <w:r>
        <w:rPr>
          <w:rFonts w:hint="eastAsia" w:ascii="宋体" w:hAnsi="宋体" w:eastAsia="宋体" w:cs="宋体"/>
          <w:sz w:val="24"/>
          <w:szCs w:val="24"/>
          <w:u w:val="single"/>
        </w:rPr>
        <w:t xml:space="preserve">  承包人自行确定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20.6对各项保险的一般要求</w:t>
      </w:r>
    </w:p>
    <w:p>
      <w:pPr>
        <w:spacing w:before="72" w:beforeLines="30" w:after="72" w:afterLines="30" w:line="400" w:lineRule="exact"/>
        <w:rPr>
          <w:rFonts w:hint="eastAsia" w:ascii="宋体" w:hAnsi="宋体" w:eastAsia="宋体" w:cs="宋体"/>
          <w:sz w:val="24"/>
          <w:szCs w:val="24"/>
        </w:rPr>
      </w:pPr>
      <w:r>
        <w:rPr>
          <w:rFonts w:hint="eastAsia" w:ascii="宋体" w:hAnsi="宋体" w:eastAsia="宋体" w:cs="宋体"/>
          <w:sz w:val="24"/>
          <w:szCs w:val="24"/>
        </w:rPr>
        <w:t>20.6.1保险凭证</w:t>
      </w:r>
    </w:p>
    <w:p>
      <w:pPr>
        <w:spacing w:line="400" w:lineRule="exact"/>
        <w:rPr>
          <w:rFonts w:hint="eastAsia" w:ascii="宋体" w:hAnsi="宋体" w:eastAsia="宋体" w:cs="宋体"/>
          <w:sz w:val="24"/>
          <w:szCs w:val="24"/>
        </w:rPr>
      </w:pPr>
      <w:r>
        <w:rPr>
          <w:rFonts w:hint="eastAsia" w:ascii="宋体" w:hAnsi="宋体" w:eastAsia="宋体" w:cs="宋体"/>
          <w:sz w:val="24"/>
          <w:szCs w:val="24"/>
        </w:rPr>
        <w:t>承包人向发包人提交各项保险生效的证据和保险单副本的期限：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before="72" w:beforeLines="30" w:after="72" w:afterLines="30" w:line="400" w:lineRule="exact"/>
        <w:rPr>
          <w:rFonts w:hint="eastAsia" w:ascii="宋体" w:hAnsi="宋体" w:eastAsia="宋体" w:cs="宋体"/>
          <w:sz w:val="24"/>
          <w:szCs w:val="24"/>
        </w:rPr>
      </w:pPr>
      <w:r>
        <w:rPr>
          <w:rFonts w:hint="eastAsia" w:ascii="宋体" w:hAnsi="宋体" w:eastAsia="宋体" w:cs="宋体"/>
          <w:sz w:val="24"/>
          <w:szCs w:val="24"/>
        </w:rPr>
        <w:t>20.6.4保险金不足的补偿</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保险金不足以补偿损失时，承包人和发包人负责补偿的责任分摊：</w:t>
      </w:r>
      <w:r>
        <w:rPr>
          <w:rFonts w:hint="eastAsia" w:ascii="宋体" w:hAnsi="宋体" w:eastAsia="宋体" w:cs="宋体"/>
          <w:sz w:val="24"/>
          <w:szCs w:val="24"/>
          <w:u w:val="single"/>
        </w:rPr>
        <w:t xml:space="preserve">             。 </w:t>
      </w:r>
    </w:p>
    <w:p>
      <w:pPr>
        <w:pStyle w:val="5"/>
        <w:rPr>
          <w:rFonts w:hint="eastAsia" w:ascii="宋体" w:hAnsi="宋体" w:eastAsia="宋体" w:cs="宋体"/>
          <w:sz w:val="24"/>
          <w:szCs w:val="24"/>
        </w:rPr>
      </w:pPr>
      <w:r>
        <w:rPr>
          <w:rFonts w:hint="eastAsia" w:ascii="宋体" w:hAnsi="宋体" w:eastAsia="宋体" w:cs="宋体"/>
          <w:sz w:val="24"/>
          <w:szCs w:val="24"/>
        </w:rPr>
        <w:t>21.不可抗力</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21.1不可抗力的确认</w:t>
      </w:r>
    </w:p>
    <w:p>
      <w:pPr>
        <w:spacing w:line="400" w:lineRule="exact"/>
        <w:rPr>
          <w:rFonts w:hint="eastAsia" w:ascii="宋体" w:hAnsi="宋体" w:eastAsia="宋体" w:cs="宋体"/>
          <w:sz w:val="24"/>
          <w:szCs w:val="24"/>
          <w:u w:val="single"/>
        </w:rPr>
      </w:pPr>
      <w:r>
        <w:rPr>
          <w:rFonts w:hint="eastAsia" w:ascii="宋体" w:hAnsi="宋体" w:eastAsia="宋体" w:cs="宋体"/>
          <w:sz w:val="24"/>
          <w:szCs w:val="24"/>
        </w:rPr>
        <w:t>21.1.1通用合同条款第21.1.1项约定的不可抗力以外的其他情形：</w:t>
      </w:r>
      <w:r>
        <w:rPr>
          <w:rFonts w:hint="eastAsia" w:ascii="宋体" w:hAnsi="宋体" w:eastAsia="宋体" w:cs="宋体"/>
          <w:sz w:val="24"/>
          <w:szCs w:val="24"/>
          <w:u w:val="single"/>
        </w:rPr>
        <w:t xml:space="preserve">  按国家有关部门认定的标准。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不可抗力的等级范围约定：</w:t>
      </w:r>
      <w:r>
        <w:rPr>
          <w:rFonts w:hint="eastAsia" w:ascii="宋体" w:hAnsi="宋体" w:eastAsia="宋体" w:cs="宋体"/>
          <w:sz w:val="24"/>
          <w:szCs w:val="24"/>
          <w:u w:val="single"/>
        </w:rPr>
        <w:t xml:space="preserve">发包人与承包人另行协商约定                     。 </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21.3不可抗力后果及其处理</w:t>
      </w:r>
    </w:p>
    <w:p>
      <w:pPr>
        <w:spacing w:before="72" w:beforeLines="30" w:after="72" w:afterLines="30" w:line="400" w:lineRule="exact"/>
        <w:rPr>
          <w:rFonts w:hint="eastAsia" w:ascii="宋体" w:hAnsi="宋体" w:eastAsia="宋体" w:cs="宋体"/>
          <w:sz w:val="24"/>
          <w:szCs w:val="24"/>
        </w:rPr>
      </w:pPr>
      <w:r>
        <w:rPr>
          <w:rFonts w:hint="eastAsia" w:ascii="宋体" w:hAnsi="宋体" w:eastAsia="宋体" w:cs="宋体"/>
          <w:sz w:val="24"/>
          <w:szCs w:val="24"/>
        </w:rPr>
        <w:t>21.3.1不可抗力造成损害的责任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不可抗力导致的人员伤亡、财产损失、费用增加和(或)工期延误等后果，由合同双方按通用合同条款第21.3.1项约定的原则承担。</w:t>
      </w:r>
    </w:p>
    <w:p>
      <w:pPr>
        <w:pStyle w:val="5"/>
        <w:rPr>
          <w:rFonts w:hint="eastAsia" w:ascii="宋体" w:hAnsi="宋体" w:eastAsia="宋体" w:cs="宋体"/>
          <w:sz w:val="24"/>
          <w:szCs w:val="24"/>
        </w:rPr>
      </w:pPr>
      <w:r>
        <w:rPr>
          <w:rFonts w:hint="eastAsia" w:ascii="宋体" w:hAnsi="宋体" w:eastAsia="宋体" w:cs="宋体"/>
          <w:sz w:val="24"/>
          <w:szCs w:val="24"/>
        </w:rPr>
        <w:t>24.争议的解决</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24.1争议的解决方式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因本合同引起的或与本合同有关的任何争议，合同双方友好协商不成、不愿提请争议组评审或者不愿接受争议评审组意见的，选择下列第</w:t>
      </w:r>
      <w:r>
        <w:rPr>
          <w:rFonts w:hint="eastAsia" w:ascii="宋体" w:hAnsi="宋体" w:eastAsia="宋体" w:cs="宋体"/>
          <w:sz w:val="24"/>
          <w:szCs w:val="24"/>
          <w:u w:val="single"/>
        </w:rPr>
        <w:t xml:space="preserve"> 贰 </w:t>
      </w:r>
      <w:r>
        <w:rPr>
          <w:rFonts w:hint="eastAsia" w:ascii="宋体" w:hAnsi="宋体" w:eastAsia="宋体" w:cs="宋体"/>
          <w:sz w:val="24"/>
          <w:szCs w:val="24"/>
        </w:rPr>
        <w:t>种方式解决：</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（壹）</w:t>
      </w:r>
      <w:r>
        <w:rPr>
          <w:rFonts w:hint="eastAsia" w:ascii="宋体" w:hAnsi="宋体" w:eastAsia="宋体" w:cs="宋体"/>
          <w:sz w:val="24"/>
          <w:szCs w:val="24"/>
        </w:rPr>
        <w:t>提请</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仲裁委员会按照该会仲裁规则进行仲裁，仲裁裁决是终局的，对合同双方均有约束力。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（贰）</w:t>
      </w:r>
      <w:r>
        <w:rPr>
          <w:rFonts w:hint="eastAsia" w:ascii="宋体" w:hAnsi="宋体" w:eastAsia="宋体" w:cs="宋体"/>
          <w:sz w:val="24"/>
          <w:szCs w:val="24"/>
        </w:rPr>
        <w:t>向有管辖权的人民法院提起诉讼。</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24.3争议评审</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24.3.4争议评审组邀请合同双方代表人和有关人员举行调查会的期限：</w:t>
      </w:r>
      <w:r>
        <w:rPr>
          <w:rFonts w:hint="eastAsia" w:ascii="宋体" w:hAnsi="宋体" w:eastAsia="宋体" w:cs="宋体"/>
          <w:sz w:val="24"/>
          <w:szCs w:val="24"/>
          <w:u w:val="single"/>
        </w:rPr>
        <w:t>争议评审组在收到合同双方报告后的14天内。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24.3.5争议评审组在调查会后作出争议评审意见的期限：</w:t>
      </w:r>
      <w:r>
        <w:rPr>
          <w:rFonts w:hint="eastAsia" w:ascii="宋体" w:hAnsi="宋体" w:eastAsia="宋体" w:cs="宋体"/>
          <w:sz w:val="24"/>
          <w:szCs w:val="24"/>
          <w:u w:val="single"/>
        </w:rPr>
        <w:t xml:space="preserve">在调查会结束后的14天内。  </w:t>
      </w:r>
    </w:p>
    <w:p>
      <w:pPr>
        <w:pStyle w:val="5"/>
        <w:rPr>
          <w:rFonts w:hint="eastAsia" w:ascii="宋体" w:hAnsi="宋体" w:eastAsia="宋体" w:cs="宋体"/>
          <w:sz w:val="24"/>
          <w:szCs w:val="24"/>
        </w:rPr>
      </w:pPr>
      <w:r>
        <w:rPr>
          <w:rFonts w:hint="eastAsia" w:ascii="宋体" w:hAnsi="宋体" w:eastAsia="宋体" w:cs="宋体"/>
          <w:sz w:val="24"/>
          <w:szCs w:val="24"/>
        </w:rPr>
        <w:t>25. 补充条款</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w:t>
      </w:r>
      <w:r>
        <w:rPr>
          <w:rFonts w:hint="eastAsia" w:ascii="宋体" w:hAnsi="宋体" w:cs="宋体"/>
          <w:b/>
          <w:bCs w:val="0"/>
          <w:sz w:val="24"/>
        </w:rPr>
        <w:t>1、施工期间与周边关系（包括同时施工的其他施工单位关）的协调由施工单位自行解决。</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25.2</w:t>
      </w:r>
      <w:r>
        <w:rPr>
          <w:rFonts w:hint="eastAsia" w:ascii="宋体" w:hAnsi="宋体" w:cs="宋体"/>
          <w:b/>
          <w:bCs w:val="0"/>
          <w:sz w:val="24"/>
        </w:rPr>
        <w:t>、承包人拟投入本项目的设备、材料采购进场前，应征得发包人认可。发包人对承包人确定的投标人及各种材料的厂家、品牌具有监督审核权，若发包人认为承包人确定的各种材料无法满足设计及使用要求时，承包人应按设计及使用要求更换合格的设备、材料投标人。承包人拒不更换的，视为承包人违约，发包人有权单方面解除合同，所有损失由承包人承担。</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25.3</w:t>
      </w:r>
      <w:r>
        <w:rPr>
          <w:rFonts w:hint="eastAsia" w:ascii="宋体" w:hAnsi="宋体" w:cs="宋体"/>
          <w:b/>
          <w:bCs w:val="0"/>
          <w:sz w:val="24"/>
        </w:rPr>
        <w:t>、工程所发生的材料均需为技术监督、质量检测检验等部门核准同意产品，并须提交第三方检验检测机构出具的产品合格检验检测报告，且一切相关检测、复检、各级（各类）验收、协调等费用（含第三方检验机构的费用）应综合考虑在投标报价中。若有进口材料的，必须提供原产地证明及报关手续。</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25.4</w:t>
      </w:r>
      <w:r>
        <w:rPr>
          <w:rFonts w:hint="eastAsia" w:ascii="宋体" w:hAnsi="宋体" w:cs="宋体"/>
          <w:b/>
          <w:bCs w:val="0"/>
          <w:sz w:val="24"/>
        </w:rPr>
        <w:t>、承包人使用的主要材料不得使用贴牌产品，否则每发现一次，承包人需向发包人支付合同造价1%的违约金，已经使用的由承包人按要求负责拆除，并重新采购，承担造成的一切损失，由此延误的工期不予顺延。</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25.5</w:t>
      </w:r>
      <w:r>
        <w:rPr>
          <w:rFonts w:hint="eastAsia" w:ascii="宋体" w:hAnsi="宋体" w:cs="宋体"/>
          <w:b/>
          <w:bCs w:val="0"/>
          <w:sz w:val="24"/>
        </w:rPr>
        <w:t>、发包人有权择优选择或调整工程中使用的主要材料，并据实调增（减）材料价格，承包人需积极配合。</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25.6</w:t>
      </w:r>
      <w:r>
        <w:rPr>
          <w:rFonts w:hint="eastAsia" w:ascii="宋体" w:hAnsi="宋体" w:cs="宋体"/>
          <w:b/>
          <w:bCs w:val="0"/>
          <w:sz w:val="24"/>
        </w:rPr>
        <w:t>、承包人采购的材料到货后必须履行样品复核报审手续，经检验合格并得到</w:t>
      </w:r>
      <w:r>
        <w:rPr>
          <w:rFonts w:hint="eastAsia" w:ascii="宋体" w:hAnsi="宋体" w:cs="宋体"/>
          <w:b/>
          <w:bCs w:val="0"/>
          <w:sz w:val="24"/>
          <w:lang w:val="en-US" w:eastAsia="zh-CN"/>
        </w:rPr>
        <w:t>采购人</w:t>
      </w:r>
      <w:r>
        <w:rPr>
          <w:rFonts w:hint="eastAsia" w:ascii="宋体" w:hAnsi="宋体" w:cs="宋体"/>
          <w:b/>
          <w:bCs w:val="0"/>
          <w:sz w:val="24"/>
        </w:rPr>
        <w:t>发出的书面认定后，承包人方可投入使用，否则不能使用并不予结算。</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25.7</w:t>
      </w:r>
      <w:r>
        <w:rPr>
          <w:rFonts w:hint="eastAsia" w:ascii="宋体" w:hAnsi="宋体" w:cs="宋体"/>
          <w:b/>
          <w:bCs w:val="0"/>
          <w:sz w:val="24"/>
        </w:rPr>
        <w:t>、发包人和监理工程师对材料投标人的决定或认可并不解除承包人对工程质量、工期的责任，也不解除承包人对材料应负的责任。</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25.8</w:t>
      </w:r>
      <w:r>
        <w:rPr>
          <w:rFonts w:hint="eastAsia" w:ascii="宋体" w:hAnsi="宋体" w:cs="宋体"/>
          <w:b/>
          <w:bCs w:val="0"/>
          <w:sz w:val="24"/>
        </w:rPr>
        <w:t>、承包人负责提供的材料和工程设备，技术标准和要求中有规定的必须优于或等同于技术标准和要求中的规定。</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25.9</w:t>
      </w:r>
      <w:r>
        <w:rPr>
          <w:rFonts w:hint="eastAsia" w:ascii="宋体" w:hAnsi="宋体" w:cs="宋体"/>
          <w:b/>
          <w:bCs w:val="0"/>
          <w:sz w:val="24"/>
        </w:rPr>
        <w:t>、承包人负责提供的主要材料和工程设备必须经发包人和承包人共同考察，经发包人确定材料品牌、规格后方可投入工程。</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25.10</w:t>
      </w:r>
      <w:r>
        <w:rPr>
          <w:rFonts w:hint="eastAsia" w:ascii="宋体" w:hAnsi="宋体" w:cs="宋体"/>
          <w:b/>
          <w:bCs w:val="0"/>
          <w:sz w:val="24"/>
        </w:rPr>
        <w:t>、验收时必须按照国家、行业及地方政府相关规定进行试验及环境检测，若达不到验收标准，全部责任由承包人自行承担。检测及试验费用由承包人综合考虑在报价中。</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11</w:t>
      </w:r>
      <w:r>
        <w:rPr>
          <w:rFonts w:hint="eastAsia" w:ascii="宋体" w:hAnsi="宋体"/>
          <w:b/>
          <w:bCs w:val="0"/>
          <w:sz w:val="24"/>
        </w:rPr>
        <w:t>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12</w:t>
      </w:r>
      <w:r>
        <w:rPr>
          <w:rFonts w:hint="eastAsia" w:ascii="宋体" w:hAnsi="宋体"/>
          <w:b/>
          <w:bCs w:val="0"/>
          <w:sz w:val="24"/>
        </w:rPr>
        <w:t>发包人工程师有权随时向承包人发出关于工程合理施工、竣工及保修所需的补充文件和指示或设计变更部分增加的工作内容。承包人必须执行这些补充文件和指示，并受其约束。否则视为承包人违约，所有责任由承包人承担。</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13</w:t>
      </w:r>
      <w:r>
        <w:rPr>
          <w:rFonts w:hint="eastAsia" w:ascii="宋体" w:hAnsi="宋体"/>
          <w:b/>
          <w:bCs w:val="0"/>
          <w:sz w:val="24"/>
        </w:rPr>
        <w:t>禁止中标单位将承包的工程进行转包、违法分包，禁止中标单位转让、出借企业资质证书或者以其他方式允许他人以本企业名义承揽本工程，如发现上述情况，发包人有权中止合同，承包人赔偿因此给发包人造成的一切经济损失，并承担法律责任。同时向公共资源交易管理部门反映，将承包人列入政府投资工程黑名单。</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14</w:t>
      </w:r>
      <w:r>
        <w:rPr>
          <w:rFonts w:hint="eastAsia" w:ascii="宋体" w:hAnsi="宋体"/>
          <w:b/>
          <w:bCs w:val="0"/>
          <w:sz w:val="24"/>
        </w:rPr>
        <w:t>承包人应根据现场实际情况，制定有效安全防范、防护措施，安设醒目安全标志、警戒线，并安排专人负责。任何因承包人原因引起的</w:t>
      </w:r>
      <w:r>
        <w:rPr>
          <w:rFonts w:hint="eastAsia" w:ascii="宋体" w:hAnsi="宋体"/>
          <w:b/>
          <w:bCs w:val="0"/>
          <w:sz w:val="24"/>
          <w:lang w:eastAsia="zh-CN"/>
        </w:rPr>
        <w:t>安全</w:t>
      </w:r>
      <w:r>
        <w:rPr>
          <w:rFonts w:hint="eastAsia" w:ascii="宋体" w:hAnsi="宋体"/>
          <w:b/>
          <w:bCs w:val="0"/>
          <w:sz w:val="24"/>
        </w:rPr>
        <w:t>、</w:t>
      </w:r>
      <w:r>
        <w:rPr>
          <w:rFonts w:hint="eastAsia" w:ascii="宋体" w:hAnsi="宋体"/>
          <w:b/>
          <w:bCs w:val="0"/>
          <w:sz w:val="24"/>
          <w:lang w:eastAsia="zh-CN"/>
        </w:rPr>
        <w:t>交通</w:t>
      </w:r>
      <w:r>
        <w:rPr>
          <w:rFonts w:hint="eastAsia" w:ascii="宋体" w:hAnsi="宋体"/>
          <w:b/>
          <w:bCs w:val="0"/>
          <w:sz w:val="24"/>
        </w:rPr>
        <w:t>等安全问题均由承包人负责。</w:t>
      </w:r>
    </w:p>
    <w:p>
      <w:pPr>
        <w:spacing w:line="560" w:lineRule="exact"/>
        <w:ind w:firstLine="482" w:firstLineChars="200"/>
        <w:rPr>
          <w:rFonts w:hint="eastAsia" w:ascii="宋体" w:hAnsi="宋体"/>
          <w:b/>
          <w:bCs w:val="0"/>
          <w:color w:val="0000FF"/>
          <w:sz w:val="24"/>
          <w:highlight w:val="yellow"/>
        </w:rPr>
      </w:pPr>
      <w:r>
        <w:rPr>
          <w:rFonts w:hint="eastAsia" w:ascii="宋体" w:hAnsi="宋体"/>
          <w:b/>
          <w:bCs w:val="0"/>
          <w:color w:val="auto"/>
          <w:sz w:val="24"/>
          <w:highlight w:val="none"/>
        </w:rPr>
        <w:t>25.</w:t>
      </w:r>
      <w:r>
        <w:rPr>
          <w:rFonts w:hint="eastAsia" w:ascii="宋体" w:hAnsi="宋体"/>
          <w:b/>
          <w:bCs w:val="0"/>
          <w:color w:val="auto"/>
          <w:sz w:val="24"/>
          <w:highlight w:val="none"/>
          <w:lang w:val="en-US" w:eastAsia="zh-CN"/>
        </w:rPr>
        <w:t>15</w:t>
      </w:r>
      <w:r>
        <w:rPr>
          <w:rFonts w:hint="eastAsia" w:ascii="宋体" w:hAnsi="宋体"/>
          <w:b/>
          <w:bCs w:val="0"/>
          <w:color w:val="auto"/>
          <w:sz w:val="24"/>
          <w:highlight w:val="none"/>
        </w:rPr>
        <w:t>承包人应</w:t>
      </w:r>
      <w:r>
        <w:rPr>
          <w:rFonts w:hint="eastAsia" w:ascii="宋体" w:hAnsi="宋体"/>
          <w:b/>
          <w:bCs w:val="0"/>
          <w:color w:val="auto"/>
          <w:sz w:val="24"/>
          <w:highlight w:val="none"/>
          <w:lang w:val="en-US" w:eastAsia="zh-CN"/>
        </w:rPr>
        <w:t>对</w:t>
      </w:r>
      <w:r>
        <w:rPr>
          <w:rFonts w:hint="eastAsia" w:ascii="宋体" w:hAnsi="宋体" w:eastAsia="宋体" w:cs="Times New Roman"/>
          <w:b/>
          <w:bCs w:val="0"/>
          <w:sz w:val="24"/>
          <w:lang w:val="en-US" w:eastAsia="zh-CN"/>
        </w:rPr>
        <w:t>原有</w:t>
      </w:r>
      <w:r>
        <w:rPr>
          <w:rFonts w:hint="eastAsia" w:ascii="宋体" w:hAnsi="宋体" w:eastAsia="宋体" w:cs="Times New Roman"/>
          <w:b/>
          <w:bCs w:val="0"/>
          <w:sz w:val="24"/>
        </w:rPr>
        <w:t>设施</w:t>
      </w:r>
      <w:r>
        <w:rPr>
          <w:rFonts w:hint="eastAsia" w:ascii="宋体" w:hAnsi="宋体" w:eastAsia="宋体" w:cs="Times New Roman"/>
          <w:b/>
          <w:bCs w:val="0"/>
          <w:sz w:val="24"/>
          <w:lang w:val="en-US" w:eastAsia="zh-CN"/>
        </w:rPr>
        <w:t>进行充分保护（包括原自来水管、下水道等），因承包人施工原因对原有设施进行损坏的，由承包人对损毁部分进行维修，其损失有承包人承担</w:t>
      </w:r>
      <w:r>
        <w:rPr>
          <w:rFonts w:hint="eastAsia" w:ascii="宋体" w:hAnsi="宋体" w:eastAsia="宋体" w:cs="Times New Roman"/>
          <w:b/>
          <w:bCs w:val="0"/>
          <w:sz w:val="24"/>
        </w:rPr>
        <w:t>。</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16</w:t>
      </w:r>
      <w:r>
        <w:rPr>
          <w:rFonts w:hint="eastAsia" w:ascii="宋体" w:hAnsi="宋体"/>
          <w:b/>
          <w:bCs w:val="0"/>
          <w:sz w:val="24"/>
        </w:rPr>
        <w:t>承包人应及时支付工程材料款及民工工资等款项，任何因承包人原因给发包人带来的任何负面及不良影响，均由承包人承担全部责任。</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17</w:t>
      </w:r>
      <w:r>
        <w:rPr>
          <w:rFonts w:hint="eastAsia" w:ascii="宋体" w:hAnsi="宋体"/>
          <w:b/>
          <w:bCs w:val="0"/>
          <w:sz w:val="24"/>
        </w:rPr>
        <w:t>如有下列情况之一，发包人有权终止合同或视情况由承包人承担相应责任：</w:t>
      </w:r>
    </w:p>
    <w:p>
      <w:pPr>
        <w:spacing w:line="560" w:lineRule="exact"/>
        <w:ind w:firstLine="482" w:firstLineChars="200"/>
        <w:rPr>
          <w:rFonts w:hint="eastAsia" w:ascii="宋体" w:hAnsi="宋体"/>
          <w:b/>
          <w:bCs w:val="0"/>
          <w:sz w:val="24"/>
        </w:rPr>
      </w:pPr>
      <w:r>
        <w:rPr>
          <w:rFonts w:hint="eastAsia" w:ascii="宋体" w:hAnsi="宋体"/>
          <w:b/>
          <w:bCs w:val="0"/>
          <w:sz w:val="24"/>
        </w:rPr>
        <w:t>（1）承包人未经发包人及监理人批准，私自将已按合同约定进入施工场地的施工设备、临时设施或材料撤离施工场地；</w:t>
      </w:r>
    </w:p>
    <w:p>
      <w:pPr>
        <w:spacing w:line="560" w:lineRule="exact"/>
        <w:ind w:firstLine="482" w:firstLineChars="200"/>
        <w:rPr>
          <w:rFonts w:hint="eastAsia" w:ascii="宋体" w:hAnsi="宋体"/>
          <w:b/>
          <w:bCs w:val="0"/>
          <w:sz w:val="24"/>
        </w:rPr>
      </w:pPr>
      <w:r>
        <w:rPr>
          <w:rFonts w:hint="eastAsia" w:ascii="宋体" w:hAnsi="宋体"/>
          <w:b/>
          <w:bCs w:val="0"/>
          <w:sz w:val="24"/>
        </w:rPr>
        <w:t>（2）承包人违反约定使用了不合格或未经生产厂家委托授权的材料或工程设备，工程质量达不到标准要求，又拒绝清除不合格工程；</w:t>
      </w:r>
    </w:p>
    <w:p>
      <w:pPr>
        <w:spacing w:line="560" w:lineRule="exact"/>
        <w:ind w:firstLine="482" w:firstLineChars="200"/>
        <w:rPr>
          <w:rFonts w:hint="eastAsia" w:ascii="宋体" w:hAnsi="宋体"/>
          <w:b/>
          <w:bCs w:val="0"/>
          <w:sz w:val="24"/>
        </w:rPr>
      </w:pPr>
      <w:r>
        <w:rPr>
          <w:rFonts w:hint="eastAsia" w:ascii="宋体" w:hAnsi="宋体"/>
          <w:b/>
          <w:bCs w:val="0"/>
          <w:sz w:val="24"/>
        </w:rPr>
        <w:t>（3）承包人未能按合同进度时间节点及时完成合同约定的工作，已造成或预期造成工期延误，承包人拒不采取措施整改的；</w:t>
      </w:r>
    </w:p>
    <w:p>
      <w:pPr>
        <w:spacing w:line="560" w:lineRule="exact"/>
        <w:ind w:firstLine="482" w:firstLineChars="200"/>
        <w:rPr>
          <w:rFonts w:hint="eastAsia" w:ascii="宋体" w:hAnsi="宋体"/>
          <w:b/>
          <w:bCs w:val="0"/>
          <w:sz w:val="24"/>
        </w:rPr>
      </w:pPr>
      <w:r>
        <w:rPr>
          <w:rFonts w:hint="eastAsia" w:ascii="宋体" w:hAnsi="宋体"/>
          <w:b/>
          <w:bCs w:val="0"/>
          <w:sz w:val="24"/>
        </w:rPr>
        <w:t>（4）承包人在缺陷责任期内，未能对工程接收证书所列的缺陷清单的内容或缺陷责任期内发生的缺陷进行修复，而又拒绝按监理人指示再进行修补；</w:t>
      </w:r>
    </w:p>
    <w:p>
      <w:pPr>
        <w:spacing w:line="560" w:lineRule="exact"/>
        <w:ind w:firstLine="482" w:firstLineChars="200"/>
        <w:rPr>
          <w:rFonts w:hint="eastAsia" w:ascii="宋体" w:hAnsi="宋体"/>
          <w:b/>
          <w:bCs w:val="0"/>
          <w:sz w:val="24"/>
        </w:rPr>
      </w:pPr>
      <w:r>
        <w:rPr>
          <w:rFonts w:hint="eastAsia" w:ascii="宋体" w:hAnsi="宋体"/>
          <w:b/>
          <w:bCs w:val="0"/>
          <w:sz w:val="24"/>
        </w:rPr>
        <w:t>（5）承包人无法继续履行或明确表示不履行或实质上已停止履行合同；</w:t>
      </w:r>
    </w:p>
    <w:p>
      <w:pPr>
        <w:spacing w:line="560" w:lineRule="exact"/>
        <w:ind w:firstLine="482" w:firstLineChars="200"/>
        <w:rPr>
          <w:rFonts w:hint="eastAsia" w:ascii="宋体" w:hAnsi="宋体"/>
          <w:b/>
          <w:bCs w:val="0"/>
          <w:sz w:val="24"/>
          <w:lang w:eastAsia="zh-CN"/>
        </w:rPr>
      </w:pPr>
      <w:r>
        <w:rPr>
          <w:rFonts w:hint="eastAsia" w:ascii="宋体" w:hAnsi="宋体"/>
          <w:b/>
          <w:bCs w:val="0"/>
          <w:sz w:val="24"/>
        </w:rPr>
        <w:t>（6）发现承包人在招投标阶段弄虚作假情</w:t>
      </w:r>
      <w:r>
        <w:rPr>
          <w:rFonts w:hint="eastAsia" w:ascii="宋体" w:hAnsi="宋体"/>
          <w:b/>
          <w:bCs w:val="0"/>
          <w:sz w:val="24"/>
          <w:lang w:eastAsia="zh-CN"/>
        </w:rPr>
        <w:t>行；</w:t>
      </w:r>
    </w:p>
    <w:p>
      <w:pPr>
        <w:spacing w:line="560" w:lineRule="exact"/>
        <w:ind w:firstLine="482" w:firstLineChars="200"/>
        <w:rPr>
          <w:rFonts w:hint="eastAsia" w:ascii="宋体" w:hAnsi="宋体"/>
          <w:b/>
          <w:bCs w:val="0"/>
          <w:sz w:val="24"/>
        </w:rPr>
      </w:pPr>
      <w:r>
        <w:rPr>
          <w:rFonts w:hint="eastAsia" w:ascii="宋体" w:hAnsi="宋体"/>
          <w:b/>
          <w:bCs w:val="0"/>
          <w:sz w:val="24"/>
        </w:rPr>
        <w:t>（7）承包人转包工程、违法分包工程，认定办法按住房和城乡建设部《建筑工程施工发包与承包违法行为认定查处管理办法》（建市规〔2019〕1号）执行；</w:t>
      </w:r>
    </w:p>
    <w:p>
      <w:pPr>
        <w:spacing w:line="560" w:lineRule="exact"/>
        <w:ind w:firstLine="482" w:firstLineChars="200"/>
        <w:rPr>
          <w:rFonts w:hint="eastAsia" w:ascii="宋体" w:hAnsi="宋体"/>
          <w:b/>
          <w:bCs w:val="0"/>
          <w:sz w:val="24"/>
        </w:rPr>
      </w:pPr>
      <w:r>
        <w:rPr>
          <w:rFonts w:hint="eastAsia" w:ascii="宋体" w:hAnsi="宋体"/>
          <w:b/>
          <w:bCs w:val="0"/>
          <w:sz w:val="24"/>
        </w:rPr>
        <w:t>（8）不按国家规范、技术标准、规程、设计文件施工，或在施工中弄虚作假、偷工减料。</w:t>
      </w:r>
    </w:p>
    <w:p>
      <w:pPr>
        <w:spacing w:line="560" w:lineRule="exact"/>
        <w:ind w:firstLine="482" w:firstLineChars="200"/>
        <w:rPr>
          <w:rFonts w:hint="eastAsia" w:ascii="宋体" w:hAnsi="宋体"/>
          <w:b/>
          <w:bCs w:val="0"/>
          <w:sz w:val="24"/>
        </w:rPr>
      </w:pPr>
      <w:r>
        <w:rPr>
          <w:rFonts w:hint="eastAsia" w:ascii="宋体" w:hAnsi="宋体"/>
          <w:b/>
          <w:bCs w:val="0"/>
          <w:sz w:val="24"/>
        </w:rPr>
        <w:t>（9）承包人不按合同约定履行义务的其他情况。</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18</w:t>
      </w:r>
      <w:r>
        <w:rPr>
          <w:rFonts w:hint="eastAsia" w:ascii="宋体" w:hAnsi="宋体"/>
          <w:b/>
          <w:bCs w:val="0"/>
          <w:sz w:val="24"/>
        </w:rPr>
        <w:t xml:space="preserve"> 扬尘要求：</w:t>
      </w:r>
    </w:p>
    <w:p>
      <w:pPr>
        <w:spacing w:line="560" w:lineRule="exact"/>
        <w:ind w:firstLine="482" w:firstLineChars="200"/>
        <w:rPr>
          <w:rFonts w:hint="eastAsia" w:ascii="宋体" w:hAnsi="宋体"/>
          <w:b/>
          <w:bCs w:val="0"/>
          <w:sz w:val="24"/>
        </w:rPr>
      </w:pPr>
      <w:r>
        <w:rPr>
          <w:rFonts w:hint="eastAsia" w:ascii="宋体" w:hAnsi="宋体"/>
          <w:b/>
          <w:bCs w:val="0"/>
          <w:sz w:val="24"/>
        </w:rPr>
        <w:t>（1）承包人对建设工地扬尘污染防治措施落实工作承担主体责任，承包人应当结合工程建设项目实际和施工合同约定，建立健全扬尘污染防治责任制，制定扬尘污染防治专项方案，落实各项防治具体措施。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560" w:lineRule="exact"/>
        <w:ind w:firstLine="482" w:firstLineChars="200"/>
        <w:rPr>
          <w:rFonts w:hint="eastAsia" w:ascii="宋体" w:hAnsi="宋体"/>
          <w:b/>
          <w:bCs w:val="0"/>
          <w:sz w:val="24"/>
        </w:rPr>
      </w:pPr>
      <w:r>
        <w:rPr>
          <w:rFonts w:hint="eastAsia" w:ascii="宋体" w:hAnsi="宋体"/>
          <w:b/>
          <w:bCs w:val="0"/>
          <w:sz w:val="24"/>
        </w:rPr>
        <w:t>（2）建设工地扬尘治理考核工作标准必须达到《邹城市建筑工地扬尘治理考核工作标准》，发包人将按上述标准对工地进行不定期检查，对现场进行扬尘治理检查不达标一次给予2000元罚款。</w:t>
      </w:r>
    </w:p>
    <w:p>
      <w:pPr>
        <w:spacing w:line="560" w:lineRule="exact"/>
        <w:ind w:firstLine="482" w:firstLineChars="200"/>
        <w:rPr>
          <w:rFonts w:hint="eastAsia" w:ascii="宋体" w:hAnsi="宋体"/>
          <w:b/>
          <w:bCs w:val="0"/>
          <w:sz w:val="24"/>
        </w:rPr>
      </w:pPr>
      <w:r>
        <w:rPr>
          <w:rFonts w:hint="eastAsia" w:ascii="宋体" w:hAnsi="宋体"/>
          <w:b/>
          <w:bCs w:val="0"/>
          <w:sz w:val="24"/>
        </w:rPr>
        <w:t>（3）因建设工地扬尘污染受到行政处罚将被列入本行业诚信黑榜，通过行政主管部门门户网站进行通报，并通过邹城市公共资源交易网对外公布。</w:t>
      </w:r>
    </w:p>
    <w:p>
      <w:pPr>
        <w:spacing w:line="560" w:lineRule="exact"/>
        <w:ind w:firstLine="482" w:firstLineChars="200"/>
        <w:rPr>
          <w:rFonts w:hint="eastAsia" w:ascii="宋体" w:hAnsi="宋体" w:eastAsia="宋体" w:cs="Times New Roman"/>
          <w:b/>
          <w:bCs w:val="0"/>
          <w:sz w:val="24"/>
        </w:rPr>
      </w:pPr>
      <w:r>
        <w:rPr>
          <w:rFonts w:hint="eastAsia" w:ascii="宋体" w:hAnsi="宋体"/>
          <w:b/>
          <w:bCs w:val="0"/>
          <w:sz w:val="24"/>
        </w:rPr>
        <w:t>25.</w:t>
      </w:r>
      <w:r>
        <w:rPr>
          <w:rFonts w:hint="eastAsia" w:ascii="宋体" w:hAnsi="宋体"/>
          <w:b/>
          <w:bCs w:val="0"/>
          <w:sz w:val="24"/>
          <w:lang w:val="en-US" w:eastAsia="zh-CN"/>
        </w:rPr>
        <w:t>19</w:t>
      </w:r>
      <w:r>
        <w:rPr>
          <w:rFonts w:hint="eastAsia" w:ascii="宋体" w:hAnsi="宋体"/>
          <w:b/>
          <w:bCs w:val="0"/>
          <w:sz w:val="24"/>
        </w:rPr>
        <w:t>工程竣工结算条件：在承包人完成本工程全部“招标范围”内的工作并经发包</w:t>
      </w:r>
      <w:r>
        <w:rPr>
          <w:rFonts w:hint="eastAsia" w:ascii="宋体" w:hAnsi="宋体" w:eastAsia="宋体" w:cs="Times New Roman"/>
          <w:b/>
          <w:bCs w:val="0"/>
          <w:sz w:val="24"/>
        </w:rPr>
        <w:t>人或第三方检验检测机构验收合格后，工程资料必须齐全、合格有效，且符合国家相关规定，方可进入工程竣工结算。</w:t>
      </w:r>
    </w:p>
    <w:p>
      <w:pPr>
        <w:spacing w:line="560" w:lineRule="exact"/>
        <w:ind w:firstLine="482" w:firstLineChars="200"/>
        <w:rPr>
          <w:rFonts w:hint="eastAsia" w:ascii="宋体" w:hAnsi="宋体" w:eastAsia="宋体" w:cs="宋体"/>
          <w:sz w:val="24"/>
          <w:szCs w:val="24"/>
        </w:rPr>
      </w:pPr>
      <w:r>
        <w:rPr>
          <w:rFonts w:hint="eastAsia" w:ascii="宋体" w:hAnsi="宋体" w:eastAsia="宋体" w:cs="Times New Roman"/>
          <w:b/>
          <w:bCs w:val="0"/>
          <w:sz w:val="24"/>
          <w:lang w:val="en-US" w:eastAsia="zh-CN"/>
        </w:rPr>
        <w:t>25.20 新冠肺炎疫情防控期间的防控措施按照地方各级政府要求执行。</w:t>
      </w:r>
      <w:r>
        <w:rPr>
          <w:rFonts w:hint="eastAsia" w:ascii="宋体" w:hAnsi="宋体"/>
          <w:b/>
          <w:bCs w:val="0"/>
          <w:sz w:val="24"/>
        </w:rPr>
        <w:br w:type="page"/>
      </w:r>
      <w:r>
        <w:rPr>
          <w:rFonts w:hint="eastAsia" w:ascii="宋体" w:hAnsi="宋体" w:eastAsia="宋体" w:cs="宋体"/>
          <w:sz w:val="24"/>
          <w:szCs w:val="24"/>
        </w:rPr>
        <w:t>附件一：承包人提供的材料和工程设备一览表</w:t>
      </w: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r>
        <w:rPr>
          <w:rFonts w:hint="eastAsia" w:ascii="宋体" w:hAnsi="宋体" w:eastAsia="宋体" w:cs="宋体"/>
          <w:b/>
          <w:sz w:val="24"/>
          <w:szCs w:val="24"/>
        </w:rPr>
        <w:t>承包人提供的材料和工程设备一览表</w:t>
      </w:r>
    </w:p>
    <w:p>
      <w:pPr>
        <w:rPr>
          <w:rFonts w:hint="eastAsia" w:ascii="宋体" w:hAnsi="宋体" w:eastAsia="宋体" w:cs="宋体"/>
          <w:sz w:val="24"/>
          <w:szCs w:val="24"/>
        </w:rPr>
      </w:pP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260"/>
        <w:gridCol w:w="1080"/>
        <w:gridCol w:w="720"/>
        <w:gridCol w:w="647"/>
        <w:gridCol w:w="613"/>
        <w:gridCol w:w="900"/>
        <w:gridCol w:w="900"/>
        <w:gridCol w:w="900"/>
        <w:gridCol w:w="7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51"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6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材料设备</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08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规格</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型号</w:t>
            </w:r>
          </w:p>
        </w:tc>
        <w:tc>
          <w:tcPr>
            <w:tcW w:w="72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位</w:t>
            </w:r>
          </w:p>
        </w:tc>
        <w:tc>
          <w:tcPr>
            <w:tcW w:w="647"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数</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量</w:t>
            </w:r>
          </w:p>
        </w:tc>
        <w:tc>
          <w:tcPr>
            <w:tcW w:w="613"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价</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方式</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地点</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计划</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时间</w:t>
            </w:r>
          </w:p>
        </w:tc>
        <w:tc>
          <w:tcPr>
            <w:tcW w:w="72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bl>
    <w:p>
      <w:pPr>
        <w:pStyle w:val="5"/>
        <w:ind w:firstLine="482" w:firstLineChars="200"/>
        <w:rPr>
          <w:rFonts w:hint="eastAsia" w:ascii="宋体" w:hAnsi="宋体" w:eastAsia="宋体" w:cs="宋体"/>
          <w:sz w:val="24"/>
          <w:szCs w:val="24"/>
        </w:rPr>
      </w:pPr>
      <w:r>
        <w:rPr>
          <w:rFonts w:hint="eastAsia" w:ascii="宋体" w:hAnsi="宋体" w:eastAsia="宋体" w:cs="宋体"/>
          <w:sz w:val="24"/>
          <w:szCs w:val="24"/>
        </w:rPr>
        <w:t>附件二：发包人提供的材料和工程设备一览表</w:t>
      </w:r>
    </w:p>
    <w:p>
      <w:pPr>
        <w:rPr>
          <w:rFonts w:hint="eastAsia" w:ascii="宋体" w:hAnsi="宋体" w:eastAsia="宋体" w:cs="宋体"/>
          <w:sz w:val="24"/>
          <w:szCs w:val="24"/>
        </w:rPr>
      </w:pPr>
    </w:p>
    <w:p>
      <w:pPr>
        <w:jc w:val="center"/>
        <w:rPr>
          <w:rFonts w:hint="eastAsia" w:ascii="宋体" w:hAnsi="宋体" w:eastAsia="宋体" w:cs="宋体"/>
          <w:b/>
          <w:sz w:val="24"/>
          <w:szCs w:val="24"/>
        </w:rPr>
      </w:pPr>
      <w:r>
        <w:rPr>
          <w:rFonts w:hint="eastAsia" w:ascii="宋体" w:hAnsi="宋体" w:eastAsia="宋体" w:cs="宋体"/>
          <w:b/>
          <w:sz w:val="24"/>
          <w:szCs w:val="24"/>
        </w:rPr>
        <w:t>发包人提供的材料和工程设备一览表</w:t>
      </w:r>
    </w:p>
    <w:p>
      <w:pPr>
        <w:jc w:val="center"/>
        <w:rPr>
          <w:rFonts w:hint="eastAsia" w:ascii="宋体" w:hAnsi="宋体" w:eastAsia="宋体" w:cs="宋体"/>
          <w:b/>
          <w:sz w:val="24"/>
          <w:szCs w:val="24"/>
        </w:rPr>
      </w:pP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34"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75"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材料设备</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032"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规格</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型号</w:t>
            </w:r>
          </w:p>
        </w:tc>
        <w:tc>
          <w:tcPr>
            <w:tcW w:w="613"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位</w:t>
            </w:r>
          </w:p>
        </w:tc>
        <w:tc>
          <w:tcPr>
            <w:tcW w:w="613"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数</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量</w:t>
            </w:r>
          </w:p>
        </w:tc>
        <w:tc>
          <w:tcPr>
            <w:tcW w:w="613"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价</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方式</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地点</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计划</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时间</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bl>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备注：除合同另有约定外，本表所列发包人供应材料和工程设备的数量不考虑施工损耗，施工损耗被认为已经包括在承包人的投标价格中。</w:t>
      </w:r>
    </w:p>
    <w:p>
      <w:pPr>
        <w:pStyle w:val="5"/>
        <w:jc w:val="center"/>
        <w:rPr>
          <w:rFonts w:hint="eastAsia" w:ascii="宋体" w:hAnsi="宋体" w:eastAsia="宋体" w:cs="宋体"/>
          <w:sz w:val="24"/>
          <w:szCs w:val="24"/>
        </w:rPr>
      </w:pPr>
      <w:r>
        <w:rPr>
          <w:rFonts w:hint="eastAsia" w:ascii="宋体" w:hAnsi="宋体" w:eastAsia="宋体" w:cs="宋体"/>
          <w:sz w:val="24"/>
          <w:szCs w:val="24"/>
        </w:rPr>
        <w:br w:type="page"/>
      </w:r>
    </w:p>
    <w:p>
      <w:pPr>
        <w:pStyle w:val="5"/>
        <w:jc w:val="center"/>
        <w:rPr>
          <w:rFonts w:hint="eastAsia" w:ascii="宋体" w:hAnsi="宋体" w:eastAsia="宋体" w:cs="宋体"/>
          <w:sz w:val="24"/>
          <w:szCs w:val="24"/>
        </w:rPr>
      </w:pPr>
      <w:r>
        <w:rPr>
          <w:rFonts w:hint="eastAsia" w:ascii="宋体" w:hAnsi="宋体" w:eastAsia="宋体" w:cs="宋体"/>
          <w:sz w:val="24"/>
          <w:szCs w:val="24"/>
        </w:rPr>
        <w:t>附件三：工程质量保修书</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承包人（全称）：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400" w:lineRule="exact"/>
        <w:rPr>
          <w:rFonts w:hint="eastAsia" w:ascii="宋体" w:hAnsi="宋体" w:eastAsia="宋体" w:cs="宋体"/>
          <w:color w:val="000000"/>
          <w:sz w:val="24"/>
          <w:szCs w:val="24"/>
        </w:rPr>
      </w:pP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发包人和承包人根据《中华人民共和国建筑法》和《建设工程质量管理条例》，经协商一致就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（工程全称）签订工程质量保修书。</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一、工程质量保修范围和内容</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承包人在质量保修期内，按照有关法律规定和合同约定，承担工程质量保修责任。</w:t>
      </w:r>
    </w:p>
    <w:p>
      <w:pPr>
        <w:spacing w:line="400" w:lineRule="exact"/>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具体保修的内容，双方约定如下：</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rPr>
        <w:t>　　</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二、质量保修期</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双方根据《建设工程质量管理条例》及有关规定，约定工程的质量保修期如下：</w:t>
      </w:r>
    </w:p>
    <w:p>
      <w:pPr>
        <w:spacing w:line="400" w:lineRule="exact"/>
        <w:ind w:firstLine="482" w:firstLineChars="200"/>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其他项目保修期限约定如下：</w:t>
      </w:r>
      <w:r>
        <w:rPr>
          <w:rFonts w:hint="eastAsia" w:ascii="宋体" w:hAnsi="宋体" w:eastAsia="宋体" w:cs="宋体"/>
          <w:b/>
          <w:bCs/>
          <w:color w:val="000000"/>
          <w:sz w:val="24"/>
          <w:szCs w:val="24"/>
          <w:lang w:val="en-US" w:eastAsia="zh-CN"/>
        </w:rPr>
        <w:t>2年</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三、缺陷责任期</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工程缺陷责任期为</w:t>
      </w:r>
      <w:r>
        <w:rPr>
          <w:rFonts w:hint="eastAsia" w:ascii="宋体" w:hAnsi="宋体" w:eastAsia="宋体" w:cs="宋体"/>
          <w:color w:val="000000"/>
          <w:sz w:val="24"/>
          <w:szCs w:val="24"/>
          <w:u w:val="single"/>
        </w:rPr>
        <w:t xml:space="preserve">  24  </w:t>
      </w:r>
      <w:r>
        <w:rPr>
          <w:rFonts w:hint="eastAsia" w:ascii="宋体" w:hAnsi="宋体" w:eastAsia="宋体" w:cs="宋体"/>
          <w:color w:val="000000"/>
          <w:sz w:val="24"/>
          <w:szCs w:val="24"/>
        </w:rPr>
        <w:t>个月，缺陷责任期自工程竣工验收合格之日起计算。单位工程先于全部工程进行验收，单位工程缺陷责任期自单位工程验收合格之日起算。</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缺陷责任期终止后，发包人应退还剩余的质量保证金。</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四、质量保修责任</w:t>
      </w:r>
    </w:p>
    <w:p>
      <w:pPr>
        <w:spacing w:line="400" w:lineRule="exact"/>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w:t>
      </w:r>
      <w:r>
        <w:rPr>
          <w:rFonts w:hint="eastAsia" w:ascii="宋体" w:hAnsi="宋体" w:eastAsia="宋体" w:cs="宋体"/>
          <w:color w:val="000000"/>
          <w:sz w:val="24"/>
          <w:szCs w:val="24"/>
        </w:rPr>
        <w:t>属于保修范围、内容的项目，承包人应当在接到保修通知之日起7天内派人保修。承包人不在约定期限内派人保修的，发包人可以委托他人修理。</w:t>
      </w:r>
    </w:p>
    <w:p>
      <w:pPr>
        <w:spacing w:line="400" w:lineRule="exact"/>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w:t>
      </w:r>
      <w:r>
        <w:rPr>
          <w:rFonts w:hint="eastAsia" w:ascii="宋体" w:hAnsi="宋体" w:eastAsia="宋体" w:cs="宋体"/>
          <w:color w:val="000000"/>
          <w:sz w:val="24"/>
          <w:szCs w:val="24"/>
        </w:rPr>
        <w:t>发生紧急事故需抢修的，承包人在接到事故通知后，应当立即到达事故现场抢修。</w:t>
      </w:r>
    </w:p>
    <w:p>
      <w:pPr>
        <w:spacing w:line="400" w:lineRule="exact"/>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w:t>
      </w:r>
      <w:r>
        <w:rPr>
          <w:rFonts w:hint="eastAsia" w:ascii="宋体" w:hAnsi="宋体" w:eastAsia="宋体" w:cs="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left="42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w:t>
      </w:r>
      <w:r>
        <w:rPr>
          <w:rFonts w:hint="eastAsia" w:ascii="宋体" w:hAnsi="宋体" w:eastAsia="宋体" w:cs="宋体"/>
          <w:color w:val="000000"/>
          <w:sz w:val="24"/>
          <w:szCs w:val="24"/>
        </w:rPr>
        <w:t>质量保修完成后，由发包人组织验收。</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五、保修费用</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保修费用由造成质量缺陷的责任方承担。</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双方约定的其他工程质量保修事项：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00" w:lineRule="exact"/>
        <w:ind w:firstLine="456" w:firstLineChars="190"/>
        <w:rPr>
          <w:rFonts w:hint="eastAsia" w:ascii="宋体" w:hAnsi="宋体" w:eastAsia="宋体" w:cs="宋体"/>
          <w:color w:val="000000"/>
          <w:sz w:val="24"/>
          <w:szCs w:val="24"/>
        </w:rPr>
      </w:pPr>
      <w:r>
        <w:rPr>
          <w:rFonts w:hint="eastAsia" w:ascii="宋体" w:hAnsi="宋体" w:eastAsia="宋体" w:cs="宋体"/>
          <w:color w:val="000000"/>
          <w:sz w:val="24"/>
          <w:szCs w:val="24"/>
        </w:rPr>
        <w:t>工程质量保修书由发包人、承包人在工程竣工验收前共同签署，作为施工合同附件，其有效期限至保修期满。</w:t>
      </w:r>
    </w:p>
    <w:p>
      <w:pPr>
        <w:spacing w:line="400" w:lineRule="exact"/>
        <w:ind w:firstLine="420"/>
        <w:rPr>
          <w:rFonts w:hint="eastAsia" w:ascii="宋体" w:hAnsi="宋体" w:eastAsia="宋体" w:cs="宋体"/>
          <w:color w:val="000000"/>
          <w:sz w:val="24"/>
          <w:szCs w:val="24"/>
        </w:rPr>
      </w:pP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发包人(公章)：</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承包人(公章)：</w:t>
      </w:r>
      <w:r>
        <w:rPr>
          <w:rFonts w:hint="eastAsia" w:ascii="宋体" w:hAnsi="宋体" w:eastAsia="宋体" w:cs="宋体"/>
          <w:color w:val="000000"/>
          <w:sz w:val="24"/>
          <w:szCs w:val="24"/>
          <w:u w:val="single"/>
        </w:rPr>
        <w:t xml:space="preserve">          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      </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法定代表人（签字</w:t>
      </w:r>
      <w:r>
        <w:rPr>
          <w:rFonts w:hint="eastAsia" w:ascii="宋体" w:hAnsi="宋体" w:cs="宋体"/>
          <w:color w:val="000000"/>
          <w:sz w:val="24"/>
          <w:szCs w:val="24"/>
          <w:lang w:val="en-US" w:eastAsia="zh-CN"/>
        </w:rPr>
        <w:t>或盖章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法定代表人（签字</w:t>
      </w:r>
      <w:r>
        <w:rPr>
          <w:rFonts w:hint="eastAsia" w:ascii="宋体" w:hAnsi="宋体" w:cs="宋体"/>
          <w:color w:val="000000"/>
          <w:sz w:val="24"/>
          <w:szCs w:val="24"/>
          <w:lang w:val="en-US" w:eastAsia="zh-CN"/>
        </w:rPr>
        <w:t>或盖章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委托代理人(签字)：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委托代理人(签字)：</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pStyle w:val="5"/>
        <w:rPr>
          <w:rFonts w:hint="eastAsia" w:ascii="宋体" w:hAnsi="宋体" w:eastAsia="宋体" w:cs="宋体"/>
          <w:sz w:val="24"/>
          <w:szCs w:val="24"/>
        </w:rPr>
      </w:pPr>
      <w:r>
        <w:rPr>
          <w:rFonts w:hint="eastAsia" w:ascii="宋体" w:hAnsi="宋体" w:eastAsia="宋体" w:cs="宋体"/>
          <w:sz w:val="24"/>
          <w:szCs w:val="24"/>
        </w:rPr>
        <w:t>附件四：廉政责任书格式</w:t>
      </w:r>
    </w:p>
    <w:p>
      <w:pPr>
        <w:spacing w:line="400" w:lineRule="exact"/>
        <w:ind w:firstLine="482" w:firstLineChars="200"/>
        <w:jc w:val="center"/>
        <w:rPr>
          <w:rFonts w:hint="eastAsia" w:ascii="宋体" w:hAnsi="宋体" w:eastAsia="宋体" w:cs="宋体"/>
          <w:b/>
          <w:bCs/>
          <w:sz w:val="24"/>
          <w:szCs w:val="24"/>
        </w:rPr>
      </w:pPr>
    </w:p>
    <w:p>
      <w:pPr>
        <w:spacing w:line="400" w:lineRule="exact"/>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建设工程廉政责任书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一、双方的责任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1.1应严格遵守国家关于建设工程的有关法律、法规，相关政策，以及廉政建设的各项规定。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1.2严格执行建设工程合同文件，自觉按合同办事。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1.4发现对方在业务活动中有违规、违纪、违法行为的，应及时提醒对方，情节严重的，应向其上级主管部门或纪检监察、司法等有关机关举报。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二、发包人责任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发包人的领导和从事该建设工程项目的工作人员，在工程建设的事前、事中、事后应遵守以下规定：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2.1不得向承包人和相关单位索要或接受回扣、礼金、有价证券、贵重物品和好处费、感谢费等。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2.2不得在承包人和相关单位报销任何应由发包人或个人支付的费用。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2.3不得要求、暗示或接受承包人和相关单位为个人装修住房、婚丧嫁娶、配偶子女的工作安排以及出国(境)、旅游等提供方便。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2.4不得参加有可能影响公正执行公务的承包人和相关单位的宴请、健身、娱乐等活动。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三、承包人责任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应与发包人保持正常的业务交往，按照有关法律法规和程序开展业务工作，严格执行工程建设的有关方针、政策，执行工程建设强制性标准，并遵守以下规定：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3.1不得以任何理由向发包人及其工作人员索要、接受或赠送礼金、有价证券、贵重物品及回扣、好处费、感谢费等。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3.2不得以任何理由为发包人和相关单位报销应由对方或个人支付的费用。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3.3不得接受或暗示为发包人、相关单位或个人装修住房、婚丧嫁娶、配偶子女的工作安排以及出国(境)、旅游等提供方便。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3.4不得以任何理由为发包人、相关单位或个人组织有可能影响公正执行公务的宴请、健身、娱乐等活动。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4.2承包人工作人员有违反本责任书第一、三条责任行为的，依据有关法律法规处理；涉嫌犯罪的，移交司法机关追究刑事责任；给发包人单位造成经济损失的，应予以赔偿。</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4.3本责任书作为建设工程合同的组成部分，与建设工程合同具有同等法律效力。经双方签署后立即生效。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五、责任书有效期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本责任书的有效期为双方签署之日起至该工程项目竣工验收合格时止。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六、责任书份数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本责任书一式二份，发包人承包人各执一份，具有同等效力。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z w:val="24"/>
          <w:szCs w:val="24"/>
        </w:rPr>
        <w:t>(公章)    承包人：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法定地址：</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                         法定代表人或其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color w:val="000000"/>
          <w:sz w:val="24"/>
          <w:szCs w:val="24"/>
        </w:rPr>
        <w:t>签字</w:t>
      </w:r>
      <w:r>
        <w:rPr>
          <w:rFonts w:hint="eastAsia" w:ascii="宋体" w:hAnsi="宋体" w:cs="宋体"/>
          <w:color w:val="000000"/>
          <w:sz w:val="24"/>
          <w:szCs w:val="24"/>
          <w:lang w:val="en-US" w:eastAsia="zh-CN"/>
        </w:rPr>
        <w:t>或盖章</w:t>
      </w:r>
      <w:r>
        <w:rPr>
          <w:rFonts w:hint="eastAsia" w:ascii="宋体" w:hAnsi="宋体" w:eastAsia="宋体" w:cs="宋体"/>
          <w:sz w:val="24"/>
          <w:szCs w:val="24"/>
        </w:rPr>
        <w:t>)  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color w:val="000000"/>
          <w:sz w:val="24"/>
          <w:szCs w:val="24"/>
        </w:rPr>
        <w:t>签字</w:t>
      </w:r>
      <w:r>
        <w:rPr>
          <w:rFonts w:hint="eastAsia" w:ascii="宋体" w:hAnsi="宋体" w:cs="宋体"/>
          <w:color w:val="000000"/>
          <w:sz w:val="24"/>
          <w:szCs w:val="24"/>
          <w:lang w:val="en-US" w:eastAsia="zh-CN"/>
        </w:rPr>
        <w:t>或盖章</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　</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电子邮箱：</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帐号：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36"/>
      <w:bookmarkEnd w:id="37"/>
      <w:bookmarkEnd w:id="38"/>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sz w:val="24"/>
          <w:szCs w:val="24"/>
          <w:lang w:bidi="ar"/>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r>
        <w:rPr>
          <w:rFonts w:hint="eastAsia" w:ascii="宋体" w:hAnsi="宋体" w:eastAsia="宋体" w:cs="宋体"/>
          <w:b/>
          <w:sz w:val="24"/>
          <w:szCs w:val="24"/>
          <w:lang w:bidi="ar"/>
        </w:rPr>
        <w:t>登录邹城市外宣网随竞争性磋商文件同时下载</w:t>
      </w: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both"/>
        <w:outlineLvl w:val="9"/>
        <w:rPr>
          <w:rFonts w:hint="eastAsia" w:ascii="宋体" w:hAnsi="宋体" w:eastAsia="宋体" w:cs="宋体"/>
          <w:b/>
          <w:bCs/>
          <w:i w:val="0"/>
          <w:iCs w:val="0"/>
          <w:color w:val="auto"/>
          <w:sz w:val="24"/>
          <w:szCs w:val="24"/>
          <w:highlight w:val="none"/>
        </w:rPr>
      </w:pPr>
      <w:bookmarkStart w:id="58" w:name="_Toc8537"/>
    </w:p>
    <w:p>
      <w:pPr>
        <w:rPr>
          <w:rFonts w:hint="eastAsia" w:ascii="宋体" w:hAnsi="宋体" w:eastAsia="宋体" w:cs="宋体"/>
          <w:b/>
          <w:bCs/>
          <w:i w:val="0"/>
          <w:iCs w:val="0"/>
          <w:color w:val="auto"/>
          <w:sz w:val="24"/>
          <w:szCs w:val="24"/>
          <w:highlight w:val="none"/>
        </w:rPr>
      </w:pPr>
    </w:p>
    <w:p>
      <w:pPr>
        <w:pStyle w:val="2"/>
        <w:rPr>
          <w:rFonts w:hint="eastAsia" w:ascii="宋体" w:hAnsi="宋体" w:eastAsia="宋体" w:cs="宋体"/>
          <w:b/>
          <w:bCs/>
          <w:i w:val="0"/>
          <w:iCs w:val="0"/>
          <w:color w:val="auto"/>
          <w:sz w:val="24"/>
          <w:szCs w:val="24"/>
          <w:highlight w:val="none"/>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59" w:name="_Toc27167"/>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部分  响应文件格式</w:t>
      </w:r>
      <w:bookmarkEnd w:id="58"/>
      <w:bookmarkEnd w:id="59"/>
    </w:p>
    <w:p>
      <w:pPr>
        <w:pStyle w:val="2"/>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autoSpaceDE/>
        <w:autoSpaceDN/>
        <w:bidi w:val="0"/>
        <w:adjustRightInd w:val="0"/>
        <w:snapToGrid w:val="0"/>
        <w:spacing w:before="0" w:beforeLines="0" w:beforeAutospacing="0" w:afterAutospacing="0" w:line="360" w:lineRule="auto"/>
        <w:ind w:left="0" w:leftChars="0" w:right="0" w:rightChars="0"/>
        <w:jc w:val="left"/>
        <w:rPr>
          <w:rFonts w:hint="eastAsia" w:ascii="宋体" w:hAnsi="宋体" w:eastAsia="宋体" w:cs="宋体"/>
          <w:bCs/>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color w:val="auto"/>
          <w:kern w:val="0"/>
          <w:sz w:val="36"/>
          <w:szCs w:val="36"/>
          <w:highlight w:val="none"/>
          <w:lang w:eastAsia="zh-CN"/>
        </w:rPr>
      </w:pPr>
      <w:bookmarkStart w:id="60" w:name="_Toc8574"/>
      <w:r>
        <w:rPr>
          <w:rFonts w:hint="eastAsia" w:ascii="宋体" w:hAnsi="宋体" w:cs="宋体"/>
          <w:b/>
          <w:bCs/>
          <w:color w:val="auto"/>
          <w:kern w:val="0"/>
          <w:sz w:val="36"/>
          <w:szCs w:val="36"/>
          <w:highlight w:val="none"/>
          <w:lang w:eastAsia="zh-CN"/>
        </w:rPr>
        <w:t>邹城市北宿镇圣和花园南区10KV配电工程（第三次）</w:t>
      </w:r>
      <w:bookmarkEnd w:id="60"/>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center"/>
        <w:outlineLvl w:val="9"/>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96"/>
          <w:szCs w:val="96"/>
          <w:highlight w:val="none"/>
        </w:rPr>
      </w:pPr>
      <w:bookmarkStart w:id="61" w:name="_Toc27904"/>
      <w:bookmarkStart w:id="62" w:name="_Toc17164"/>
      <w:bookmarkStart w:id="63" w:name="_Toc26783"/>
      <w:r>
        <w:rPr>
          <w:rFonts w:hint="eastAsia" w:ascii="宋体" w:hAnsi="宋体" w:eastAsia="宋体" w:cs="宋体"/>
          <w:i w:val="0"/>
          <w:iCs w:val="0"/>
          <w:color w:val="auto"/>
          <w:sz w:val="96"/>
          <w:szCs w:val="96"/>
          <w:highlight w:val="none"/>
        </w:rPr>
        <w:t>响</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应</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文</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件</w:t>
      </w:r>
      <w:bookmarkEnd w:id="61"/>
      <w:bookmarkEnd w:id="62"/>
      <w:bookmarkEnd w:id="63"/>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24"/>
          <w:szCs w:val="2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sz w:val="24"/>
          <w:szCs w:val="24"/>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2"/>
        <w:rPr>
          <w:rFonts w:hint="eastAsia" w:ascii="宋体" w:hAnsi="宋体" w:eastAsia="宋体" w:cs="宋体"/>
          <w:sz w:val="24"/>
          <w:szCs w:val="24"/>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64" w:name="_Toc29657"/>
      <w:bookmarkStart w:id="65" w:name="_Toc19904"/>
      <w:bookmarkStart w:id="66" w:name="_Toc11885"/>
      <w:bookmarkStart w:id="67" w:name="_Toc26481"/>
      <w:r>
        <w:rPr>
          <w:rFonts w:hint="eastAsia" w:ascii="宋体" w:hAnsi="宋体" w:eastAsia="宋体" w:cs="宋体"/>
          <w:i w:val="0"/>
          <w:iCs w:val="0"/>
          <w:color w:val="auto"/>
          <w:sz w:val="32"/>
          <w:szCs w:val="32"/>
          <w:highlight w:val="none"/>
          <w:lang w:eastAsia="zh-CN"/>
        </w:rPr>
        <w:t>供应商：</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（盖单位章）</w:t>
      </w:r>
      <w:bookmarkEnd w:id="64"/>
      <w:bookmarkEnd w:id="65"/>
      <w:bookmarkEnd w:id="66"/>
      <w:bookmarkEnd w:id="67"/>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68" w:name="_Toc32061"/>
      <w:bookmarkStart w:id="69" w:name="_Toc10418"/>
      <w:bookmarkStart w:id="70" w:name="_Toc12737"/>
      <w:bookmarkStart w:id="71" w:name="_Toc18435"/>
      <w:r>
        <w:rPr>
          <w:rFonts w:hint="eastAsia" w:ascii="宋体" w:hAnsi="宋体" w:eastAsia="宋体" w:cs="宋体"/>
          <w:i w:val="0"/>
          <w:iCs w:val="0"/>
          <w:color w:val="auto"/>
          <w:sz w:val="32"/>
          <w:szCs w:val="32"/>
          <w:highlight w:val="none"/>
        </w:rPr>
        <w:t>法定代表人或其委托代理人</w:t>
      </w:r>
      <w:r>
        <w:rPr>
          <w:rFonts w:hint="eastAsia" w:ascii="宋体" w:hAnsi="宋体" w:eastAsia="宋体" w:cs="宋体"/>
          <w:i w:val="0"/>
          <w:iCs w:val="0"/>
          <w:color w:val="auto"/>
          <w:sz w:val="32"/>
          <w:szCs w:val="32"/>
          <w:highlight w:val="none"/>
          <w:lang w:eastAsia="zh-CN"/>
        </w:rPr>
        <w:t>：</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（签字或盖章）</w:t>
      </w:r>
      <w:bookmarkEnd w:id="68"/>
      <w:bookmarkEnd w:id="69"/>
      <w:bookmarkEnd w:id="70"/>
      <w:bookmarkEnd w:id="71"/>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2"/>
          <w:szCs w:val="32"/>
          <w:highlight w:val="none"/>
        </w:rPr>
      </w:pPr>
      <w:bookmarkStart w:id="72" w:name="_Toc5121"/>
      <w:bookmarkStart w:id="73" w:name="_Toc15367"/>
      <w:bookmarkStart w:id="74" w:name="_Toc6839"/>
      <w:bookmarkStart w:id="75" w:name="_Toc7829"/>
      <w:r>
        <w:rPr>
          <w:rFonts w:hint="eastAsia" w:ascii="宋体" w:hAnsi="宋体" w:eastAsia="宋体" w:cs="宋体"/>
          <w:i w:val="0"/>
          <w:iCs w:val="0"/>
          <w:color w:val="auto"/>
          <w:sz w:val="32"/>
          <w:szCs w:val="32"/>
          <w:highlight w:val="none"/>
          <w:u w:val="single"/>
        </w:rPr>
        <w:t xml:space="preserve"> </w:t>
      </w:r>
      <w:r>
        <w:rPr>
          <w:rFonts w:hint="eastAsia" w:ascii="宋体" w:hAnsi="宋体" w:cs="宋体"/>
          <w:i w:val="0"/>
          <w:iCs w:val="0"/>
          <w:color w:val="auto"/>
          <w:sz w:val="32"/>
          <w:szCs w:val="32"/>
          <w:highlight w:val="none"/>
          <w:u w:val="single"/>
          <w:lang w:val="en-US" w:eastAsia="zh-CN"/>
        </w:rPr>
        <w:t xml:space="preserve"> </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月</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日</w:t>
      </w:r>
      <w:bookmarkEnd w:id="72"/>
      <w:bookmarkEnd w:id="73"/>
      <w:bookmarkEnd w:id="74"/>
      <w:bookmarkEnd w:id="75"/>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24"/>
          <w:szCs w:val="24"/>
          <w:highlight w:val="none"/>
        </w:rPr>
      </w:pPr>
      <w:bookmarkStart w:id="76" w:name="_Toc8709"/>
      <w:bookmarkStart w:id="77" w:name="_Toc6905"/>
      <w:bookmarkStart w:id="78" w:name="_Toc3064"/>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24"/>
          <w:szCs w:val="24"/>
          <w:highlight w:val="none"/>
        </w:rPr>
      </w:pPr>
    </w:p>
    <w:bookmarkEnd w:id="76"/>
    <w:bookmarkEnd w:id="77"/>
    <w:bookmarkEnd w:id="78"/>
    <w:p>
      <w:pPr>
        <w:pStyle w:val="17"/>
        <w:snapToGrid w:val="0"/>
        <w:spacing w:line="360" w:lineRule="auto"/>
        <w:ind w:left="578"/>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eastAsia="宋体" w:cs="宋体"/>
          <w:color w:val="auto"/>
          <w:sz w:val="24"/>
          <w:szCs w:val="24"/>
        </w:rPr>
      </w:pP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1、磋商响应函</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2、法定代表人身份证明及法定代表人授权委托书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3、初次报价表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4、初次报价的已标价工程量清单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5、施工组织设计</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6、项目管理机构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7、资格审查资料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8、建设工程扬尘治理工作承诺书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9、其他资料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rPr>
      </w:pPr>
    </w:p>
    <w:p>
      <w:pPr>
        <w:rPr>
          <w:rFonts w:hint="eastAsia" w:ascii="宋体" w:hAnsi="宋体" w:eastAsia="宋体" w:cs="宋体"/>
          <w:color w:val="auto"/>
          <w:sz w:val="24"/>
          <w:szCs w:val="24"/>
        </w:rPr>
      </w:pPr>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79" w:name="_Toc8162"/>
      <w:r>
        <w:rPr>
          <w:rFonts w:hint="eastAsia" w:ascii="宋体" w:hAnsi="宋体" w:eastAsia="宋体" w:cs="宋体"/>
          <w:color w:val="auto"/>
          <w:sz w:val="24"/>
          <w:szCs w:val="24"/>
        </w:rPr>
        <w:t>一、磋商响应函</w:t>
      </w:r>
      <w:bookmarkEnd w:id="79"/>
    </w:p>
    <w:p>
      <w:pPr>
        <w:spacing w:line="360" w:lineRule="auto"/>
        <w:rPr>
          <w:rFonts w:hint="eastAsia" w:ascii="宋体" w:hAnsi="宋体" w:eastAsia="宋体" w:cs="宋体"/>
          <w:b/>
          <w:bCs/>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经研究，我方决定参加项目编号为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的政府采购活动并提交磋商响应文件。为此，我方郑重声明如下: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1、我方提交的磋商响应文件，正本一份，副本</w:t>
      </w:r>
      <w:r>
        <w:rPr>
          <w:rFonts w:hint="eastAsia" w:ascii="宋体" w:hAnsi="宋体" w:cs="宋体"/>
          <w:color w:val="auto"/>
          <w:kern w:val="0"/>
          <w:sz w:val="24"/>
          <w:szCs w:val="24"/>
          <w:lang w:val="en-US" w:eastAsia="zh-CN"/>
        </w:rPr>
        <w:t>五</w:t>
      </w:r>
      <w:r>
        <w:rPr>
          <w:rFonts w:hint="eastAsia" w:ascii="宋体" w:hAnsi="宋体" w:eastAsia="宋体" w:cs="宋体"/>
          <w:color w:val="auto"/>
          <w:kern w:val="0"/>
          <w:sz w:val="24"/>
          <w:szCs w:val="24"/>
        </w:rPr>
        <w:t>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2、如果我方的磋商响应文件被接受，我方将履行磋商文件中规定的每一项要求，并按我方磋商响应文件中的承诺按期、保质、保量完成项目的实施。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3、我方理解，最低报价不是入选成交候选人的唯一条件。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4、我方愿按《中华人民共和国合同法》履行自己的全部责任。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5、我方已详细检查所有磋商文件、附件以及所提供的参考文件，因模糊和误解产生的一切后果，由我方自负。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6、我方的磋商响应文件自递交截止之日起60个日历日内有效。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7、我方同意按文件要求，提交与递交磋商响应文件有关的数据和资料。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法人代表或委托代理人（签字或盖章）：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sz w:val="24"/>
          <w:szCs w:val="24"/>
        </w:rPr>
      </w:pPr>
    </w:p>
    <w:p>
      <w:pPr>
        <w:pStyle w:val="4"/>
        <w:jc w:val="center"/>
        <w:rPr>
          <w:rFonts w:hint="eastAsia" w:ascii="宋体" w:hAnsi="宋体" w:eastAsia="宋体" w:cs="宋体"/>
          <w:color w:val="auto"/>
          <w:sz w:val="24"/>
          <w:szCs w:val="24"/>
        </w:rPr>
      </w:pPr>
      <w:bookmarkStart w:id="80" w:name="_Toc323641999"/>
      <w:bookmarkStart w:id="81" w:name="_Toc374107067"/>
      <w:bookmarkStart w:id="82" w:name="_Toc4405"/>
      <w:bookmarkStart w:id="83" w:name="_Toc300901193"/>
      <w:r>
        <w:rPr>
          <w:rFonts w:hint="eastAsia" w:ascii="宋体" w:hAnsi="宋体" w:eastAsia="宋体" w:cs="宋体"/>
          <w:color w:val="auto"/>
          <w:sz w:val="24"/>
          <w:szCs w:val="24"/>
        </w:rPr>
        <w:t>二、法定代表人身份证明</w:t>
      </w:r>
      <w:bookmarkEnd w:id="80"/>
      <w:bookmarkEnd w:id="81"/>
      <w:bookmarkEnd w:id="82"/>
      <w:bookmarkEnd w:id="83"/>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（供应商名称）的法定代表人。</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br w:type="page"/>
      </w:r>
    </w:p>
    <w:p>
      <w:pPr>
        <w:pStyle w:val="4"/>
        <w:jc w:val="center"/>
        <w:rPr>
          <w:rFonts w:hint="eastAsia" w:ascii="宋体" w:hAnsi="宋体" w:eastAsia="宋体" w:cs="宋体"/>
          <w:color w:val="auto"/>
          <w:sz w:val="24"/>
          <w:szCs w:val="24"/>
        </w:rPr>
      </w:pPr>
      <w:bookmarkStart w:id="84" w:name="_Toc16269"/>
      <w:r>
        <w:rPr>
          <w:rFonts w:hint="eastAsia" w:ascii="宋体" w:hAnsi="宋体" w:eastAsia="宋体" w:cs="宋体"/>
          <w:color w:val="auto"/>
          <w:sz w:val="24"/>
          <w:szCs w:val="24"/>
        </w:rPr>
        <w:t>授权委托书</w:t>
      </w:r>
      <w:bookmarkEnd w:id="84"/>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eastAsia="宋体" w:cs="宋体"/>
          <w:color w:val="auto"/>
          <w:sz w:val="24"/>
          <w:szCs w:val="24"/>
        </w:rPr>
      </w:pP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（供应商名称）的法定代表人，现委托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（姓名）为我方代理人。代理人根据授权，以我方名义签署、澄清、说明、补正、递交、撤回、修改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标段施工竞争性磋商响应文件、</w:t>
      </w:r>
      <w:r>
        <w:rPr>
          <w:rFonts w:hint="eastAsia" w:ascii="宋体" w:hAnsi="宋体" w:eastAsia="宋体" w:cs="宋体"/>
          <w:color w:val="auto"/>
          <w:kern w:val="0"/>
          <w:sz w:val="24"/>
          <w:szCs w:val="24"/>
        </w:rPr>
        <w:t>参加本项目竞争性磋商、全权处理磋商过程中所签署的一切文件和有关的一切事务、</w:t>
      </w:r>
      <w:r>
        <w:rPr>
          <w:rFonts w:hint="eastAsia" w:ascii="宋体" w:hAnsi="宋体" w:eastAsia="宋体" w:cs="宋体"/>
          <w:color w:val="auto"/>
          <w:sz w:val="24"/>
          <w:szCs w:val="24"/>
        </w:rPr>
        <w:t>签订合同和处理有关事宜，其法律后果由我方承担。</w:t>
      </w:r>
    </w:p>
    <w:p>
      <w:pPr>
        <w:spacing w:before="143" w:beforeLines="5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委托期限：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before="286" w:beforeLines="100" w:after="286" w:afterLines="10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代理人无转委托权。</w:t>
      </w:r>
    </w:p>
    <w:p>
      <w:pPr>
        <w:spacing w:after="286" w:afterLines="10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法定代表人身份证明</w:t>
      </w:r>
    </w:p>
    <w:p>
      <w:pPr>
        <w:numPr>
          <w:ilvl w:val="0"/>
          <w:numId w:val="5"/>
        </w:numPr>
        <w:spacing w:line="500" w:lineRule="exact"/>
        <w:ind w:left="96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授权委托人身份证明</w:t>
      </w:r>
    </w:p>
    <w:p>
      <w:pPr>
        <w:pStyle w:val="2"/>
        <w:numPr>
          <w:ilvl w:val="0"/>
          <w:numId w:val="0"/>
        </w:numPr>
        <w:ind w:left="960" w:leftChars="0"/>
        <w:rPr>
          <w:rFonts w:hint="default"/>
          <w:lang w:val="en-US" w:eastAsia="zh-CN"/>
        </w:rPr>
      </w:pPr>
    </w:p>
    <w:p>
      <w:pPr>
        <w:rPr>
          <w:rFonts w:hint="default"/>
          <w:lang w:val="en-US" w:eastAsia="zh-CN"/>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供  应  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spacing w:line="400" w:lineRule="exact"/>
        <w:ind w:firstLine="4080" w:firstLineChars="1700"/>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pPr>
        <w:spacing w:line="400" w:lineRule="exact"/>
        <w:ind w:firstLine="4080" w:firstLineChars="1700"/>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400" w:lineRule="exact"/>
        <w:ind w:firstLine="4080" w:firstLineChars="1700"/>
        <w:rPr>
          <w:rFonts w:hint="eastAsia" w:ascii="宋体" w:hAnsi="宋体" w:eastAsia="宋体" w:cs="宋体"/>
          <w:color w:val="auto"/>
          <w:sz w:val="24"/>
          <w:szCs w:val="24"/>
          <w:u w:val="single"/>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pPr>
        <w:spacing w:line="400" w:lineRule="exact"/>
        <w:ind w:firstLine="4080" w:firstLineChars="1700"/>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400" w:lineRule="exact"/>
        <w:ind w:firstLine="4080" w:firstLineChars="1700"/>
        <w:rPr>
          <w:rFonts w:hint="eastAsia" w:ascii="宋体" w:hAnsi="宋体" w:eastAsia="宋体" w:cs="宋体"/>
          <w:color w:val="auto"/>
          <w:sz w:val="24"/>
          <w:szCs w:val="24"/>
        </w:rPr>
      </w:pPr>
    </w:p>
    <w:p>
      <w:pPr>
        <w:spacing w:line="400" w:lineRule="exact"/>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jc w:val="center"/>
        <w:rPr>
          <w:rFonts w:hint="eastAsia" w:ascii="宋体" w:hAnsi="宋体" w:eastAsia="宋体" w:cs="宋体"/>
          <w:b/>
          <w:bCs w:val="0"/>
          <w:color w:val="auto"/>
          <w:sz w:val="24"/>
          <w:szCs w:val="24"/>
        </w:rPr>
      </w:pPr>
    </w:p>
    <w:p>
      <w:pPr>
        <w:jc w:val="center"/>
        <w:rPr>
          <w:rFonts w:hint="eastAsia" w:ascii="宋体" w:hAnsi="宋体" w:eastAsia="宋体" w:cs="宋体"/>
          <w:b/>
          <w:bCs w:val="0"/>
          <w:color w:val="auto"/>
          <w:sz w:val="24"/>
          <w:szCs w:val="24"/>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both"/>
        <w:outlineLvl w:val="0"/>
        <w:rPr>
          <w:rFonts w:hint="eastAsia" w:asciiTheme="minorEastAsia" w:hAnsiTheme="minorEastAsia" w:eastAsiaTheme="minorEastAsia" w:cstheme="minorEastAsia"/>
          <w:i w:val="0"/>
          <w:iCs w:val="0"/>
          <w:color w:val="auto"/>
          <w:sz w:val="32"/>
          <w:szCs w:val="40"/>
          <w:highlight w:val="none"/>
          <w:lang w:eastAsia="zh-CN"/>
        </w:rPr>
      </w:pPr>
      <w:bookmarkStart w:id="85" w:name="_Toc21796"/>
      <w:bookmarkStart w:id="86" w:name="_Toc23578"/>
      <w:bookmarkStart w:id="87" w:name="_Toc8509"/>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Theme="minorEastAsia" w:hAnsiTheme="minorEastAsia" w:eastAsiaTheme="minorEastAsia" w:cstheme="minorEastAsia"/>
          <w:i w:val="0"/>
          <w:iCs w:val="0"/>
          <w:color w:val="auto"/>
          <w:sz w:val="32"/>
          <w:szCs w:val="40"/>
          <w:highlight w:val="none"/>
        </w:rPr>
      </w:pPr>
      <w:r>
        <w:rPr>
          <w:rFonts w:hint="eastAsia" w:asciiTheme="minorEastAsia" w:hAnsiTheme="minorEastAsia" w:eastAsiaTheme="minorEastAsia" w:cstheme="minorEastAsia"/>
          <w:i w:val="0"/>
          <w:iCs w:val="0"/>
          <w:color w:val="auto"/>
          <w:sz w:val="32"/>
          <w:szCs w:val="40"/>
          <w:highlight w:val="none"/>
          <w:lang w:eastAsia="zh-CN"/>
        </w:rPr>
        <w:t>三</w:t>
      </w:r>
      <w:r>
        <w:rPr>
          <w:rFonts w:hint="eastAsia" w:asciiTheme="minorEastAsia" w:hAnsiTheme="minorEastAsia" w:eastAsiaTheme="minorEastAsia" w:cstheme="minorEastAsia"/>
          <w:i w:val="0"/>
          <w:iCs w:val="0"/>
          <w:color w:val="auto"/>
          <w:sz w:val="32"/>
          <w:szCs w:val="40"/>
          <w:highlight w:val="none"/>
        </w:rPr>
        <w:t>、初次报价</w:t>
      </w:r>
      <w:bookmarkEnd w:id="85"/>
      <w:bookmarkEnd w:id="86"/>
    </w:p>
    <w:p>
      <w:pPr>
        <w:pStyle w:val="11"/>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Theme="minorEastAsia" w:hAnsiTheme="minorEastAsia" w:eastAsiaTheme="minorEastAsia" w:cstheme="minorEastAsia"/>
          <w:b/>
          <w:i w:val="0"/>
          <w:iCs w:val="0"/>
          <w:color w:val="auto"/>
          <w:szCs w:val="28"/>
          <w:highlight w:val="none"/>
        </w:rPr>
      </w:pPr>
      <w:bookmarkStart w:id="88" w:name="_Toc27654"/>
      <w:r>
        <w:rPr>
          <w:rFonts w:hint="eastAsia" w:asciiTheme="minorEastAsia" w:hAnsiTheme="minorEastAsia" w:eastAsiaTheme="minorEastAsia" w:cstheme="minorEastAsia"/>
          <w:b/>
          <w:i w:val="0"/>
          <w:iCs w:val="0"/>
          <w:color w:val="auto"/>
          <w:szCs w:val="28"/>
          <w:highlight w:val="none"/>
        </w:rPr>
        <w:t>（一）初次报价表</w:t>
      </w:r>
      <w:bookmarkEnd w:id="88"/>
    </w:p>
    <w:tbl>
      <w:tblPr>
        <w:tblStyle w:val="18"/>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6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2828"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项目名称</w:t>
            </w:r>
          </w:p>
        </w:tc>
        <w:tc>
          <w:tcPr>
            <w:tcW w:w="6771"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2828"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总报价</w:t>
            </w:r>
          </w:p>
        </w:tc>
        <w:tc>
          <w:tcPr>
            <w:tcW w:w="6771"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人民币（大写）</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u w:val="single"/>
                <w:lang w:val="en-US" w:eastAsia="zh-CN"/>
              </w:rPr>
              <w:t xml:space="preserve">     </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（小写）</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u w:val="single"/>
                <w:lang w:val="en-US" w:eastAsia="zh-CN"/>
              </w:rPr>
              <w:t xml:space="preserve">     </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2828"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w w:val="110"/>
                <w:szCs w:val="21"/>
                <w:highlight w:val="none"/>
              </w:rPr>
              <w:t>工期（</w:t>
            </w:r>
            <w:r>
              <w:rPr>
                <w:rFonts w:hint="eastAsia" w:asciiTheme="minorEastAsia" w:hAnsiTheme="minorEastAsia" w:eastAsiaTheme="minorEastAsia" w:cstheme="minorEastAsia"/>
                <w:i w:val="0"/>
                <w:iCs w:val="0"/>
                <w:color w:val="auto"/>
                <w:w w:val="110"/>
                <w:szCs w:val="21"/>
                <w:highlight w:val="none"/>
                <w:lang w:eastAsia="zh-CN"/>
              </w:rPr>
              <w:t>日历天</w:t>
            </w:r>
            <w:r>
              <w:rPr>
                <w:rFonts w:hint="eastAsia" w:asciiTheme="minorEastAsia" w:hAnsiTheme="minorEastAsia" w:eastAsiaTheme="minorEastAsia" w:cstheme="minorEastAsia"/>
                <w:i w:val="0"/>
                <w:iCs w:val="0"/>
                <w:color w:val="auto"/>
                <w:w w:val="110"/>
                <w:szCs w:val="21"/>
                <w:highlight w:val="none"/>
              </w:rPr>
              <w:t>）</w:t>
            </w:r>
          </w:p>
        </w:tc>
        <w:tc>
          <w:tcPr>
            <w:tcW w:w="6771"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2828"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lang w:eastAsia="zh-CN"/>
              </w:rPr>
            </w:pPr>
            <w:r>
              <w:rPr>
                <w:rFonts w:hint="eastAsia" w:asciiTheme="minorEastAsia" w:hAnsiTheme="minorEastAsia" w:eastAsiaTheme="minorEastAsia" w:cstheme="minorEastAsia"/>
                <w:i w:val="0"/>
                <w:iCs w:val="0"/>
                <w:color w:val="auto"/>
                <w:w w:val="110"/>
                <w:szCs w:val="21"/>
                <w:highlight w:val="none"/>
                <w:lang w:eastAsia="zh-CN"/>
              </w:rPr>
              <w:t>项目</w:t>
            </w:r>
            <w:r>
              <w:rPr>
                <w:rFonts w:hint="eastAsia" w:asciiTheme="minorEastAsia" w:hAnsiTheme="minorEastAsia" w:eastAsiaTheme="minorEastAsia" w:cstheme="minorEastAsia"/>
                <w:i w:val="0"/>
                <w:iCs w:val="0"/>
                <w:color w:val="auto"/>
                <w:w w:val="110"/>
                <w:szCs w:val="21"/>
                <w:highlight w:val="none"/>
                <w:lang w:val="en-US" w:eastAsia="zh-CN"/>
              </w:rPr>
              <w:t>经理</w:t>
            </w:r>
          </w:p>
        </w:tc>
        <w:tc>
          <w:tcPr>
            <w:tcW w:w="6771" w:type="dxa"/>
            <w:vAlign w:val="center"/>
          </w:tcPr>
          <w:p>
            <w:pPr>
              <w:pageBreakBefore w:val="0"/>
              <w:kinsoku/>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default" w:asciiTheme="minorEastAsia" w:hAnsiTheme="minorEastAsia" w:eastAsiaTheme="minorEastAsia" w:cstheme="minorEastAsia"/>
                <w:i w:val="0"/>
                <w:iCs w:val="0"/>
                <w:color w:val="auto"/>
                <w:w w:val="110"/>
                <w:szCs w:val="21"/>
                <w:highlight w:val="none"/>
                <w:lang w:val="en-US" w:eastAsia="zh-CN"/>
              </w:rPr>
            </w:pPr>
            <w:r>
              <w:rPr>
                <w:rFonts w:hint="eastAsia" w:ascii="宋体" w:hAnsi="宋体" w:eastAsia="宋体" w:cs="宋体"/>
                <w:color w:val="auto"/>
                <w:sz w:val="24"/>
                <w:szCs w:val="24"/>
                <w:highlight w:val="none"/>
              </w:rPr>
              <w:t>证书注册编号：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2828"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rPr>
            </w:pPr>
            <w:r>
              <w:rPr>
                <w:rFonts w:hint="eastAsia" w:asciiTheme="minorEastAsia" w:hAnsiTheme="minorEastAsia" w:eastAsiaTheme="minorEastAsia" w:cstheme="minorEastAsia"/>
                <w:i w:val="0"/>
                <w:iCs w:val="0"/>
                <w:color w:val="auto"/>
                <w:w w:val="110"/>
                <w:szCs w:val="21"/>
                <w:highlight w:val="none"/>
                <w:lang w:eastAsia="zh-CN"/>
              </w:rPr>
              <w:t>质量标准</w:t>
            </w:r>
          </w:p>
        </w:tc>
        <w:tc>
          <w:tcPr>
            <w:tcW w:w="6771"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w w:val="110"/>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供应商（盖章）</w:t>
      </w:r>
      <w:r>
        <w:rPr>
          <w:rFonts w:hint="eastAsia" w:asciiTheme="minorEastAsia" w:hAnsiTheme="minorEastAsia" w:eastAsiaTheme="minorEastAsia" w:cstheme="minorEastAsia"/>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法人代表或委托代理人（签字或盖章）</w:t>
      </w:r>
      <w:r>
        <w:rPr>
          <w:rFonts w:hint="eastAsia" w:asciiTheme="minorEastAsia" w:hAnsiTheme="minorEastAsia" w:eastAsiaTheme="minorEastAsia" w:cstheme="minorEastAsia"/>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日期</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年</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月</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lang w:eastAsia="zh-CN"/>
        </w:rPr>
      </w:pPr>
      <w:r>
        <w:rPr>
          <w:rFonts w:hint="eastAsia" w:asciiTheme="minorEastAsia" w:hAnsiTheme="minorEastAsia" w:eastAsiaTheme="minorEastAsia" w:cstheme="minorEastAsia"/>
          <w:bCs/>
          <w:i w:val="0"/>
          <w:iCs w:val="0"/>
          <w:color w:val="auto"/>
          <w:szCs w:val="21"/>
          <w:highlight w:val="none"/>
        </w:rPr>
        <w:t>说明</w:t>
      </w:r>
      <w:r>
        <w:rPr>
          <w:rFonts w:hint="eastAsia" w:asciiTheme="minorEastAsia" w:hAnsiTheme="minorEastAsia" w:eastAsiaTheme="minorEastAsia" w:cstheme="minorEastAsia"/>
          <w:bCs/>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szCs w:val="21"/>
          <w:highlight w:val="none"/>
        </w:rPr>
      </w:pPr>
      <w:r>
        <w:rPr>
          <w:rFonts w:hint="eastAsia" w:asciiTheme="minorEastAsia" w:hAnsiTheme="minorEastAsia" w:eastAsiaTheme="minorEastAsia" w:cstheme="minorEastAsia"/>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highlight w:val="none"/>
        </w:rPr>
      </w:pPr>
      <w:r>
        <w:rPr>
          <w:rFonts w:hint="eastAsia" w:asciiTheme="minorEastAsia" w:hAnsiTheme="minorEastAsia" w:eastAsiaTheme="minorEastAsia" w:cstheme="minorEastAsia"/>
          <w:b/>
          <w:i w:val="0"/>
          <w:iCs w:val="0"/>
          <w:color w:val="auto"/>
          <w:szCs w:val="21"/>
          <w:highlight w:val="none"/>
        </w:rPr>
        <w:t>2、</w:t>
      </w:r>
      <w:r>
        <w:rPr>
          <w:rFonts w:hint="eastAsia" w:asciiTheme="minorEastAsia" w:hAnsiTheme="minorEastAsia" w:eastAsiaTheme="minorEastAsia" w:cstheme="minorEastAsia"/>
          <w:b/>
          <w:i w:val="0"/>
          <w:iCs w:val="0"/>
          <w:color w:val="auto"/>
          <w:szCs w:val="21"/>
          <w:highlight w:val="none"/>
          <w:lang w:eastAsia="zh-CN"/>
        </w:rPr>
        <w:t>供应商</w:t>
      </w:r>
      <w:r>
        <w:rPr>
          <w:rFonts w:hint="eastAsia" w:asciiTheme="minorEastAsia" w:hAnsiTheme="minorEastAsia" w:eastAsiaTheme="minorEastAsia" w:cstheme="minorEastAsia"/>
          <w:b/>
          <w:i w:val="0"/>
          <w:iCs w:val="0"/>
          <w:color w:val="auto"/>
          <w:szCs w:val="21"/>
          <w:highlight w:val="none"/>
        </w:rPr>
        <w:t>的报价包括完成本工程的全部费用。其中，磋商代理服务费应分摊在报价中。</w:t>
      </w:r>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初次报价的已标价工程量清单</w:t>
      </w:r>
      <w:bookmarkEnd w:id="87"/>
    </w:p>
    <w:p>
      <w:pPr>
        <w:pStyle w:val="24"/>
        <w:tabs>
          <w:tab w:val="left" w:pos="9638"/>
        </w:tabs>
        <w:spacing w:line="360" w:lineRule="auto"/>
        <w:ind w:right="-82" w:firstLine="472" w:firstLineChars="196"/>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说明：所有构成合同文件的已标价工程量清单包括第四部分采购内容及要求中“工程量清单”有关工程量清单、报价以及其他说明的内容。</w:t>
      </w:r>
    </w:p>
    <w:p>
      <w:pPr>
        <w:pStyle w:val="24"/>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4"/>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4"/>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4"/>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4"/>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jc w:val="center"/>
        <w:rPr>
          <w:rFonts w:hint="eastAsia" w:ascii="宋体" w:hAnsi="宋体" w:eastAsia="宋体" w:cs="宋体"/>
          <w:b/>
          <w:bCs/>
          <w:color w:val="auto"/>
          <w:kern w:val="2"/>
          <w:sz w:val="24"/>
          <w:szCs w:val="24"/>
          <w:lang w:val="en-US" w:eastAsia="zh-CN" w:bidi="ar-SA"/>
        </w:rPr>
      </w:pPr>
      <w:bookmarkStart w:id="89" w:name="_Toc4810"/>
      <w:r>
        <w:rPr>
          <w:rFonts w:hint="eastAsia" w:ascii="宋体" w:hAnsi="宋体" w:eastAsia="宋体" w:cs="宋体"/>
          <w:b/>
          <w:bCs/>
          <w:color w:val="auto"/>
          <w:kern w:val="2"/>
          <w:sz w:val="24"/>
          <w:szCs w:val="24"/>
          <w:lang w:val="en-US" w:eastAsia="zh-CN" w:bidi="ar-SA"/>
        </w:rPr>
        <w:t>五、施工组织设计</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一</w:t>
      </w:r>
      <w:r>
        <w:rPr>
          <w:rFonts w:hint="eastAsia" w:ascii="宋体" w:hAnsi="宋体"/>
          <w:color w:val="000000"/>
          <w:sz w:val="24"/>
          <w:szCs w:val="24"/>
        </w:rPr>
        <w:t>．供应商应根据竞争性磋商文件和对现场的勘察情况，采用文字并结合图表形式，参考以下要点编制本工程的施工组织设计：</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针对项目特点内容规范完整性和整体编制水平</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2、施工进度计划和保证措施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3、</w:t>
      </w:r>
      <w:r>
        <w:rPr>
          <w:rFonts w:hint="eastAsia" w:ascii="宋体" w:hAnsi="宋体"/>
          <w:color w:val="000000"/>
          <w:sz w:val="24"/>
          <w:szCs w:val="24"/>
        </w:rPr>
        <w:t>质量管理体系与措施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4、</w:t>
      </w:r>
      <w:r>
        <w:rPr>
          <w:rFonts w:hint="eastAsia" w:ascii="宋体" w:hAnsi="宋体"/>
          <w:color w:val="000000"/>
          <w:sz w:val="24"/>
          <w:szCs w:val="24"/>
        </w:rPr>
        <w:t>安全管理体系与措施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5、环保管理体系与措施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6、文明管理体系与措施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7、劳动力、机械设备和材料投入计划</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8、施工管理及措施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9、施工关键部位、材料采购要点的控制及措施（根据工程特点及本磋商文件要求应具有针对性）</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10、</w:t>
      </w:r>
      <w:r>
        <w:rPr>
          <w:rFonts w:hint="eastAsia" w:ascii="宋体" w:hAnsi="宋体"/>
          <w:color w:val="000000"/>
          <w:sz w:val="24"/>
          <w:szCs w:val="24"/>
        </w:rPr>
        <w:t>工地扬尘污染防治措施</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2．施工组织设计除采用文字表述外可附下列图表。</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附表一  拟投入本工程的主要施工设备表</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附表二  拟配备本工程的试验和检测仪器设备表</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附表三  劳动力计划表</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附表四  计划开、竣工日期和施工进度网络图</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附表五  施工总平面图</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附表六  临时用地表</w:t>
      </w:r>
    </w:p>
    <w:p>
      <w:pPr>
        <w:rPr>
          <w:rFonts w:hint="eastAsia"/>
        </w:rPr>
      </w:pPr>
      <w:r>
        <w:rPr>
          <w:rFonts w:hint="eastAsia"/>
        </w:rPr>
        <w:br w:type="page"/>
      </w:r>
    </w:p>
    <w:p>
      <w:pPr>
        <w:spacing w:before="156" w:beforeLines="50" w:after="312" w:afterLines="100" w:line="420" w:lineRule="exact"/>
        <w:rPr>
          <w:rFonts w:hint="eastAsia" w:ascii="宋体" w:hAnsi="宋体" w:eastAsia="宋体" w:cs="宋体"/>
          <w:sz w:val="24"/>
          <w:szCs w:val="24"/>
        </w:rPr>
      </w:pPr>
      <w:r>
        <w:rPr>
          <w:rFonts w:hint="eastAsia" w:ascii="宋体" w:hAnsi="宋体" w:eastAsia="宋体" w:cs="宋体"/>
          <w:sz w:val="24"/>
          <w:szCs w:val="24"/>
        </w:rPr>
        <w:t>附表一：拟投入本工程的主要施工设备表</w:t>
      </w:r>
    </w:p>
    <w:tbl>
      <w:tblPr>
        <w:tblStyle w:val="18"/>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6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73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型号</w:t>
            </w:r>
          </w:p>
          <w:p>
            <w:pPr>
              <w:jc w:val="center"/>
              <w:rPr>
                <w:rFonts w:hint="eastAsia" w:ascii="宋体" w:hAnsi="宋体" w:eastAsia="宋体" w:cs="宋体"/>
                <w:sz w:val="24"/>
                <w:szCs w:val="24"/>
              </w:rPr>
            </w:pPr>
            <w:r>
              <w:rPr>
                <w:rFonts w:hint="eastAsia" w:ascii="宋体" w:hAnsi="宋体" w:eastAsia="宋体" w:cs="宋体"/>
                <w:sz w:val="24"/>
                <w:szCs w:val="24"/>
              </w:rPr>
              <w:t>规格</w:t>
            </w:r>
          </w:p>
        </w:tc>
        <w:tc>
          <w:tcPr>
            <w:tcW w:w="111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  量</w:t>
            </w:r>
          </w:p>
        </w:tc>
        <w:tc>
          <w:tcPr>
            <w:tcW w:w="77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国别</w:t>
            </w:r>
          </w:p>
          <w:p>
            <w:pPr>
              <w:jc w:val="center"/>
              <w:rPr>
                <w:rFonts w:hint="eastAsia" w:ascii="宋体" w:hAnsi="宋体" w:eastAsia="宋体" w:cs="宋体"/>
                <w:sz w:val="24"/>
                <w:szCs w:val="24"/>
              </w:rPr>
            </w:pPr>
            <w:r>
              <w:rPr>
                <w:rFonts w:hint="eastAsia" w:ascii="宋体" w:hAnsi="宋体" w:eastAsia="宋体" w:cs="宋体"/>
                <w:sz w:val="24"/>
                <w:szCs w:val="24"/>
              </w:rPr>
              <w:t>产地</w:t>
            </w:r>
          </w:p>
        </w:tc>
        <w:tc>
          <w:tcPr>
            <w:tcW w:w="77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制造</w:t>
            </w:r>
          </w:p>
          <w:p>
            <w:pPr>
              <w:jc w:val="center"/>
              <w:rPr>
                <w:rFonts w:hint="eastAsia" w:ascii="宋体" w:hAnsi="宋体" w:eastAsia="宋体" w:cs="宋体"/>
                <w:sz w:val="24"/>
                <w:szCs w:val="24"/>
              </w:rPr>
            </w:pPr>
            <w:r>
              <w:rPr>
                <w:rFonts w:hint="eastAsia" w:ascii="宋体" w:hAnsi="宋体" w:eastAsia="宋体" w:cs="宋体"/>
                <w:sz w:val="24"/>
                <w:szCs w:val="24"/>
              </w:rPr>
              <w:t>年份</w:t>
            </w:r>
          </w:p>
        </w:tc>
        <w:tc>
          <w:tcPr>
            <w:tcW w:w="128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额定功率</w:t>
            </w:r>
          </w:p>
          <w:p>
            <w:pPr>
              <w:jc w:val="center"/>
              <w:rPr>
                <w:rFonts w:hint="eastAsia" w:ascii="宋体" w:hAnsi="宋体" w:eastAsia="宋体" w:cs="宋体"/>
                <w:sz w:val="24"/>
                <w:szCs w:val="24"/>
              </w:rPr>
            </w:pPr>
            <w:r>
              <w:rPr>
                <w:rFonts w:hint="eastAsia" w:ascii="宋体" w:hAnsi="宋体" w:eastAsia="宋体" w:cs="宋体"/>
                <w:sz w:val="24"/>
                <w:szCs w:val="24"/>
              </w:rPr>
              <w:t>（KW）</w:t>
            </w:r>
          </w:p>
        </w:tc>
        <w:tc>
          <w:tcPr>
            <w:tcW w:w="95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生产</w:t>
            </w:r>
          </w:p>
          <w:p>
            <w:pPr>
              <w:jc w:val="center"/>
              <w:rPr>
                <w:rFonts w:hint="eastAsia" w:ascii="宋体" w:hAnsi="宋体" w:eastAsia="宋体" w:cs="宋体"/>
                <w:sz w:val="24"/>
                <w:szCs w:val="24"/>
              </w:rPr>
            </w:pPr>
            <w:r>
              <w:rPr>
                <w:rFonts w:hint="eastAsia" w:ascii="宋体" w:hAnsi="宋体" w:eastAsia="宋体" w:cs="宋体"/>
                <w:sz w:val="24"/>
                <w:szCs w:val="24"/>
              </w:rPr>
              <w:t>能力</w:t>
            </w:r>
          </w:p>
        </w:tc>
        <w:tc>
          <w:tcPr>
            <w:tcW w:w="95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用于施</w:t>
            </w:r>
          </w:p>
          <w:p>
            <w:pPr>
              <w:jc w:val="center"/>
              <w:rPr>
                <w:rFonts w:hint="eastAsia" w:ascii="宋体" w:hAnsi="宋体" w:eastAsia="宋体" w:cs="宋体"/>
                <w:sz w:val="24"/>
                <w:szCs w:val="24"/>
              </w:rPr>
            </w:pPr>
            <w:r>
              <w:rPr>
                <w:rFonts w:hint="eastAsia" w:ascii="宋体" w:hAnsi="宋体" w:eastAsia="宋体" w:cs="宋体"/>
                <w:sz w:val="24"/>
                <w:szCs w:val="24"/>
              </w:rPr>
              <w:t>工部位</w:t>
            </w:r>
          </w:p>
        </w:tc>
        <w:tc>
          <w:tcPr>
            <w:tcW w:w="83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bl>
    <w:p>
      <w:pPr>
        <w:spacing w:before="156" w:beforeLines="50" w:after="312" w:afterLines="100" w:line="4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附表二：拟配备本工程的试验和检测仪器设备表</w:t>
      </w:r>
    </w:p>
    <w:tbl>
      <w:tblPr>
        <w:tblStyle w:val="18"/>
        <w:tblW w:w="0" w:type="auto"/>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0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仪器设备</w:t>
            </w:r>
          </w:p>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型号</w:t>
            </w:r>
          </w:p>
          <w:p>
            <w:pPr>
              <w:jc w:val="center"/>
              <w:rPr>
                <w:rFonts w:hint="eastAsia" w:ascii="宋体" w:hAnsi="宋体" w:eastAsia="宋体" w:cs="宋体"/>
                <w:sz w:val="24"/>
                <w:szCs w:val="24"/>
              </w:rPr>
            </w:pPr>
            <w:r>
              <w:rPr>
                <w:rFonts w:hint="eastAsia" w:ascii="宋体" w:hAnsi="宋体" w:eastAsia="宋体" w:cs="宋体"/>
                <w:sz w:val="24"/>
                <w:szCs w:val="24"/>
              </w:rPr>
              <w:t>规格</w:t>
            </w:r>
          </w:p>
        </w:tc>
        <w:tc>
          <w:tcPr>
            <w:tcW w:w="11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  量</w:t>
            </w:r>
          </w:p>
        </w:tc>
        <w:tc>
          <w:tcPr>
            <w:tcW w:w="84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国别</w:t>
            </w:r>
          </w:p>
          <w:p>
            <w:pPr>
              <w:jc w:val="center"/>
              <w:rPr>
                <w:rFonts w:hint="eastAsia" w:ascii="宋体" w:hAnsi="宋体" w:eastAsia="宋体" w:cs="宋体"/>
                <w:sz w:val="24"/>
                <w:szCs w:val="24"/>
              </w:rPr>
            </w:pPr>
            <w:r>
              <w:rPr>
                <w:rFonts w:hint="eastAsia" w:ascii="宋体" w:hAnsi="宋体" w:eastAsia="宋体" w:cs="宋体"/>
                <w:sz w:val="24"/>
                <w:szCs w:val="24"/>
              </w:rPr>
              <w:t>产地</w:t>
            </w:r>
          </w:p>
        </w:tc>
        <w:tc>
          <w:tcPr>
            <w:tcW w:w="84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制造</w:t>
            </w:r>
          </w:p>
          <w:p>
            <w:pPr>
              <w:jc w:val="center"/>
              <w:rPr>
                <w:rFonts w:hint="eastAsia" w:ascii="宋体" w:hAnsi="宋体" w:eastAsia="宋体" w:cs="宋体"/>
                <w:sz w:val="24"/>
                <w:szCs w:val="24"/>
              </w:rPr>
            </w:pPr>
            <w:r>
              <w:rPr>
                <w:rFonts w:hint="eastAsia" w:ascii="宋体" w:hAnsi="宋体" w:eastAsia="宋体" w:cs="宋体"/>
                <w:sz w:val="24"/>
                <w:szCs w:val="24"/>
              </w:rPr>
              <w:t>年份</w:t>
            </w:r>
          </w:p>
        </w:tc>
        <w:tc>
          <w:tcPr>
            <w:tcW w:w="140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已使用</w:t>
            </w:r>
          </w:p>
          <w:p>
            <w:pPr>
              <w:jc w:val="center"/>
              <w:rPr>
                <w:rFonts w:hint="eastAsia" w:ascii="宋体" w:hAnsi="宋体" w:eastAsia="宋体" w:cs="宋体"/>
                <w:sz w:val="24"/>
                <w:szCs w:val="24"/>
              </w:rPr>
            </w:pPr>
            <w:r>
              <w:rPr>
                <w:rFonts w:hint="eastAsia" w:ascii="宋体" w:hAnsi="宋体" w:eastAsia="宋体" w:cs="宋体"/>
                <w:sz w:val="24"/>
                <w:szCs w:val="24"/>
              </w:rPr>
              <w:t>台时数</w:t>
            </w:r>
          </w:p>
        </w:tc>
        <w:tc>
          <w:tcPr>
            <w:tcW w:w="11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用  途</w:t>
            </w:r>
          </w:p>
        </w:tc>
        <w:tc>
          <w:tcPr>
            <w:tcW w:w="84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bl>
    <w:p>
      <w:pPr>
        <w:spacing w:before="156" w:beforeLines="50" w:after="156" w:afterLines="50" w:line="420" w:lineRule="exac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附表三：劳动力计划表</w:t>
      </w:r>
    </w:p>
    <w:p>
      <w:pPr>
        <w:wordWrap w:val="0"/>
        <w:spacing w:line="420" w:lineRule="exact"/>
        <w:jc w:val="right"/>
        <w:rPr>
          <w:rFonts w:hint="eastAsia" w:ascii="宋体" w:hAnsi="宋体" w:eastAsia="宋体" w:cs="宋体"/>
          <w:sz w:val="24"/>
          <w:szCs w:val="24"/>
        </w:rPr>
      </w:pPr>
      <w:r>
        <w:rPr>
          <w:rFonts w:hint="eastAsia" w:ascii="宋体" w:hAnsi="宋体" w:eastAsia="宋体" w:cs="宋体"/>
          <w:sz w:val="24"/>
          <w:szCs w:val="24"/>
        </w:rPr>
        <w:t xml:space="preserve">单位：人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549"/>
        <w:gridCol w:w="1161"/>
        <w:gridCol w:w="1161"/>
        <w:gridCol w:w="1161"/>
        <w:gridCol w:w="1161"/>
        <w:gridCol w:w="11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7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工种</w:t>
            </w:r>
          </w:p>
        </w:tc>
        <w:tc>
          <w:tcPr>
            <w:tcW w:w="8513" w:type="dxa"/>
            <w:gridSpan w:val="7"/>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bl>
    <w:p>
      <w:pPr>
        <w:spacing w:before="156" w:beforeLines="50" w:after="312" w:afterLines="100" w:line="420" w:lineRule="exac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附表四：计划开、竣工日期和施工进度网络图</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1．供应商应递交施工进度网络图或施工进度表，说明按磋商文件要求的计划工期进行施工的各个关键日期。</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2．施工进度表可采用网络图和（或）横道图表示。</w:t>
      </w:r>
    </w:p>
    <w:p>
      <w:pPr>
        <w:spacing w:before="156" w:beforeLines="50" w:after="312" w:afterLines="100" w:line="420" w:lineRule="exac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附表五：施工总平面图</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供应商应递交一份施工总平面图，绘出现场临时设施布置图表并附文字说明，说明临时设施、加工车间、现场办公、设备及仓储、供电、供水、卫生、生活、道路、消防等设施的情况和布置。</w:t>
      </w:r>
    </w:p>
    <w:p>
      <w:pPr>
        <w:spacing w:before="156" w:beforeLines="50" w:after="312" w:afterLines="100" w:line="420" w:lineRule="exac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附表六：临时用地表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用  途</w:t>
            </w:r>
          </w:p>
        </w:tc>
        <w:tc>
          <w:tcPr>
            <w:tcW w:w="227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面 积（平方米）</w:t>
            </w:r>
          </w:p>
        </w:tc>
        <w:tc>
          <w:tcPr>
            <w:tcW w:w="227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位  置</w:t>
            </w:r>
          </w:p>
        </w:tc>
        <w:tc>
          <w:tcPr>
            <w:tcW w:w="226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bl>
    <w:p>
      <w:pPr>
        <w:rPr>
          <w:rFonts w:hint="eastAsia"/>
        </w:rPr>
      </w:pPr>
    </w:p>
    <w:p>
      <w:pPr>
        <w:rPr>
          <w:rFonts w:hint="eastAsia" w:ascii="宋体" w:hAnsi="宋体"/>
          <w:b/>
          <w:sz w:val="24"/>
          <w:szCs w:val="24"/>
        </w:rPr>
      </w:pPr>
    </w:p>
    <w:p>
      <w:pPr>
        <w:pStyle w:val="4"/>
        <w:jc w:val="center"/>
        <w:rPr>
          <w:rFonts w:hint="eastAsia" w:ascii="宋体" w:hAnsi="宋体" w:eastAsia="宋体"/>
          <w:color w:val="000000"/>
          <w:sz w:val="24"/>
          <w:szCs w:val="28"/>
          <w:highlight w:val="none"/>
        </w:rPr>
      </w:pPr>
      <w:bookmarkStart w:id="90" w:name="_Toc300901199"/>
      <w:bookmarkStart w:id="91" w:name="_Toc323642004"/>
      <w:bookmarkStart w:id="92" w:name="_Toc374107073"/>
      <w:r>
        <w:rPr>
          <w:rFonts w:hint="eastAsia" w:ascii="宋体" w:hAnsi="宋体" w:eastAsia="宋体"/>
          <w:color w:val="000000"/>
          <w:sz w:val="24"/>
          <w:szCs w:val="28"/>
          <w:highlight w:val="none"/>
          <w:lang w:val="en-US" w:eastAsia="zh-CN"/>
        </w:rPr>
        <w:t>六</w:t>
      </w:r>
      <w:r>
        <w:rPr>
          <w:rFonts w:hint="eastAsia" w:ascii="宋体" w:hAnsi="宋体" w:eastAsia="宋体"/>
          <w:color w:val="000000"/>
          <w:sz w:val="24"/>
          <w:szCs w:val="28"/>
          <w:highlight w:val="none"/>
        </w:rPr>
        <w:t>、项目管理机构</w:t>
      </w:r>
      <w:bookmarkEnd w:id="90"/>
      <w:bookmarkEnd w:id="91"/>
      <w:bookmarkEnd w:id="92"/>
    </w:p>
    <w:p>
      <w:pPr>
        <w:spacing w:after="286" w:afterLines="100" w:line="420" w:lineRule="exact"/>
        <w:rPr>
          <w:rFonts w:hint="eastAsia" w:ascii="黑体" w:hAnsi="宋体" w:eastAsia="黑体"/>
          <w:color w:val="000000"/>
          <w:sz w:val="24"/>
        </w:rPr>
      </w:pPr>
      <w:r>
        <w:rPr>
          <w:rFonts w:hint="eastAsia" w:ascii="黑体" w:hAnsi="宋体" w:eastAsia="黑体"/>
          <w:color w:val="000000"/>
          <w:sz w:val="24"/>
        </w:rPr>
        <w:t>（一）项目管理机构组成表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1239"/>
        <w:gridCol w:w="841"/>
        <w:gridCol w:w="860"/>
        <w:gridCol w:w="929"/>
        <w:gridCol w:w="232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职务</w:t>
            </w:r>
          </w:p>
        </w:tc>
        <w:tc>
          <w:tcPr>
            <w:tcW w:w="774"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姓名</w:t>
            </w:r>
          </w:p>
        </w:tc>
        <w:tc>
          <w:tcPr>
            <w:tcW w:w="774"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职称</w:t>
            </w:r>
          </w:p>
        </w:tc>
        <w:tc>
          <w:tcPr>
            <w:tcW w:w="6191" w:type="dxa"/>
            <w:gridSpan w:val="5"/>
            <w:noWrap w:val="0"/>
            <w:vAlign w:val="center"/>
          </w:tcPr>
          <w:p>
            <w:pPr>
              <w:jc w:val="center"/>
              <w:rPr>
                <w:rFonts w:hint="eastAsia" w:ascii="宋体" w:hAnsi="宋体"/>
                <w:color w:val="000000"/>
                <w:szCs w:val="21"/>
              </w:rPr>
            </w:pPr>
            <w:r>
              <w:rPr>
                <w:rFonts w:hint="eastAsia" w:ascii="宋体" w:hAnsi="宋体"/>
                <w:color w:val="000000"/>
                <w:szCs w:val="21"/>
              </w:rPr>
              <w:t>执业或职业资格证明</w:t>
            </w:r>
          </w:p>
        </w:tc>
        <w:tc>
          <w:tcPr>
            <w:tcW w:w="1552"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noWrap w:val="0"/>
            <w:vAlign w:val="center"/>
          </w:tcPr>
          <w:p>
            <w:pPr>
              <w:jc w:val="center"/>
              <w:rPr>
                <w:rFonts w:hint="eastAsia" w:ascii="宋体" w:hAnsi="宋体"/>
                <w:color w:val="000000"/>
                <w:szCs w:val="21"/>
              </w:rPr>
            </w:pPr>
          </w:p>
        </w:tc>
        <w:tc>
          <w:tcPr>
            <w:tcW w:w="774" w:type="dxa"/>
            <w:vMerge w:val="continue"/>
            <w:noWrap w:val="0"/>
            <w:vAlign w:val="center"/>
          </w:tcPr>
          <w:p>
            <w:pPr>
              <w:jc w:val="center"/>
              <w:rPr>
                <w:rFonts w:hint="eastAsia" w:ascii="宋体" w:hAnsi="宋体"/>
                <w:color w:val="000000"/>
                <w:szCs w:val="21"/>
              </w:rPr>
            </w:pPr>
          </w:p>
        </w:tc>
        <w:tc>
          <w:tcPr>
            <w:tcW w:w="774" w:type="dxa"/>
            <w:vMerge w:val="continue"/>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r>
              <w:rPr>
                <w:rFonts w:hint="eastAsia" w:ascii="宋体" w:hAnsi="宋体"/>
                <w:color w:val="000000"/>
                <w:szCs w:val="21"/>
              </w:rPr>
              <w:t>证书名称</w:t>
            </w:r>
          </w:p>
        </w:tc>
        <w:tc>
          <w:tcPr>
            <w:tcW w:w="841" w:type="dxa"/>
            <w:noWrap w:val="0"/>
            <w:vAlign w:val="center"/>
          </w:tcPr>
          <w:p>
            <w:pPr>
              <w:jc w:val="center"/>
              <w:rPr>
                <w:rFonts w:hint="eastAsia" w:ascii="宋体" w:hAnsi="宋体"/>
                <w:color w:val="000000"/>
                <w:szCs w:val="21"/>
              </w:rPr>
            </w:pPr>
            <w:r>
              <w:rPr>
                <w:rFonts w:hint="eastAsia" w:ascii="宋体" w:hAnsi="宋体"/>
                <w:color w:val="000000"/>
                <w:szCs w:val="21"/>
              </w:rPr>
              <w:t>级别</w:t>
            </w:r>
          </w:p>
        </w:tc>
        <w:tc>
          <w:tcPr>
            <w:tcW w:w="860" w:type="dxa"/>
            <w:noWrap w:val="0"/>
            <w:vAlign w:val="center"/>
          </w:tcPr>
          <w:p>
            <w:pPr>
              <w:jc w:val="center"/>
              <w:rPr>
                <w:rFonts w:hint="eastAsia" w:ascii="宋体" w:hAnsi="宋体"/>
                <w:color w:val="000000"/>
                <w:szCs w:val="21"/>
              </w:rPr>
            </w:pPr>
            <w:r>
              <w:rPr>
                <w:rFonts w:hint="eastAsia" w:ascii="宋体" w:hAnsi="宋体"/>
                <w:color w:val="000000"/>
                <w:szCs w:val="21"/>
              </w:rPr>
              <w:t>证号</w:t>
            </w:r>
          </w:p>
        </w:tc>
        <w:tc>
          <w:tcPr>
            <w:tcW w:w="929" w:type="dxa"/>
            <w:noWrap w:val="0"/>
            <w:vAlign w:val="center"/>
          </w:tcPr>
          <w:p>
            <w:pPr>
              <w:jc w:val="center"/>
              <w:rPr>
                <w:rFonts w:hint="eastAsia" w:ascii="宋体" w:hAnsi="宋体"/>
                <w:color w:val="000000"/>
                <w:szCs w:val="21"/>
              </w:rPr>
            </w:pPr>
            <w:r>
              <w:rPr>
                <w:rFonts w:hint="eastAsia" w:ascii="宋体" w:hAnsi="宋体"/>
                <w:color w:val="000000"/>
                <w:szCs w:val="21"/>
              </w:rPr>
              <w:t>专业</w:t>
            </w:r>
          </w:p>
        </w:tc>
        <w:tc>
          <w:tcPr>
            <w:tcW w:w="2322" w:type="dxa"/>
            <w:noWrap w:val="0"/>
            <w:vAlign w:val="center"/>
          </w:tcPr>
          <w:p>
            <w:pPr>
              <w:jc w:val="center"/>
              <w:rPr>
                <w:rFonts w:hint="eastAsia" w:ascii="宋体" w:hAnsi="宋体"/>
                <w:color w:val="000000"/>
                <w:szCs w:val="21"/>
              </w:rPr>
            </w:pPr>
            <w:r>
              <w:rPr>
                <w:rFonts w:hint="eastAsia" w:ascii="宋体" w:hAnsi="宋体"/>
                <w:color w:val="000000"/>
                <w:szCs w:val="21"/>
              </w:rPr>
              <w:t>养老保险</w:t>
            </w:r>
          </w:p>
        </w:tc>
        <w:tc>
          <w:tcPr>
            <w:tcW w:w="1552" w:type="dxa"/>
            <w:vMerge w:val="continue"/>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bl>
    <w:p>
      <w:pPr>
        <w:spacing w:before="143" w:beforeLines="50" w:after="286" w:afterLines="100" w:line="420" w:lineRule="exact"/>
        <w:rPr>
          <w:rFonts w:hint="eastAsia" w:ascii="黑体" w:hAnsi="宋体" w:eastAsia="黑体"/>
          <w:color w:val="000000"/>
          <w:sz w:val="24"/>
        </w:rPr>
      </w:pPr>
      <w:r>
        <w:rPr>
          <w:rFonts w:ascii="宋体" w:hAnsi="宋体"/>
          <w:color w:val="000000"/>
          <w:szCs w:val="21"/>
        </w:rPr>
        <w:br w:type="page"/>
      </w:r>
      <w:r>
        <w:rPr>
          <w:rFonts w:hint="eastAsia" w:ascii="黑体" w:hAnsi="宋体" w:eastAsia="黑体"/>
          <w:color w:val="000000"/>
          <w:sz w:val="24"/>
        </w:rPr>
        <w:t>（二）主要人员简历表</w:t>
      </w:r>
    </w:p>
    <w:p>
      <w:pPr>
        <w:spacing w:line="420" w:lineRule="exact"/>
        <w:rPr>
          <w:rFonts w:hint="eastAsia" w:ascii="黑体" w:hAnsi="宋体" w:eastAsia="黑体"/>
          <w:color w:val="000000"/>
          <w:szCs w:val="21"/>
        </w:rPr>
      </w:pPr>
      <w:r>
        <w:rPr>
          <w:rFonts w:hint="eastAsia" w:ascii="黑体" w:hAnsi="宋体" w:eastAsia="黑体"/>
          <w:color w:val="000000"/>
          <w:szCs w:val="21"/>
        </w:rPr>
        <w:t>附1：项目经理简历表</w:t>
      </w:r>
    </w:p>
    <w:p>
      <w:pPr>
        <w:spacing w:line="420" w:lineRule="exact"/>
        <w:rPr>
          <w:rFonts w:hint="eastAsia" w:ascii="宋体" w:hAnsi="宋体" w:eastAsia="宋体"/>
          <w:color w:val="000000"/>
          <w:szCs w:val="21"/>
          <w:lang w:eastAsia="zh-CN"/>
        </w:rPr>
      </w:pPr>
      <w:r>
        <w:rPr>
          <w:rFonts w:hint="eastAsia" w:ascii="宋体" w:hAnsi="宋体"/>
          <w:color w:val="000000"/>
          <w:szCs w:val="21"/>
        </w:rPr>
        <w:t>项目经理（项目负责人）应附建造师执业资格证书、注册证书、安全生产考核合格证书及未担任其他在施建设工程项目项目经理的承诺书</w:t>
      </w:r>
      <w:r>
        <w:rPr>
          <w:rFonts w:hint="eastAsia" w:ascii="宋体" w:hAnsi="宋体"/>
          <w:color w:val="000000"/>
          <w:szCs w:val="21"/>
          <w:lang w:eastAsia="zh-CN"/>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姓  名</w:t>
            </w: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r>
              <w:rPr>
                <w:rFonts w:hint="eastAsia" w:ascii="宋体" w:hAnsi="宋体"/>
                <w:color w:val="000000"/>
                <w:szCs w:val="21"/>
              </w:rPr>
              <w:t>年  龄</w:t>
            </w: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学历</w:t>
            </w: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职  称</w:t>
            </w: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r>
              <w:rPr>
                <w:rFonts w:hint="eastAsia" w:ascii="宋体" w:hAnsi="宋体"/>
                <w:color w:val="000000"/>
                <w:szCs w:val="21"/>
              </w:rPr>
              <w:t>职  务</w:t>
            </w: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拟在本工程任职</w:t>
            </w:r>
          </w:p>
        </w:tc>
        <w:tc>
          <w:tcPr>
            <w:tcW w:w="2322" w:type="dxa"/>
            <w:noWrap w:val="0"/>
            <w:vAlign w:val="center"/>
          </w:tcPr>
          <w:p>
            <w:pPr>
              <w:jc w:val="center"/>
              <w:rPr>
                <w:rFonts w:hint="eastAsia" w:ascii="宋体" w:hAnsi="宋体"/>
                <w:color w:val="000000"/>
                <w:szCs w:val="21"/>
              </w:rPr>
            </w:pPr>
            <w:r>
              <w:rPr>
                <w:rFonts w:hint="eastAsia" w:ascii="宋体" w:hAnsi="宋体"/>
                <w:color w:val="000000"/>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jc w:val="center"/>
              <w:rPr>
                <w:rFonts w:hint="eastAsia" w:ascii="宋体" w:hAnsi="宋体"/>
                <w:color w:val="000000"/>
                <w:szCs w:val="21"/>
              </w:rPr>
            </w:pPr>
            <w:r>
              <w:rPr>
                <w:rFonts w:hint="eastAsia" w:ascii="宋体" w:hAnsi="宋体"/>
                <w:color w:val="000000"/>
                <w:szCs w:val="21"/>
              </w:rPr>
              <w:t>建造师注册证或专业技术职称证书</w:t>
            </w:r>
          </w:p>
        </w:tc>
        <w:tc>
          <w:tcPr>
            <w:tcW w:w="1393" w:type="dxa"/>
            <w:noWrap w:val="0"/>
            <w:vAlign w:val="center"/>
          </w:tcPr>
          <w:p>
            <w:pPr>
              <w:jc w:val="center"/>
              <w:rPr>
                <w:rFonts w:hint="eastAsia" w:ascii="宋体" w:hAnsi="宋体"/>
                <w:color w:val="000000"/>
                <w:szCs w:val="21"/>
              </w:rPr>
            </w:pPr>
            <w:r>
              <w:rPr>
                <w:rFonts w:hint="eastAsia" w:ascii="宋体" w:hAnsi="宋体"/>
                <w:color w:val="000000"/>
                <w:szCs w:val="21"/>
              </w:rPr>
              <w:t xml:space="preserve">      级</w:t>
            </w: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建造师专业</w:t>
            </w: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jc w:val="center"/>
              <w:rPr>
                <w:rFonts w:hint="eastAsia" w:ascii="宋体" w:hAnsi="宋体"/>
                <w:color w:val="000000"/>
                <w:szCs w:val="21"/>
              </w:rPr>
            </w:pPr>
            <w:r>
              <w:rPr>
                <w:rFonts w:hint="eastAsia" w:ascii="宋体" w:hAnsi="宋体"/>
                <w:color w:val="000000"/>
                <w:szCs w:val="21"/>
              </w:rPr>
              <w:t>安全生产考核合格证书</w:t>
            </w:r>
          </w:p>
        </w:tc>
        <w:tc>
          <w:tcPr>
            <w:tcW w:w="5726"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毕业学校</w:t>
            </w:r>
          </w:p>
        </w:tc>
        <w:tc>
          <w:tcPr>
            <w:tcW w:w="8094" w:type="dxa"/>
            <w:gridSpan w:val="5"/>
            <w:noWrap w:val="0"/>
            <w:vAlign w:val="center"/>
          </w:tcPr>
          <w:p>
            <w:pPr>
              <w:ind w:firstLine="840" w:firstLineChars="400"/>
              <w:rPr>
                <w:rFonts w:hint="eastAsia" w:ascii="宋体" w:hAnsi="宋体"/>
                <w:color w:val="000000"/>
                <w:szCs w:val="21"/>
              </w:rPr>
            </w:pPr>
            <w:r>
              <w:rPr>
                <w:rFonts w:hint="eastAsia" w:ascii="宋体" w:hAnsi="宋体"/>
                <w:color w:val="00000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jc w:val="center"/>
              <w:rPr>
                <w:rFonts w:hint="eastAsia" w:ascii="宋体" w:hAnsi="宋体"/>
                <w:color w:val="000000"/>
                <w:szCs w:val="21"/>
              </w:rPr>
            </w:pPr>
            <w:r>
              <w:rPr>
                <w:rFonts w:hint="eastAsia" w:ascii="宋体" w:hAnsi="宋体"/>
                <w:color w:val="00000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时  间</w:t>
            </w:r>
          </w:p>
        </w:tc>
        <w:tc>
          <w:tcPr>
            <w:tcW w:w="3761" w:type="dxa"/>
            <w:gridSpan w:val="3"/>
            <w:noWrap w:val="0"/>
            <w:vAlign w:val="center"/>
          </w:tcPr>
          <w:p>
            <w:pPr>
              <w:jc w:val="center"/>
              <w:rPr>
                <w:rFonts w:hint="eastAsia" w:ascii="宋体" w:hAnsi="宋体"/>
                <w:color w:val="000000"/>
                <w:szCs w:val="21"/>
              </w:rPr>
            </w:pPr>
            <w:r>
              <w:rPr>
                <w:rFonts w:hint="eastAsia" w:ascii="宋体" w:hAnsi="宋体"/>
                <w:color w:val="000000"/>
                <w:szCs w:val="21"/>
              </w:rPr>
              <w:t>参加过的类似项目名称</w:t>
            </w: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工程概况说明</w:t>
            </w:r>
          </w:p>
        </w:tc>
        <w:tc>
          <w:tcPr>
            <w:tcW w:w="2322" w:type="dxa"/>
            <w:noWrap w:val="0"/>
            <w:vAlign w:val="center"/>
          </w:tcPr>
          <w:p>
            <w:pPr>
              <w:jc w:val="center"/>
              <w:rPr>
                <w:rFonts w:hint="eastAsia" w:ascii="宋体" w:hAnsi="宋体"/>
                <w:color w:val="000000"/>
                <w:szCs w:val="21"/>
              </w:rPr>
            </w:pPr>
            <w:r>
              <w:rPr>
                <w:rFonts w:hint="eastAsia" w:ascii="宋体" w:hAnsi="宋体"/>
                <w:color w:val="00000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bl>
    <w:p>
      <w:pPr>
        <w:spacing w:line="420" w:lineRule="exact"/>
        <w:rPr>
          <w:rFonts w:ascii="宋体" w:hAnsi="宋体"/>
          <w:color w:val="000000"/>
          <w:szCs w:val="21"/>
        </w:rPr>
      </w:pPr>
    </w:p>
    <w:p>
      <w:pPr>
        <w:spacing w:line="420" w:lineRule="exact"/>
        <w:rPr>
          <w:rFonts w:hint="eastAsia" w:ascii="黑体" w:hAnsi="宋体" w:eastAsia="黑体"/>
          <w:color w:val="000000"/>
          <w:szCs w:val="21"/>
        </w:rPr>
      </w:pPr>
      <w:r>
        <w:rPr>
          <w:rFonts w:ascii="宋体" w:hAnsi="宋体"/>
          <w:color w:val="000000"/>
          <w:szCs w:val="21"/>
        </w:rPr>
        <w:br w:type="page"/>
      </w:r>
      <w:r>
        <w:rPr>
          <w:rFonts w:hint="eastAsia" w:ascii="黑体" w:hAnsi="宋体" w:eastAsia="黑体"/>
          <w:color w:val="000000"/>
          <w:szCs w:val="21"/>
        </w:rPr>
        <w:t>附2：主要项目管理人员简历表</w:t>
      </w:r>
    </w:p>
    <w:p>
      <w:pPr>
        <w:spacing w:line="420" w:lineRule="exact"/>
        <w:rPr>
          <w:rFonts w:hint="eastAsia" w:ascii="宋体" w:hAnsi="宋体"/>
          <w:color w:val="000000"/>
          <w:szCs w:val="21"/>
        </w:rPr>
      </w:pPr>
      <w:r>
        <w:rPr>
          <w:rFonts w:hint="eastAsia" w:ascii="宋体" w:hAnsi="宋体"/>
          <w:color w:val="000000"/>
          <w:szCs w:val="21"/>
        </w:rPr>
        <w:t xml:space="preserve">应附项目管理班子下列人员的证书复印件： </w:t>
      </w:r>
    </w:p>
    <w:p>
      <w:pPr>
        <w:spacing w:line="420" w:lineRule="exact"/>
        <w:rPr>
          <w:rFonts w:hint="eastAsia" w:ascii="宋体" w:hAnsi="宋体"/>
          <w:color w:val="000000"/>
          <w:szCs w:val="21"/>
        </w:rPr>
      </w:pPr>
      <w:r>
        <w:rPr>
          <w:rFonts w:hint="eastAsia" w:ascii="宋体" w:hAnsi="宋体"/>
          <w:color w:val="000000"/>
          <w:szCs w:val="21"/>
        </w:rPr>
        <w:t>项目技术负责人职称证书、关键岗位人员（主要包括：质检（量）员、安全员、材料员、预算（造价）员、资料员）岗位证书。</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岗位名称</w:t>
            </w:r>
          </w:p>
        </w:tc>
        <w:tc>
          <w:tcPr>
            <w:tcW w:w="7378" w:type="dxa"/>
            <w:gridSpan w:val="3"/>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姓    名</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年    龄</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性    别</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毕业学校</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学历和专业</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毕业时间</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拥有的执业资格</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专业职称</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执业资格证书编号</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工作年限</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主要工作业绩及担任的主要工作</w:t>
            </w:r>
          </w:p>
        </w:tc>
        <w:tc>
          <w:tcPr>
            <w:tcW w:w="7378" w:type="dxa"/>
            <w:gridSpan w:val="3"/>
            <w:noWrap w:val="0"/>
            <w:vAlign w:val="center"/>
          </w:tcPr>
          <w:p>
            <w:pPr>
              <w:spacing w:line="640" w:lineRule="exact"/>
              <w:jc w:val="center"/>
              <w:rPr>
                <w:rFonts w:hint="eastAsia" w:ascii="宋体" w:hAnsi="宋体"/>
                <w:color w:val="000000"/>
                <w:szCs w:val="21"/>
              </w:rPr>
            </w:pPr>
          </w:p>
        </w:tc>
      </w:tr>
    </w:tbl>
    <w:p>
      <w:pPr>
        <w:ind w:firstLine="1050" w:firstLineChars="500"/>
        <w:rPr>
          <w:rFonts w:hint="eastAsia" w:ascii="宋体" w:hAnsi="宋体"/>
          <w:color w:val="000000"/>
          <w:szCs w:val="21"/>
        </w:rPr>
      </w:pPr>
    </w:p>
    <w:p>
      <w:pPr>
        <w:rPr>
          <w:rFonts w:hint="eastAsia" w:ascii="黑体" w:hAnsi="宋体" w:eastAsia="黑体"/>
          <w:color w:val="000000"/>
          <w:szCs w:val="21"/>
        </w:rPr>
      </w:pPr>
      <w:r>
        <w:rPr>
          <w:rFonts w:ascii="宋体" w:hAnsi="宋体"/>
          <w:color w:val="000000"/>
          <w:szCs w:val="21"/>
        </w:rPr>
        <w:br w:type="page"/>
      </w:r>
      <w:r>
        <w:rPr>
          <w:rFonts w:hint="eastAsia" w:ascii="黑体" w:hAnsi="宋体" w:eastAsia="黑体"/>
          <w:color w:val="000000"/>
          <w:szCs w:val="21"/>
        </w:rPr>
        <w:t>附3：承诺书</w:t>
      </w:r>
    </w:p>
    <w:p>
      <w:pPr>
        <w:spacing w:before="286" w:beforeLines="100" w:after="286" w:afterLine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承诺书</w:t>
      </w:r>
    </w:p>
    <w:p>
      <w:pPr>
        <w:spacing w:after="286" w:afterLines="100" w:line="440" w:lineRule="exact"/>
        <w:rPr>
          <w:rFonts w:hint="eastAsia" w:ascii="宋体" w:hAnsi="宋体" w:eastAsia="宋体" w:cs="宋体"/>
          <w:color w:val="000000"/>
          <w:sz w:val="24"/>
          <w:szCs w:val="24"/>
        </w:rPr>
      </w:pPr>
      <w:r>
        <w:rPr>
          <w:rFonts w:hint="eastAsia" w:ascii="宋体" w:hAnsi="宋体" w:eastAsia="宋体" w:cs="宋体"/>
          <w:color w:val="000000"/>
          <w:position w:val="-7"/>
          <w:sz w:val="24"/>
          <w:szCs w:val="24"/>
        </w:rPr>
        <w:t>————————</w:t>
      </w:r>
      <w:r>
        <w:rPr>
          <w:rFonts w:hint="eastAsia" w:ascii="宋体" w:hAnsi="宋体" w:eastAsia="宋体" w:cs="宋体"/>
          <w:color w:val="000000"/>
          <w:sz w:val="24"/>
          <w:szCs w:val="24"/>
        </w:rPr>
        <w:t>（采购人名称）：</w:t>
      </w:r>
    </w:p>
    <w:p>
      <w:pPr>
        <w:spacing w:line="6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我方在此声明，我方拟派往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（项目名称）（以下简称“本工程”）的项目经理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（项目经理姓名）现阶段没有担任任何在施建设工程项目的项目经理。</w:t>
      </w:r>
    </w:p>
    <w:p>
      <w:pPr>
        <w:spacing w:line="6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我方保证上述信息的真实和准确，并愿意承担因我方就此弄虚作假所引起的一切法律后果。</w:t>
      </w:r>
    </w:p>
    <w:p>
      <w:pPr>
        <w:spacing w:line="600" w:lineRule="auto"/>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特此承诺</w:t>
      </w: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wordWrap w:val="0"/>
        <w:spacing w:line="440" w:lineRule="exact"/>
        <w:ind w:right="420"/>
        <w:jc w:val="right"/>
        <w:rPr>
          <w:rFonts w:hint="eastAsia" w:ascii="宋体" w:hAnsi="宋体" w:eastAsia="宋体" w:cs="宋体"/>
          <w:color w:val="000000"/>
          <w:sz w:val="24"/>
          <w:szCs w:val="24"/>
        </w:r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pPr>
        <w:spacing w:line="440" w:lineRule="exact"/>
        <w:jc w:val="right"/>
        <w:rPr>
          <w:rFonts w:hint="eastAsia" w:ascii="宋体" w:hAnsi="宋体" w:eastAsia="宋体" w:cs="宋体"/>
          <w:color w:val="000000"/>
          <w:sz w:val="24"/>
          <w:szCs w:val="24"/>
        </w:rPr>
      </w:pPr>
    </w:p>
    <w:p>
      <w:pPr>
        <w:spacing w:line="440" w:lineRule="exact"/>
        <w:jc w:val="righ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（签字或盖章）</w:t>
      </w:r>
    </w:p>
    <w:p>
      <w:pPr>
        <w:spacing w:line="440" w:lineRule="exact"/>
        <w:jc w:val="right"/>
        <w:rPr>
          <w:rFonts w:hint="eastAsia" w:ascii="宋体" w:hAnsi="宋体" w:eastAsia="宋体" w:cs="宋体"/>
          <w:color w:val="000000"/>
          <w:sz w:val="24"/>
          <w:szCs w:val="24"/>
        </w:rPr>
      </w:pPr>
    </w:p>
    <w:p>
      <w:pPr>
        <w:spacing w:line="440" w:lineRule="exact"/>
        <w:jc w:val="righ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4"/>
        <w:jc w:val="center"/>
        <w:rPr>
          <w:rFonts w:hint="eastAsia" w:ascii="宋体" w:hAnsi="宋体" w:eastAsia="宋体"/>
          <w:color w:val="000000"/>
          <w:sz w:val="24"/>
          <w:szCs w:val="28"/>
        </w:rPr>
      </w:pPr>
      <w:r>
        <w:rPr>
          <w:rFonts w:hint="eastAsia" w:ascii="宋体" w:hAnsi="宋体" w:eastAsia="宋体" w:cs="宋体"/>
          <w:color w:val="000000"/>
          <w:sz w:val="24"/>
          <w:szCs w:val="24"/>
        </w:rPr>
        <w:br w:type="page"/>
      </w:r>
      <w:bookmarkStart w:id="93" w:name="_Toc300901200"/>
      <w:bookmarkStart w:id="94" w:name="_Toc374107074"/>
      <w:bookmarkStart w:id="95" w:name="_Toc323642005"/>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、资格审查资料</w:t>
      </w:r>
      <w:bookmarkEnd w:id="93"/>
      <w:bookmarkEnd w:id="94"/>
      <w:bookmarkEnd w:id="95"/>
    </w:p>
    <w:p>
      <w:pPr>
        <w:pStyle w:val="4"/>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（一）供应商基本情况表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供应商名称</w:t>
            </w:r>
          </w:p>
        </w:tc>
        <w:tc>
          <w:tcPr>
            <w:tcW w:w="7664" w:type="dxa"/>
            <w:gridSpan w:val="9"/>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注册地址</w:t>
            </w:r>
          </w:p>
        </w:tc>
        <w:tc>
          <w:tcPr>
            <w:tcW w:w="3700" w:type="dxa"/>
            <w:gridSpan w:val="5"/>
            <w:noWrap w:val="0"/>
            <w:vAlign w:val="center"/>
          </w:tcPr>
          <w:p>
            <w:pPr>
              <w:jc w:val="center"/>
              <w:rPr>
                <w:rFonts w:hint="eastAsia" w:ascii="宋体" w:hAnsi="宋体"/>
                <w:color w:val="000000"/>
                <w:szCs w:val="21"/>
              </w:rPr>
            </w:pPr>
          </w:p>
        </w:tc>
        <w:tc>
          <w:tcPr>
            <w:tcW w:w="1361" w:type="dxa"/>
            <w:noWrap w:val="0"/>
            <w:vAlign w:val="center"/>
          </w:tcPr>
          <w:p>
            <w:pPr>
              <w:jc w:val="center"/>
              <w:rPr>
                <w:rFonts w:hint="eastAsia" w:ascii="宋体" w:hAnsi="宋体"/>
                <w:color w:val="000000"/>
                <w:szCs w:val="21"/>
              </w:rPr>
            </w:pPr>
            <w:r>
              <w:rPr>
                <w:rFonts w:hint="eastAsia" w:ascii="宋体" w:hAnsi="宋体"/>
                <w:color w:val="000000"/>
                <w:szCs w:val="21"/>
              </w:rPr>
              <w:t>邮政编码</w:t>
            </w:r>
          </w:p>
        </w:tc>
        <w:tc>
          <w:tcPr>
            <w:tcW w:w="2603"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联系方式</w:t>
            </w: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联系人</w:t>
            </w:r>
          </w:p>
        </w:tc>
        <w:tc>
          <w:tcPr>
            <w:tcW w:w="2721" w:type="dxa"/>
            <w:gridSpan w:val="4"/>
            <w:noWrap w:val="0"/>
            <w:vAlign w:val="center"/>
          </w:tcPr>
          <w:p>
            <w:pPr>
              <w:jc w:val="center"/>
              <w:rPr>
                <w:rFonts w:hint="eastAsia" w:ascii="宋体" w:hAnsi="宋体"/>
                <w:color w:val="000000"/>
                <w:szCs w:val="21"/>
              </w:rPr>
            </w:pPr>
          </w:p>
        </w:tc>
        <w:tc>
          <w:tcPr>
            <w:tcW w:w="1361" w:type="dxa"/>
            <w:noWrap w:val="0"/>
            <w:vAlign w:val="center"/>
          </w:tcPr>
          <w:p>
            <w:pPr>
              <w:jc w:val="center"/>
              <w:rPr>
                <w:rFonts w:hint="eastAsia" w:ascii="宋体" w:hAnsi="宋体"/>
                <w:color w:val="000000"/>
                <w:szCs w:val="21"/>
              </w:rPr>
            </w:pPr>
            <w:r>
              <w:rPr>
                <w:rFonts w:hint="eastAsia" w:ascii="宋体" w:hAnsi="宋体"/>
                <w:color w:val="000000"/>
                <w:szCs w:val="21"/>
              </w:rPr>
              <w:t>电  话</w:t>
            </w:r>
          </w:p>
        </w:tc>
        <w:tc>
          <w:tcPr>
            <w:tcW w:w="2603"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color w:val="000000"/>
                <w:szCs w:val="21"/>
              </w:rPr>
            </w:pP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传  真</w:t>
            </w:r>
          </w:p>
        </w:tc>
        <w:tc>
          <w:tcPr>
            <w:tcW w:w="2721" w:type="dxa"/>
            <w:gridSpan w:val="4"/>
            <w:noWrap w:val="0"/>
            <w:vAlign w:val="center"/>
          </w:tcPr>
          <w:p>
            <w:pPr>
              <w:jc w:val="center"/>
              <w:rPr>
                <w:rFonts w:hint="eastAsia" w:ascii="宋体" w:hAnsi="宋体"/>
                <w:color w:val="000000"/>
                <w:szCs w:val="21"/>
              </w:rPr>
            </w:pPr>
          </w:p>
        </w:tc>
        <w:tc>
          <w:tcPr>
            <w:tcW w:w="1361" w:type="dxa"/>
            <w:noWrap w:val="0"/>
            <w:vAlign w:val="center"/>
          </w:tcPr>
          <w:p>
            <w:pPr>
              <w:jc w:val="center"/>
              <w:rPr>
                <w:rFonts w:hint="eastAsia" w:ascii="宋体" w:hAnsi="宋体"/>
                <w:color w:val="000000"/>
                <w:szCs w:val="21"/>
              </w:rPr>
            </w:pPr>
            <w:r>
              <w:rPr>
                <w:rFonts w:hint="eastAsia" w:ascii="宋体" w:hAnsi="宋体"/>
                <w:color w:val="000000"/>
                <w:szCs w:val="21"/>
              </w:rPr>
              <w:t>网  址</w:t>
            </w:r>
          </w:p>
        </w:tc>
        <w:tc>
          <w:tcPr>
            <w:tcW w:w="2603"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组织结构</w:t>
            </w:r>
          </w:p>
        </w:tc>
        <w:tc>
          <w:tcPr>
            <w:tcW w:w="7664" w:type="dxa"/>
            <w:gridSpan w:val="9"/>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法定代表人</w:t>
            </w: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姓名</w:t>
            </w:r>
          </w:p>
        </w:tc>
        <w:tc>
          <w:tcPr>
            <w:tcW w:w="1116" w:type="dxa"/>
            <w:noWrap w:val="0"/>
            <w:vAlign w:val="center"/>
          </w:tcPr>
          <w:p>
            <w:pPr>
              <w:jc w:val="center"/>
              <w:rPr>
                <w:rFonts w:hint="eastAsia" w:ascii="宋体" w:hAnsi="宋体"/>
                <w:color w:val="000000"/>
                <w:szCs w:val="21"/>
              </w:rPr>
            </w:pPr>
          </w:p>
        </w:tc>
        <w:tc>
          <w:tcPr>
            <w:tcW w:w="1393" w:type="dxa"/>
            <w:gridSpan w:val="2"/>
            <w:noWrap w:val="0"/>
            <w:vAlign w:val="center"/>
          </w:tcPr>
          <w:p>
            <w:pPr>
              <w:jc w:val="center"/>
              <w:rPr>
                <w:rFonts w:hint="eastAsia" w:ascii="宋体" w:hAnsi="宋体"/>
                <w:color w:val="000000"/>
                <w:szCs w:val="21"/>
              </w:rPr>
            </w:pPr>
            <w:r>
              <w:rPr>
                <w:rFonts w:hint="eastAsia" w:ascii="宋体" w:hAnsi="宋体"/>
                <w:color w:val="000000"/>
                <w:szCs w:val="21"/>
              </w:rPr>
              <w:t>技术职称</w:t>
            </w:r>
          </w:p>
        </w:tc>
        <w:tc>
          <w:tcPr>
            <w:tcW w:w="1857" w:type="dxa"/>
            <w:gridSpan w:val="3"/>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r>
              <w:rPr>
                <w:rFonts w:hint="eastAsia" w:ascii="宋体" w:hAnsi="宋体"/>
                <w:color w:val="000000"/>
                <w:szCs w:val="21"/>
              </w:rPr>
              <w:t>电话</w:t>
            </w:r>
          </w:p>
        </w:tc>
        <w:tc>
          <w:tcPr>
            <w:tcW w:w="154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技术负责人</w:t>
            </w: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姓名</w:t>
            </w:r>
          </w:p>
        </w:tc>
        <w:tc>
          <w:tcPr>
            <w:tcW w:w="1116" w:type="dxa"/>
            <w:noWrap w:val="0"/>
            <w:vAlign w:val="center"/>
          </w:tcPr>
          <w:p>
            <w:pPr>
              <w:jc w:val="center"/>
              <w:rPr>
                <w:rFonts w:hint="eastAsia" w:ascii="宋体" w:hAnsi="宋体"/>
                <w:color w:val="000000"/>
                <w:szCs w:val="21"/>
              </w:rPr>
            </w:pPr>
          </w:p>
        </w:tc>
        <w:tc>
          <w:tcPr>
            <w:tcW w:w="1393" w:type="dxa"/>
            <w:gridSpan w:val="2"/>
            <w:noWrap w:val="0"/>
            <w:vAlign w:val="center"/>
          </w:tcPr>
          <w:p>
            <w:pPr>
              <w:jc w:val="center"/>
              <w:rPr>
                <w:rFonts w:hint="eastAsia" w:ascii="宋体" w:hAnsi="宋体"/>
                <w:color w:val="000000"/>
                <w:szCs w:val="21"/>
              </w:rPr>
            </w:pPr>
            <w:r>
              <w:rPr>
                <w:rFonts w:hint="eastAsia" w:ascii="宋体" w:hAnsi="宋体"/>
                <w:color w:val="000000"/>
                <w:szCs w:val="21"/>
              </w:rPr>
              <w:t>技术职称</w:t>
            </w:r>
          </w:p>
        </w:tc>
        <w:tc>
          <w:tcPr>
            <w:tcW w:w="1857" w:type="dxa"/>
            <w:gridSpan w:val="3"/>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r>
              <w:rPr>
                <w:rFonts w:hint="eastAsia" w:ascii="宋体" w:hAnsi="宋体"/>
                <w:color w:val="000000"/>
                <w:szCs w:val="21"/>
              </w:rPr>
              <w:t>电话</w:t>
            </w:r>
          </w:p>
        </w:tc>
        <w:tc>
          <w:tcPr>
            <w:tcW w:w="154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成立时间</w:t>
            </w:r>
          </w:p>
        </w:tc>
        <w:tc>
          <w:tcPr>
            <w:tcW w:w="2095" w:type="dxa"/>
            <w:gridSpan w:val="2"/>
            <w:noWrap w:val="0"/>
            <w:vAlign w:val="center"/>
          </w:tcPr>
          <w:p>
            <w:pPr>
              <w:jc w:val="center"/>
              <w:rPr>
                <w:rFonts w:hint="eastAsia" w:ascii="宋体" w:hAnsi="宋体"/>
                <w:color w:val="000000"/>
                <w:szCs w:val="21"/>
              </w:rPr>
            </w:pPr>
          </w:p>
        </w:tc>
        <w:tc>
          <w:tcPr>
            <w:tcW w:w="5569" w:type="dxa"/>
            <w:gridSpan w:val="7"/>
            <w:noWrap w:val="0"/>
            <w:vAlign w:val="center"/>
          </w:tcPr>
          <w:p>
            <w:pPr>
              <w:jc w:val="center"/>
              <w:rPr>
                <w:rFonts w:hint="eastAsia" w:ascii="宋体" w:hAnsi="宋体"/>
                <w:color w:val="000000"/>
                <w:szCs w:val="21"/>
              </w:rPr>
            </w:pPr>
            <w:r>
              <w:rPr>
                <w:rFonts w:hint="eastAsia" w:ascii="宋体" w:hAnsi="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企业资质等级</w:t>
            </w:r>
          </w:p>
        </w:tc>
        <w:tc>
          <w:tcPr>
            <w:tcW w:w="2095" w:type="dxa"/>
            <w:gridSpan w:val="2"/>
            <w:noWrap w:val="0"/>
            <w:vAlign w:val="center"/>
          </w:tcPr>
          <w:p>
            <w:pPr>
              <w:jc w:val="center"/>
              <w:rPr>
                <w:rFonts w:hint="eastAsia" w:ascii="宋体" w:hAnsi="宋体"/>
                <w:color w:val="000000"/>
                <w:szCs w:val="21"/>
              </w:rPr>
            </w:pPr>
          </w:p>
        </w:tc>
        <w:tc>
          <w:tcPr>
            <w:tcW w:w="1085"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其中</w:t>
            </w: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项目经理</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营业执照号</w:t>
            </w:r>
          </w:p>
        </w:tc>
        <w:tc>
          <w:tcPr>
            <w:tcW w:w="2095" w:type="dxa"/>
            <w:gridSpan w:val="2"/>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高级职称人员</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注册资金</w:t>
            </w:r>
          </w:p>
        </w:tc>
        <w:tc>
          <w:tcPr>
            <w:tcW w:w="2095" w:type="dxa"/>
            <w:gridSpan w:val="2"/>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中级职称人员</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开户银行</w:t>
            </w:r>
          </w:p>
        </w:tc>
        <w:tc>
          <w:tcPr>
            <w:tcW w:w="2095" w:type="dxa"/>
            <w:gridSpan w:val="2"/>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初级职称人员</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账号</w:t>
            </w:r>
          </w:p>
        </w:tc>
        <w:tc>
          <w:tcPr>
            <w:tcW w:w="2095" w:type="dxa"/>
            <w:gridSpan w:val="2"/>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技  工</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经营范围</w:t>
            </w:r>
          </w:p>
        </w:tc>
        <w:tc>
          <w:tcPr>
            <w:tcW w:w="7664" w:type="dxa"/>
            <w:gridSpan w:val="9"/>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备注</w:t>
            </w:r>
          </w:p>
        </w:tc>
        <w:tc>
          <w:tcPr>
            <w:tcW w:w="7664" w:type="dxa"/>
            <w:gridSpan w:val="9"/>
            <w:noWrap w:val="0"/>
            <w:vAlign w:val="center"/>
          </w:tcPr>
          <w:p>
            <w:pPr>
              <w:jc w:val="center"/>
              <w:rPr>
                <w:rFonts w:hint="eastAsia" w:ascii="宋体" w:hAnsi="宋体"/>
                <w:color w:val="000000"/>
                <w:szCs w:val="21"/>
              </w:rPr>
            </w:pPr>
          </w:p>
        </w:tc>
      </w:tr>
    </w:tbl>
    <w:p>
      <w:pPr>
        <w:spacing w:line="440" w:lineRule="exact"/>
        <w:rPr>
          <w:rFonts w:hint="eastAsia" w:ascii="宋体" w:hAnsi="宋体"/>
          <w:color w:val="000000"/>
          <w:szCs w:val="21"/>
        </w:rPr>
      </w:pPr>
      <w:r>
        <w:rPr>
          <w:rFonts w:hint="eastAsia" w:ascii="黑体" w:hAnsi="宋体" w:eastAsia="黑体"/>
          <w:color w:val="000000"/>
          <w:szCs w:val="21"/>
        </w:rPr>
        <w:t>备注：</w:t>
      </w:r>
      <w:r>
        <w:rPr>
          <w:rFonts w:hint="eastAsia" w:ascii="宋体" w:hAnsi="宋体"/>
          <w:color w:val="000000"/>
          <w:szCs w:val="21"/>
        </w:rPr>
        <w:t>本表后应附企业法人营业执照、资质证书、安全生产许可证</w:t>
      </w:r>
      <w:r>
        <w:rPr>
          <w:rFonts w:hint="eastAsia" w:ascii="宋体" w:hAnsi="宋体"/>
          <w:color w:val="000000"/>
          <w:szCs w:val="21"/>
          <w:lang w:eastAsia="zh-CN"/>
        </w:rPr>
        <w:t>、</w:t>
      </w:r>
      <w:r>
        <w:rPr>
          <w:rFonts w:hint="eastAsia" w:ascii="宋体" w:hAnsi="宋体"/>
          <w:color w:val="000000"/>
          <w:szCs w:val="21"/>
          <w:lang w:val="en-US" w:eastAsia="zh-CN"/>
        </w:rPr>
        <w:t>项目经理建造师注册证及项目经理安全生产考核合格证</w:t>
      </w:r>
      <w:r>
        <w:rPr>
          <w:rFonts w:hint="eastAsia" w:ascii="宋体" w:hAnsi="宋体"/>
          <w:color w:val="000000"/>
          <w:szCs w:val="21"/>
        </w:rPr>
        <w:t>等证明材料的复印件。</w:t>
      </w:r>
    </w:p>
    <w:p>
      <w:pPr>
        <w:spacing w:line="288" w:lineRule="auto"/>
        <w:rPr>
          <w:rFonts w:hint="eastAsia"/>
          <w:color w:val="000000"/>
        </w:rPr>
      </w:pPr>
      <w:r>
        <w:rPr>
          <w:rFonts w:ascii="宋体" w:hAnsi="宋体"/>
          <w:color w:val="000000"/>
          <w:szCs w:val="21"/>
        </w:rPr>
        <w:br w:type="page"/>
      </w:r>
    </w:p>
    <w:p>
      <w:pPr>
        <w:pStyle w:val="4"/>
        <w:jc w:val="center"/>
        <w:rPr>
          <w:rFonts w:hint="eastAsia" w:ascii="宋体" w:hAnsi="宋体" w:eastAsia="宋体"/>
          <w:sz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sz w:val="24"/>
        </w:rPr>
        <w:t>磋商保证金</w:t>
      </w:r>
    </w:p>
    <w:p>
      <w:pPr>
        <w:spacing w:line="560" w:lineRule="exact"/>
        <w:jc w:val="center"/>
        <w:rPr>
          <w:rFonts w:ascii="宋体" w:hAnsi="宋体"/>
          <w:b/>
          <w:szCs w:val="21"/>
        </w:rPr>
      </w:pPr>
      <w:r>
        <w:rPr>
          <w:rFonts w:hint="eastAsia" w:ascii="宋体" w:hAnsi="宋体"/>
          <w:b/>
          <w:szCs w:val="21"/>
        </w:rPr>
        <w:t>磋商保证金缴纳凭证复印件</w:t>
      </w:r>
    </w:p>
    <w:p>
      <w:pPr>
        <w:spacing w:line="560" w:lineRule="exact"/>
        <w:jc w:val="center"/>
        <w:rPr>
          <w:rFonts w:ascii="宋体" w:hAnsi="宋体"/>
          <w:b/>
          <w:szCs w:val="21"/>
        </w:rPr>
      </w:pPr>
      <w:r>
        <w:rPr>
          <w:rFonts w:hint="eastAsia" w:ascii="宋体" w:hAnsi="宋体"/>
          <w:b/>
          <w:szCs w:val="21"/>
        </w:rPr>
        <w:t>基本账户开户许可证复印件</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pPr>
        <w:pStyle w:val="2"/>
        <w:rPr>
          <w:rFonts w:hint="eastAsia"/>
          <w:lang w:eastAsia="zh-CN"/>
        </w:rPr>
      </w:pPr>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、建设工程扬尘治理工作承诺书</w:t>
      </w:r>
      <w:bookmarkEnd w:id="89"/>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一、工作目标</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cs="宋体"/>
          <w:color w:val="auto"/>
          <w:sz w:val="24"/>
          <w:szCs w:val="24"/>
          <w:lang w:eastAsia="zh-CN" w:bidi="ar"/>
        </w:rPr>
        <w:t>二、</w:t>
      </w:r>
      <w:r>
        <w:rPr>
          <w:rFonts w:hint="eastAsia" w:ascii="宋体" w:hAnsi="宋体" w:eastAsia="宋体" w:cs="宋体"/>
          <w:color w:val="auto"/>
          <w:sz w:val="24"/>
          <w:szCs w:val="24"/>
          <w:lang w:bidi="ar"/>
        </w:rPr>
        <w:t>承诺事项</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1、坚决贯彻执行《济宁市建筑工地扬尘治理工作导则（试行）》，切实做好生产现场及周边环境的扬尘整治工作。</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2、建立健全公司扬尘整治专项检查组织机构，夯实扬尘治理工作责任，针对不同施工阶段，制定具体防治措施。</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4、认真开展施工现场扬尘污染综合整治活动，对施工现场，每月组织不少于两次的专项检查，对发现的问题及时监督整改。</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三、责任追究</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2、对达不到扬尘治理标准的、要求停工整改拒不整改的项目，提请上级主管部门取消该项目负责人建造师执业资格（或项目经理证）。</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本项目采取一切有效措施，确保完成承诺事项，否则，自愿接受主管部门做出的一切处罚。</w:t>
      </w:r>
    </w:p>
    <w:p>
      <w:pPr>
        <w:spacing w:line="360" w:lineRule="auto"/>
        <w:ind w:firstLine="480" w:firstLineChars="200"/>
        <w:rPr>
          <w:rFonts w:hint="eastAsia" w:ascii="宋体" w:hAnsi="宋体" w:eastAsia="宋体" w:cs="宋体"/>
          <w:color w:val="auto"/>
          <w:sz w:val="24"/>
          <w:szCs w:val="24"/>
          <w:lang w:bidi="ar"/>
        </w:rPr>
      </w:pP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供应商：</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（盖单位章）</w:t>
      </w:r>
    </w:p>
    <w:p>
      <w:pPr>
        <w:spacing w:line="360" w:lineRule="auto"/>
        <w:ind w:firstLine="480" w:firstLineChars="200"/>
        <w:rPr>
          <w:rFonts w:hint="eastAsia" w:ascii="宋体" w:hAnsi="宋体" w:eastAsia="宋体" w:cs="宋体"/>
          <w:color w:val="auto"/>
          <w:sz w:val="24"/>
          <w:szCs w:val="24"/>
          <w:lang w:eastAsia="zh-CN"/>
        </w:rPr>
        <w:sectPr>
          <w:footerReference r:id="rId10" w:type="first"/>
          <w:footerReference r:id="rId9" w:type="default"/>
          <w:pgSz w:w="11906" w:h="16838"/>
          <w:pgMar w:top="1418" w:right="1028" w:bottom="1418" w:left="1418" w:header="851" w:footer="992" w:gutter="0"/>
          <w:pgNumType w:fmt="decimal"/>
          <w:cols w:space="720" w:num="1"/>
          <w:titlePg/>
          <w:docGrid w:type="lines" w:linePitch="286" w:charSpace="0"/>
        </w:sectPr>
      </w:pPr>
      <w:r>
        <w:rPr>
          <w:rFonts w:hint="eastAsia" w:ascii="宋体" w:hAnsi="宋体" w:eastAsia="宋体" w:cs="宋体"/>
          <w:color w:val="auto"/>
          <w:sz w:val="24"/>
          <w:szCs w:val="24"/>
          <w:lang w:bidi="ar"/>
        </w:rPr>
        <w:t>法定代表人：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签字或盖章</w:t>
      </w:r>
      <w:r>
        <w:rPr>
          <w:rFonts w:hint="eastAsia" w:ascii="宋体" w:hAnsi="宋体" w:cs="宋体"/>
          <w:color w:val="auto"/>
          <w:sz w:val="24"/>
          <w:szCs w:val="24"/>
          <w:lang w:eastAsia="zh-CN" w:bidi="ar"/>
        </w:rPr>
        <w:t>）</w:t>
      </w:r>
    </w:p>
    <w:p>
      <w:pPr>
        <w:rPr>
          <w:rFonts w:hint="eastAsia"/>
          <w:lang w:eastAsia="zh-CN"/>
        </w:rPr>
      </w:pPr>
      <w:bookmarkStart w:id="96" w:name="_Toc31300"/>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、其他资料</w:t>
      </w:r>
      <w:bookmarkEnd w:id="96"/>
    </w:p>
    <w:p>
      <w:pPr>
        <w:pStyle w:val="2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供应商认为需要加以说明的其他内容和需要提供的证明文件</w:t>
      </w:r>
    </w:p>
    <w:p>
      <w:pPr>
        <w:pStyle w:val="2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1、……</w:t>
      </w:r>
    </w:p>
    <w:p>
      <w:pPr>
        <w:pStyle w:val="2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2、……</w:t>
      </w:r>
    </w:p>
    <w:p>
      <w:pPr>
        <w:pStyle w:val="24"/>
        <w:tabs>
          <w:tab w:val="left" w:pos="9638"/>
        </w:tabs>
        <w:spacing w:line="360" w:lineRule="auto"/>
        <w:ind w:right="-82" w:firstLine="472" w:firstLineChars="196"/>
        <w:rPr>
          <w:rFonts w:hint="eastAsia" w:ascii="宋体" w:hAnsi="宋体" w:eastAsia="宋体" w:cs="宋体"/>
          <w:color w:val="auto"/>
          <w:sz w:val="24"/>
          <w:szCs w:val="24"/>
        </w:rPr>
      </w:pPr>
      <w:r>
        <w:rPr>
          <w:rFonts w:hint="eastAsia" w:ascii="宋体" w:hAnsi="宋体" w:eastAsia="宋体" w:cs="宋体"/>
          <w:b/>
          <w:color w:val="auto"/>
          <w:sz w:val="24"/>
          <w:szCs w:val="24"/>
        </w:rPr>
        <w:t>3、……</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bookmarkStart w:id="97" w:name="_Toc31429"/>
      <w:bookmarkStart w:id="98" w:name="_Toc13148"/>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附件</w:t>
      </w:r>
      <w:bookmarkEnd w:id="97"/>
      <w:bookmarkEnd w:id="98"/>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磋商响应文件密封信封正面格式</w:t>
      </w:r>
    </w:p>
    <w:tbl>
      <w:tblPr>
        <w:tblStyle w:val="18"/>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供应商名称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地址</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电话</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传真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备注</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rPr>
          <w:rFonts w:hint="eastAsia" w:ascii="宋体" w:hAnsi="宋体" w:eastAsia="宋体" w:cs="宋体"/>
          <w:i w:val="0"/>
          <w:iCs w:val="0"/>
          <w:color w:val="auto"/>
          <w:kern w:val="0"/>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outlineLvl w:val="0"/>
        <w:rPr>
          <w:rFonts w:hint="eastAsia" w:ascii="宋体" w:hAnsi="宋体" w:eastAsia="宋体" w:cs="宋体"/>
          <w:bCs/>
          <w:i w:val="0"/>
          <w:iCs w:val="0"/>
          <w:color w:val="auto"/>
          <w:sz w:val="24"/>
          <w:szCs w:val="24"/>
          <w:highlight w:val="none"/>
        </w:rPr>
      </w:pPr>
      <w:bookmarkStart w:id="99" w:name="_Toc11962"/>
      <w:r>
        <w:rPr>
          <w:rFonts w:hint="eastAsia" w:ascii="宋体" w:hAnsi="宋体" w:eastAsia="宋体" w:cs="宋体"/>
          <w:i w:val="0"/>
          <w:iCs w:val="0"/>
          <w:color w:val="auto"/>
          <w:kern w:val="0"/>
          <w:sz w:val="24"/>
          <w:szCs w:val="24"/>
          <w:highlight w:val="none"/>
        </w:rPr>
        <w:t>磋商</w:t>
      </w:r>
      <w:r>
        <w:rPr>
          <w:rFonts w:hint="eastAsia" w:ascii="宋体" w:hAnsi="宋体" w:eastAsia="宋体" w:cs="宋体"/>
          <w:bCs/>
          <w:i w:val="0"/>
          <w:iCs w:val="0"/>
          <w:color w:val="auto"/>
          <w:sz w:val="24"/>
          <w:szCs w:val="24"/>
          <w:highlight w:val="none"/>
        </w:rPr>
        <w:t>响应文件密封信封封口格式</w:t>
      </w:r>
      <w:bookmarkEnd w:id="99"/>
    </w:p>
    <w:tbl>
      <w:tblPr>
        <w:tblStyle w:val="1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tcPr>
          <w:p>
            <w:pPr>
              <w:pStyle w:val="4"/>
              <w:outlineLvl w:val="9"/>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xml:space="preserve">……于 </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Cs/>
                <w:i w:val="0"/>
                <w:iCs w:val="0"/>
                <w:color w:val="auto"/>
                <w:sz w:val="24"/>
                <w:szCs w:val="24"/>
                <w:highlight w:val="none"/>
              </w:rPr>
            </w:pPr>
          </w:p>
          <w:p>
            <w:pPr>
              <w:pStyle w:val="2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4"/>
                <w:szCs w:val="24"/>
                <w:highlight w:val="none"/>
              </w:rPr>
            </w:pPr>
            <w:r>
              <w:rPr>
                <w:rFonts w:hint="eastAsia" w:ascii="宋体" w:hAnsi="宋体" w:eastAsia="宋体" w:cs="宋体"/>
                <w:bCs/>
                <w:i w:val="0"/>
                <w:iCs w:val="0"/>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Line 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y;margin-left:233.95pt;margin-top:20.75pt;height:54.6pt;width:0.05pt;z-index:251660288;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aygv2gAAAAoBAAAPAAAAAAAAAAEAIAAAACIAAABkcnMvZG93bnJldi54bWxQSwECFAAUAAAA&#10;CACHTuJAh1FpBuwBAADpAwAADgAAAAAAAAABACAAAAApAQAAZHJzL2Uyb0RvYy54bWxQSwUGAAAA&#10;AAYABgBZAQAAhwU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4"/>
                <w:szCs w:val="24"/>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sectPr>
      <w:footerReference r:id="rId13" w:type="first"/>
      <w:headerReference r:id="rId11" w:type="default"/>
      <w:footerReference r:id="rId12" w:type="default"/>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tabs>
        <w:tab w:val="left" w:pos="840"/>
      </w:tabs>
      <w:spacing w:line="360" w:lineRule="auto"/>
      <w:jc w:val="left"/>
      <w:rPr>
        <w:rFonts w:hint="eastAsia"/>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8744F"/>
    <w:multiLevelType w:val="singleLevel"/>
    <w:tmpl w:val="BE48744F"/>
    <w:lvl w:ilvl="0" w:tentative="0">
      <w:start w:val="10"/>
      <w:numFmt w:val="chineseCounting"/>
      <w:suff w:val="nothing"/>
      <w:lvlText w:val="%1、"/>
      <w:lvlJc w:val="left"/>
      <w:rPr>
        <w:rFonts w:hint="eastAsia"/>
      </w:rPr>
    </w:lvl>
  </w:abstractNum>
  <w:abstractNum w:abstractNumId="1">
    <w:nsid w:val="CD6BA7BB"/>
    <w:multiLevelType w:val="singleLevel"/>
    <w:tmpl w:val="CD6BA7BB"/>
    <w:lvl w:ilvl="0" w:tentative="0">
      <w:start w:val="2"/>
      <w:numFmt w:val="chineseCounting"/>
      <w:suff w:val="space"/>
      <w:lvlText w:val="第%1部分"/>
      <w:lvlJc w:val="left"/>
      <w:rPr>
        <w:rFonts w:hint="eastAsia"/>
      </w:rPr>
    </w:lvl>
  </w:abstractNum>
  <w:abstractNum w:abstractNumId="2">
    <w:nsid w:val="098A1777"/>
    <w:multiLevelType w:val="singleLevel"/>
    <w:tmpl w:val="098A1777"/>
    <w:lvl w:ilvl="0" w:tentative="0">
      <w:start w:val="2"/>
      <w:numFmt w:val="decimal"/>
      <w:lvlText w:val="%1."/>
      <w:lvlJc w:val="left"/>
      <w:pPr>
        <w:tabs>
          <w:tab w:val="left" w:pos="312"/>
        </w:tabs>
        <w:ind w:left="960" w:leftChars="0" w:firstLine="0" w:firstLineChars="0"/>
      </w:pPr>
    </w:lvl>
  </w:abstractNum>
  <w:abstractNum w:abstractNumId="3">
    <w:nsid w:val="4E310001"/>
    <w:multiLevelType w:val="singleLevel"/>
    <w:tmpl w:val="4E310001"/>
    <w:lvl w:ilvl="0" w:tentative="0">
      <w:start w:val="1"/>
      <w:numFmt w:val="decimal"/>
      <w:suff w:val="nothing"/>
      <w:lvlText w:val="%1、"/>
      <w:lvlJc w:val="left"/>
    </w:lvl>
  </w:abstractNum>
  <w:abstractNum w:abstractNumId="4">
    <w:nsid w:val="5812F60C"/>
    <w:multiLevelType w:val="singleLevel"/>
    <w:tmpl w:val="5812F60C"/>
    <w:lvl w:ilvl="0" w:tentative="0">
      <w:start w:val="9"/>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NzBjMTI5NWJmMWMyMjBjYmVkMzFhN2NkNWMwMDgifQ=="/>
  </w:docVars>
  <w:rsids>
    <w:rsidRoot w:val="6484700B"/>
    <w:rsid w:val="00566DFD"/>
    <w:rsid w:val="06A55D62"/>
    <w:rsid w:val="08006788"/>
    <w:rsid w:val="08B97167"/>
    <w:rsid w:val="0A5B7CF8"/>
    <w:rsid w:val="0B99080E"/>
    <w:rsid w:val="0D0B7772"/>
    <w:rsid w:val="0D1B1327"/>
    <w:rsid w:val="0DBE2CBD"/>
    <w:rsid w:val="0E677983"/>
    <w:rsid w:val="0F7B4AFA"/>
    <w:rsid w:val="0FAF6168"/>
    <w:rsid w:val="11AE1F62"/>
    <w:rsid w:val="14756E37"/>
    <w:rsid w:val="17AC1C1A"/>
    <w:rsid w:val="190848A9"/>
    <w:rsid w:val="19E3418B"/>
    <w:rsid w:val="1A437E01"/>
    <w:rsid w:val="1B0056B4"/>
    <w:rsid w:val="1C410A38"/>
    <w:rsid w:val="1D5140E5"/>
    <w:rsid w:val="21AF377F"/>
    <w:rsid w:val="230A5AB2"/>
    <w:rsid w:val="243225A9"/>
    <w:rsid w:val="24A9077A"/>
    <w:rsid w:val="253E2AAB"/>
    <w:rsid w:val="2B31381E"/>
    <w:rsid w:val="2C5D1265"/>
    <w:rsid w:val="2CA03180"/>
    <w:rsid w:val="2E2B2687"/>
    <w:rsid w:val="2E723B4B"/>
    <w:rsid w:val="2EA64F44"/>
    <w:rsid w:val="327576CE"/>
    <w:rsid w:val="33401939"/>
    <w:rsid w:val="34475534"/>
    <w:rsid w:val="37F7587E"/>
    <w:rsid w:val="38635126"/>
    <w:rsid w:val="387D6D8C"/>
    <w:rsid w:val="39A24209"/>
    <w:rsid w:val="3C484ABA"/>
    <w:rsid w:val="3D877B01"/>
    <w:rsid w:val="3F4D66EE"/>
    <w:rsid w:val="4260417D"/>
    <w:rsid w:val="460D4487"/>
    <w:rsid w:val="46536473"/>
    <w:rsid w:val="467F6A9F"/>
    <w:rsid w:val="498D0F9B"/>
    <w:rsid w:val="53EC727F"/>
    <w:rsid w:val="56C443EC"/>
    <w:rsid w:val="573F2A95"/>
    <w:rsid w:val="5A6F13EF"/>
    <w:rsid w:val="5FC02C6C"/>
    <w:rsid w:val="63D60B32"/>
    <w:rsid w:val="6484700B"/>
    <w:rsid w:val="649573B8"/>
    <w:rsid w:val="66A81719"/>
    <w:rsid w:val="672D0314"/>
    <w:rsid w:val="68322501"/>
    <w:rsid w:val="69F33F1C"/>
    <w:rsid w:val="6A2B0DF0"/>
    <w:rsid w:val="6D1E4BE0"/>
    <w:rsid w:val="6E436B05"/>
    <w:rsid w:val="6ED93742"/>
    <w:rsid w:val="728B1D27"/>
    <w:rsid w:val="77F14671"/>
    <w:rsid w:val="77F551FF"/>
    <w:rsid w:val="79FB4B95"/>
    <w:rsid w:val="7B736951"/>
    <w:rsid w:val="7E096B57"/>
    <w:rsid w:val="7E3F340D"/>
    <w:rsid w:val="7E5503BF"/>
    <w:rsid w:val="7E712EF8"/>
    <w:rsid w:val="7FBA6058"/>
    <w:rsid w:val="7FF34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qFormat/>
    <w:uiPriority w:val="1"/>
    <w:pPr>
      <w:spacing w:before="55"/>
      <w:ind w:left="392"/>
      <w:outlineLvl w:val="5"/>
    </w:pPr>
    <w:rPr>
      <w:rFonts w:ascii="宋体" w:hAnsi="宋体" w:cs="宋体"/>
      <w:sz w:val="24"/>
      <w:lang w:val="zh-CN" w:bidi="zh-CN"/>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8">
    <w:name w:val="Body Text"/>
    <w:basedOn w:val="1"/>
    <w:next w:val="9"/>
    <w:qFormat/>
    <w:uiPriority w:val="0"/>
    <w:rPr>
      <w:rFonts w:ascii="宋体"/>
      <w:sz w:val="32"/>
      <w:szCs w:val="20"/>
    </w:rPr>
  </w:style>
  <w:style w:type="paragraph" w:styleId="9">
    <w:name w:val="Body Text 2"/>
    <w:basedOn w:val="1"/>
    <w:next w:val="1"/>
    <w:qFormat/>
    <w:uiPriority w:val="0"/>
    <w:rPr>
      <w:rFonts w:ascii="宋体" w:hAnsi="宋体"/>
      <w:b/>
      <w:bCs/>
      <w:sz w:val="24"/>
    </w:rPr>
  </w:style>
  <w:style w:type="paragraph" w:styleId="10">
    <w:name w:val="List 2"/>
    <w:basedOn w:val="1"/>
    <w:qFormat/>
    <w:uiPriority w:val="0"/>
    <w:pPr>
      <w:ind w:left="100" w:leftChars="200" w:hanging="200" w:hangingChars="200"/>
    </w:pPr>
  </w:style>
  <w:style w:type="paragraph" w:styleId="11">
    <w:name w:val="Plain Text"/>
    <w:basedOn w:val="1"/>
    <w:qFormat/>
    <w:uiPriority w:val="0"/>
    <w:pPr>
      <w:adjustRightInd w:val="0"/>
      <w:jc w:val="left"/>
      <w:textAlignment w:val="baseline"/>
    </w:pPr>
    <w:rPr>
      <w:rFonts w:ascii="宋体" w:hAnsi="Courier New"/>
      <w:sz w:val="24"/>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2"/>
    <w:next w:val="1"/>
    <w:qFormat/>
    <w:uiPriority w:val="0"/>
    <w:pPr>
      <w:spacing w:after="120"/>
      <w:jc w:val="left"/>
    </w:pPr>
    <w:rPr>
      <w:rFonts w:ascii="Times New Roman" w:hAnsi="Times New Roman"/>
      <w:b/>
      <w:bCs/>
      <w:caps/>
      <w:sz w:val="20"/>
    </w:rPr>
  </w:style>
  <w:style w:type="paragraph" w:styleId="15">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0"/>
    </w:rPr>
  </w:style>
  <w:style w:type="paragraph" w:styleId="17">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20">
    <w:name w:val="page number"/>
    <w:basedOn w:val="19"/>
    <w:qFormat/>
    <w:uiPriority w:val="0"/>
  </w:style>
  <w:style w:type="paragraph" w:customStyle="1" w:styleId="21">
    <w:name w:val="TOAHeading"/>
    <w:basedOn w:val="1"/>
    <w:next w:val="1"/>
    <w:qFormat/>
    <w:uiPriority w:val="0"/>
    <w:pPr>
      <w:spacing w:before="120" w:line="240" w:lineRule="auto"/>
      <w:jc w:val="both"/>
    </w:pPr>
    <w:rPr>
      <w:rFonts w:ascii="Arial" w:hAnsi="Arial"/>
      <w:kern w:val="2"/>
      <w:sz w:val="24"/>
      <w:szCs w:val="20"/>
      <w:lang w:val="en-US" w:eastAsia="zh-CN" w:bidi="ar-SA"/>
    </w:rPr>
  </w:style>
  <w:style w:type="paragraph" w:customStyle="1" w:styleId="22">
    <w:name w:val=" Char Char Char Char"/>
    <w:basedOn w:val="1"/>
    <w:qFormat/>
    <w:uiPriority w:val="0"/>
    <w:rPr>
      <w:kern w:val="0"/>
      <w:sz w:val="24"/>
      <w:szCs w:val="20"/>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p0"/>
    <w:basedOn w:val="1"/>
    <w:qFormat/>
    <w:uiPriority w:val="0"/>
    <w:pPr>
      <w:widowControl/>
    </w:pPr>
    <w:rPr>
      <w:kern w:val="0"/>
      <w:szCs w:val="21"/>
    </w:rPr>
  </w:style>
  <w:style w:type="paragraph" w:customStyle="1" w:styleId="25">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26">
    <w:name w:val="List Paragraph"/>
    <w:basedOn w:val="1"/>
    <w:qFormat/>
    <w:uiPriority w:val="34"/>
    <w:pPr>
      <w:ind w:firstLine="420" w:firstLineChars="200"/>
    </w:pPr>
  </w:style>
  <w:style w:type="paragraph" w:customStyle="1" w:styleId="27">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40698</Words>
  <Characters>42794</Characters>
  <Lines>0</Lines>
  <Paragraphs>0</Paragraphs>
  <TotalTime>15</TotalTime>
  <ScaleCrop>false</ScaleCrop>
  <LinksUpToDate>false</LinksUpToDate>
  <CharactersWithSpaces>49588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2020-09-01T08:39:00Z</dcterms:created>
  <dc:creator>1</dc:creator>
  <cp:lastModifiedBy>KM</cp:lastModifiedBy>
  <cp:lastPrinted>2021-12-22T03:06:00Z</cp:lastPrinted>
  <dcterms:modified xsi:type="dcterms:W3CDTF">2023-10-08T01:48:22Z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ED008D9611E04E76BF82FBD178DF6E41_13</vt:lpwstr>
  </property>
</Properties>
</file>