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邹城市中心店镇乡村振兴路域(福美来内部路)环境提升工程重新磋商</w:t>
      </w:r>
    </w:p>
    <w:p>
      <w:pPr>
        <w:pStyle w:val="19"/>
        <w:jc w:val="center"/>
        <w:rPr>
          <w:rFonts w:hint="eastAsia" w:hAnsi="宋体"/>
          <w:b/>
          <w:color w:val="auto"/>
          <w:sz w:val="52"/>
          <w:szCs w:val="52"/>
          <w:lang w:eastAsia="zh-CN"/>
        </w:rPr>
      </w:pPr>
    </w:p>
    <w:p>
      <w:pPr>
        <w:pStyle w:val="19"/>
        <w:jc w:val="center"/>
        <w:outlineLvl w:val="9"/>
        <w:rPr>
          <w:rFonts w:hAnsi="宋体"/>
          <w:b/>
          <w:color w:val="auto"/>
          <w:sz w:val="72"/>
          <w:szCs w:val="72"/>
        </w:rPr>
      </w:pPr>
      <w:bookmarkStart w:id="1" w:name="_Toc19227"/>
      <w:r>
        <w:rPr>
          <w:rFonts w:hint="eastAsia" w:hAnsi="宋体"/>
          <w:b/>
          <w:color w:val="auto"/>
          <w:sz w:val="72"/>
          <w:szCs w:val="72"/>
        </w:rPr>
        <w:t>竞争性磋商文件</w:t>
      </w:r>
      <w:bookmarkEnd w:id="0"/>
      <w:bookmarkEnd w:id="1"/>
    </w:p>
    <w:p>
      <w:pPr>
        <w:pStyle w:val="19"/>
        <w:jc w:val="center"/>
        <w:rPr>
          <w:rFonts w:hint="eastAsia" w:hAnsi="宋体" w:eastAsia="宋体"/>
          <w:b/>
          <w:color w:val="auto"/>
          <w:sz w:val="18"/>
          <w:szCs w:val="18"/>
          <w:lang w:eastAsia="zh-CN"/>
        </w:rPr>
      </w:pPr>
    </w:p>
    <w:p>
      <w:pPr>
        <w:pStyle w:val="19"/>
        <w:ind w:firstLine="2872" w:firstLineChars="894"/>
        <w:outlineLvl w:val="9"/>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KXJN-2023-ZX005</w:t>
      </w:r>
    </w:p>
    <w:p>
      <w:pPr>
        <w:jc w:val="center"/>
        <w:rPr>
          <w:rFonts w:ascii="宋体" w:hAnsi="宋体"/>
          <w:b/>
          <w:color w:val="auto"/>
          <w:sz w:val="36"/>
          <w:szCs w:val="36"/>
        </w:rPr>
      </w:pPr>
    </w:p>
    <w:p>
      <w:pPr>
        <w:jc w:val="center"/>
        <w:rPr>
          <w:rFonts w:ascii="宋体" w:hAnsi="宋体"/>
          <w:b/>
          <w:color w:val="auto"/>
          <w:sz w:val="36"/>
          <w:szCs w:val="36"/>
        </w:rPr>
      </w:pPr>
    </w:p>
    <w:p>
      <w:pPr>
        <w:jc w:val="center"/>
        <w:rPr>
          <w:rFonts w:ascii="宋体" w:hAnsi="宋体"/>
          <w:b/>
          <w:bCs/>
          <w:color w:val="auto"/>
          <w:kern w:val="16"/>
          <w:sz w:val="36"/>
          <w:szCs w:val="36"/>
        </w:rPr>
      </w:pPr>
    </w:p>
    <w:p>
      <w:pPr>
        <w:pStyle w:val="2"/>
        <w:rPr>
          <w:rFonts w:ascii="宋体" w:hAnsi="宋体"/>
          <w:b/>
          <w:bCs/>
          <w:color w:val="auto"/>
          <w:kern w:val="16"/>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rPr>
          <w:rFonts w:hint="eastAsia" w:ascii="宋体" w:hAnsi="宋体"/>
          <w:b/>
          <w:color w:val="auto"/>
          <w:sz w:val="36"/>
          <w:szCs w:val="36"/>
        </w:rPr>
      </w:pPr>
    </w:p>
    <w:p>
      <w:pPr>
        <w:pStyle w:val="85"/>
        <w:spacing w:line="600" w:lineRule="auto"/>
        <w:ind w:firstLine="1446" w:firstLineChars="400"/>
        <w:jc w:val="both"/>
        <w:outlineLvl w:val="9"/>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邹城市中心店镇人民政府</w:t>
      </w:r>
    </w:p>
    <w:p>
      <w:pPr>
        <w:pStyle w:val="85"/>
        <w:spacing w:line="600" w:lineRule="auto"/>
        <w:ind w:firstLine="1446" w:firstLineChars="400"/>
        <w:jc w:val="both"/>
        <w:outlineLvl w:val="9"/>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科信建设项目管理有限公司</w:t>
      </w:r>
    </w:p>
    <w:p>
      <w:pPr>
        <w:tabs>
          <w:tab w:val="left" w:pos="1080"/>
        </w:tabs>
        <w:spacing w:line="600" w:lineRule="auto"/>
        <w:ind w:firstLine="1446" w:firstLineChars="400"/>
        <w:rPr>
          <w:rFonts w:hint="eastAsia" w:ascii="宋体" w:hAnsi="宋体" w:eastAsia="宋体"/>
          <w:b/>
          <w:color w:val="auto"/>
          <w:sz w:val="36"/>
          <w:szCs w:val="36"/>
          <w:lang w:eastAsia="zh-CN"/>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w:t>
      </w:r>
      <w:r>
        <w:rPr>
          <w:rFonts w:hint="eastAsia" w:ascii="宋体" w:hAnsi="宋体"/>
          <w:b/>
          <w:color w:val="auto"/>
          <w:sz w:val="36"/>
          <w:szCs w:val="36"/>
          <w:lang w:eastAsia="zh-CN"/>
        </w:rPr>
        <w:t>二○二三年八月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TOC \o "1-1" \h \u </w:instrText>
          </w:r>
          <w:r>
            <w:rPr>
              <w:rFonts w:ascii="宋体" w:hAnsi="宋体"/>
              <w:color w:val="auto"/>
              <w:sz w:val="28"/>
              <w:szCs w:val="28"/>
            </w:rPr>
            <w:fldChar w:fldCharType="separate"/>
          </w:r>
          <w:r>
            <w:rPr>
              <w:rFonts w:ascii="宋体" w:hAnsi="宋体"/>
              <w:color w:val="auto"/>
              <w:sz w:val="28"/>
              <w:szCs w:val="28"/>
            </w:rPr>
            <w:fldChar w:fldCharType="begin"/>
          </w:r>
          <w:r>
            <w:rPr>
              <w:rFonts w:ascii="宋体" w:hAnsi="宋体"/>
              <w:color w:val="auto"/>
              <w:sz w:val="28"/>
              <w:szCs w:val="28"/>
            </w:rPr>
            <w:instrText xml:space="preserve"> HYPERLINK \l _Toc15762 </w:instrText>
          </w:r>
          <w:r>
            <w:rPr>
              <w:rFonts w:ascii="宋体" w:hAnsi="宋体"/>
              <w:color w:val="auto"/>
              <w:sz w:val="28"/>
              <w:szCs w:val="28"/>
            </w:rPr>
            <w:fldChar w:fldCharType="separate"/>
          </w:r>
          <w:r>
            <w:rPr>
              <w:rFonts w:hint="eastAsia" w:ascii="宋体" w:hAnsi="宋体" w:eastAsia="宋体" w:cs="宋体"/>
              <w:color w:val="auto"/>
              <w:sz w:val="28"/>
              <w:szCs w:val="28"/>
            </w:rPr>
            <w:t>第一部分  竞争性磋商公告</w:t>
          </w:r>
          <w:r>
            <w:rPr>
              <w:color w:val="auto"/>
              <w:sz w:val="28"/>
              <w:szCs w:val="28"/>
            </w:rPr>
            <w:tab/>
          </w:r>
          <w:r>
            <w:rPr>
              <w:color w:val="auto"/>
              <w:sz w:val="28"/>
              <w:szCs w:val="28"/>
            </w:rPr>
            <w:fldChar w:fldCharType="begin"/>
          </w:r>
          <w:r>
            <w:rPr>
              <w:color w:val="auto"/>
              <w:sz w:val="28"/>
              <w:szCs w:val="28"/>
            </w:rPr>
            <w:instrText xml:space="preserve"> PAGEREF _Toc15762 \h </w:instrText>
          </w:r>
          <w:r>
            <w:rPr>
              <w:color w:val="auto"/>
              <w:sz w:val="28"/>
              <w:szCs w:val="28"/>
            </w:rPr>
            <w:fldChar w:fldCharType="separate"/>
          </w:r>
          <w:r>
            <w:rPr>
              <w:color w:val="auto"/>
              <w:sz w:val="28"/>
              <w:szCs w:val="28"/>
            </w:rPr>
            <w:t>2</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_Toc30393 </w:instrText>
          </w:r>
          <w:r>
            <w:rPr>
              <w:rFonts w:ascii="宋体" w:hAnsi="宋体"/>
              <w:color w:val="auto"/>
              <w:sz w:val="28"/>
              <w:szCs w:val="28"/>
            </w:rPr>
            <w:fldChar w:fldCharType="separate"/>
          </w:r>
          <w:r>
            <w:rPr>
              <w:rFonts w:hint="eastAsia" w:ascii="宋体" w:hAnsi="宋体" w:eastAsia="宋体" w:cs="宋体"/>
              <w:color w:val="auto"/>
              <w:sz w:val="28"/>
              <w:szCs w:val="28"/>
              <w:lang w:eastAsia="zh-CN"/>
            </w:rPr>
            <w:t>第二部分</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磋商响应方须知</w:t>
          </w:r>
          <w:r>
            <w:rPr>
              <w:color w:val="auto"/>
              <w:sz w:val="28"/>
              <w:szCs w:val="28"/>
            </w:rPr>
            <w:tab/>
          </w:r>
          <w:r>
            <w:rPr>
              <w:color w:val="auto"/>
              <w:sz w:val="28"/>
              <w:szCs w:val="28"/>
            </w:rPr>
            <w:fldChar w:fldCharType="begin"/>
          </w:r>
          <w:r>
            <w:rPr>
              <w:color w:val="auto"/>
              <w:sz w:val="28"/>
              <w:szCs w:val="28"/>
            </w:rPr>
            <w:instrText xml:space="preserve"> PAGEREF _Toc30393 \h </w:instrText>
          </w:r>
          <w:r>
            <w:rPr>
              <w:color w:val="auto"/>
              <w:sz w:val="28"/>
              <w:szCs w:val="28"/>
            </w:rPr>
            <w:fldChar w:fldCharType="separate"/>
          </w:r>
          <w:r>
            <w:rPr>
              <w:color w:val="auto"/>
              <w:sz w:val="28"/>
              <w:szCs w:val="28"/>
            </w:rPr>
            <w:t>5</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_Toc12301 </w:instrText>
          </w:r>
          <w:r>
            <w:rPr>
              <w:rFonts w:ascii="宋体" w:hAnsi="宋体"/>
              <w:color w:val="auto"/>
              <w:sz w:val="28"/>
              <w:szCs w:val="28"/>
            </w:rPr>
            <w:fldChar w:fldCharType="separate"/>
          </w:r>
          <w:r>
            <w:rPr>
              <w:rFonts w:hint="eastAsia" w:ascii="宋体" w:hAnsi="宋体" w:eastAsia="宋体" w:cs="宋体"/>
              <w:bCs/>
              <w:color w:val="auto"/>
              <w:kern w:val="2"/>
              <w:sz w:val="28"/>
              <w:szCs w:val="28"/>
              <w:lang w:val="en-US" w:eastAsia="zh-CN" w:bidi="ar-SA"/>
            </w:rPr>
            <w:t>第三部分  磋商组织、步骤与评审方法</w:t>
          </w:r>
          <w:r>
            <w:rPr>
              <w:color w:val="auto"/>
              <w:sz w:val="28"/>
              <w:szCs w:val="28"/>
            </w:rPr>
            <w:tab/>
          </w:r>
          <w:r>
            <w:rPr>
              <w:color w:val="auto"/>
              <w:sz w:val="28"/>
              <w:szCs w:val="28"/>
            </w:rPr>
            <w:fldChar w:fldCharType="begin"/>
          </w:r>
          <w:r>
            <w:rPr>
              <w:color w:val="auto"/>
              <w:sz w:val="28"/>
              <w:szCs w:val="28"/>
            </w:rPr>
            <w:instrText xml:space="preserve"> PAGEREF _Toc12301 \h </w:instrText>
          </w:r>
          <w:r>
            <w:rPr>
              <w:color w:val="auto"/>
              <w:sz w:val="28"/>
              <w:szCs w:val="28"/>
            </w:rPr>
            <w:fldChar w:fldCharType="separate"/>
          </w:r>
          <w:r>
            <w:rPr>
              <w:color w:val="auto"/>
              <w:sz w:val="28"/>
              <w:szCs w:val="28"/>
            </w:rPr>
            <w:t>13</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_Toc12774 </w:instrText>
          </w:r>
          <w:r>
            <w:rPr>
              <w:rFonts w:ascii="宋体" w:hAnsi="宋体"/>
              <w:color w:val="auto"/>
              <w:sz w:val="28"/>
              <w:szCs w:val="28"/>
            </w:rPr>
            <w:fldChar w:fldCharType="separate"/>
          </w:r>
          <w:r>
            <w:rPr>
              <w:rFonts w:hint="eastAsia" w:ascii="宋体" w:hAnsi="宋体" w:eastAsia="宋体" w:cs="宋体"/>
              <w:color w:val="auto"/>
              <w:sz w:val="28"/>
              <w:szCs w:val="28"/>
              <w:lang w:val="en-US" w:eastAsia="zh-CN"/>
            </w:rPr>
            <w:t>第四部分  采购内容及要求</w:t>
          </w:r>
          <w:r>
            <w:rPr>
              <w:color w:val="auto"/>
              <w:sz w:val="28"/>
              <w:szCs w:val="28"/>
            </w:rPr>
            <w:tab/>
          </w:r>
          <w:r>
            <w:rPr>
              <w:color w:val="auto"/>
              <w:sz w:val="28"/>
              <w:szCs w:val="28"/>
            </w:rPr>
            <w:fldChar w:fldCharType="begin"/>
          </w:r>
          <w:r>
            <w:rPr>
              <w:color w:val="auto"/>
              <w:sz w:val="28"/>
              <w:szCs w:val="28"/>
            </w:rPr>
            <w:instrText xml:space="preserve"> PAGEREF _Toc12774 \h </w:instrText>
          </w:r>
          <w:r>
            <w:rPr>
              <w:color w:val="auto"/>
              <w:sz w:val="28"/>
              <w:szCs w:val="28"/>
            </w:rPr>
            <w:fldChar w:fldCharType="separate"/>
          </w:r>
          <w:r>
            <w:rPr>
              <w:color w:val="auto"/>
              <w:sz w:val="28"/>
              <w:szCs w:val="28"/>
            </w:rPr>
            <w:t>16</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sz w:val="28"/>
              <w:szCs w:val="28"/>
            </w:rPr>
          </w:pPr>
          <w:r>
            <w:rPr>
              <w:rFonts w:ascii="宋体" w:hAnsi="宋体"/>
              <w:color w:val="auto"/>
              <w:sz w:val="28"/>
              <w:szCs w:val="28"/>
            </w:rPr>
            <w:fldChar w:fldCharType="begin"/>
          </w:r>
          <w:r>
            <w:rPr>
              <w:rFonts w:ascii="宋体" w:hAnsi="宋体"/>
              <w:color w:val="auto"/>
              <w:sz w:val="28"/>
              <w:szCs w:val="28"/>
            </w:rPr>
            <w:instrText xml:space="preserve"> HYPERLINK \l _Toc20047 </w:instrText>
          </w:r>
          <w:r>
            <w:rPr>
              <w:rFonts w:ascii="宋体" w:hAnsi="宋体"/>
              <w:color w:val="auto"/>
              <w:sz w:val="28"/>
              <w:szCs w:val="28"/>
            </w:rPr>
            <w:fldChar w:fldCharType="separate"/>
          </w:r>
          <w:r>
            <w:rPr>
              <w:rFonts w:hint="eastAsia" w:ascii="宋体" w:hAnsi="宋体" w:eastAsia="宋体" w:cs="宋体"/>
              <w:bCs/>
              <w:color w:val="auto"/>
              <w:kern w:val="2"/>
              <w:sz w:val="28"/>
              <w:szCs w:val="28"/>
              <w:lang w:val="en-US" w:eastAsia="zh-CN" w:bidi="ar-SA"/>
            </w:rPr>
            <w:t>第五部分  合同授予</w:t>
          </w:r>
          <w:r>
            <w:rPr>
              <w:color w:val="auto"/>
              <w:sz w:val="28"/>
              <w:szCs w:val="28"/>
            </w:rPr>
            <w:tab/>
          </w:r>
          <w:r>
            <w:rPr>
              <w:color w:val="auto"/>
              <w:sz w:val="28"/>
              <w:szCs w:val="28"/>
            </w:rPr>
            <w:fldChar w:fldCharType="begin"/>
          </w:r>
          <w:r>
            <w:rPr>
              <w:color w:val="auto"/>
              <w:sz w:val="28"/>
              <w:szCs w:val="28"/>
            </w:rPr>
            <w:instrText xml:space="preserve"> PAGEREF _Toc20047 \h </w:instrText>
          </w:r>
          <w:r>
            <w:rPr>
              <w:color w:val="auto"/>
              <w:sz w:val="28"/>
              <w:szCs w:val="28"/>
            </w:rPr>
            <w:fldChar w:fldCharType="separate"/>
          </w:r>
          <w:r>
            <w:rPr>
              <w:color w:val="auto"/>
              <w:sz w:val="28"/>
              <w:szCs w:val="28"/>
            </w:rPr>
            <w:t>17</w:t>
          </w:r>
          <w:r>
            <w:rPr>
              <w:color w:val="auto"/>
              <w:sz w:val="28"/>
              <w:szCs w:val="28"/>
            </w:rPr>
            <w:fldChar w:fldCharType="end"/>
          </w:r>
          <w:r>
            <w:rPr>
              <w:rFonts w:ascii="宋体" w:hAnsi="宋体"/>
              <w:color w:val="auto"/>
              <w:sz w:val="28"/>
              <w:szCs w:val="28"/>
            </w:rPr>
            <w:fldChar w:fldCharType="end"/>
          </w:r>
        </w:p>
        <w:p>
          <w:pPr>
            <w:pStyle w:val="28"/>
            <w:tabs>
              <w:tab w:val="right" w:leader="dot" w:pos="9746"/>
            </w:tabs>
            <w:rPr>
              <w:color w:val="auto"/>
            </w:rPr>
          </w:pPr>
          <w:r>
            <w:rPr>
              <w:rFonts w:ascii="宋体" w:hAnsi="宋体"/>
              <w:color w:val="auto"/>
              <w:sz w:val="28"/>
              <w:szCs w:val="28"/>
            </w:rPr>
            <w:fldChar w:fldCharType="begin"/>
          </w:r>
          <w:r>
            <w:rPr>
              <w:rFonts w:ascii="宋体" w:hAnsi="宋体"/>
              <w:color w:val="auto"/>
              <w:sz w:val="28"/>
              <w:szCs w:val="28"/>
            </w:rPr>
            <w:instrText xml:space="preserve"> HYPERLINK \l _Toc20712 </w:instrText>
          </w:r>
          <w:r>
            <w:rPr>
              <w:rFonts w:ascii="宋体" w:hAnsi="宋体"/>
              <w:color w:val="auto"/>
              <w:sz w:val="28"/>
              <w:szCs w:val="28"/>
            </w:rPr>
            <w:fldChar w:fldCharType="separate"/>
          </w:r>
          <w:r>
            <w:rPr>
              <w:rFonts w:hint="eastAsia" w:ascii="宋体" w:hAnsi="宋体" w:eastAsia="宋体" w:cs="宋体"/>
              <w:color w:val="auto"/>
              <w:sz w:val="28"/>
              <w:szCs w:val="28"/>
            </w:rPr>
            <w:t>第六部分  响应文件格式</w:t>
          </w:r>
          <w:r>
            <w:rPr>
              <w:color w:val="auto"/>
              <w:sz w:val="28"/>
              <w:szCs w:val="28"/>
            </w:rPr>
            <w:tab/>
          </w:r>
          <w:r>
            <w:rPr>
              <w:color w:val="auto"/>
              <w:sz w:val="28"/>
              <w:szCs w:val="28"/>
            </w:rPr>
            <w:fldChar w:fldCharType="begin"/>
          </w:r>
          <w:r>
            <w:rPr>
              <w:color w:val="auto"/>
              <w:sz w:val="28"/>
              <w:szCs w:val="28"/>
            </w:rPr>
            <w:instrText xml:space="preserve"> PAGEREF _Toc20712 \h </w:instrText>
          </w:r>
          <w:r>
            <w:rPr>
              <w:color w:val="auto"/>
              <w:sz w:val="28"/>
              <w:szCs w:val="28"/>
            </w:rPr>
            <w:fldChar w:fldCharType="separate"/>
          </w:r>
          <w:r>
            <w:rPr>
              <w:color w:val="auto"/>
              <w:sz w:val="28"/>
              <w:szCs w:val="28"/>
            </w:rPr>
            <w:t>58</w:t>
          </w:r>
          <w:r>
            <w:rPr>
              <w:color w:val="auto"/>
              <w:sz w:val="28"/>
              <w:szCs w:val="28"/>
            </w:rPr>
            <w:fldChar w:fldCharType="end"/>
          </w:r>
          <w:r>
            <w:rPr>
              <w:rFonts w:ascii="宋体" w:hAnsi="宋体"/>
              <w:color w:val="auto"/>
              <w:sz w:val="28"/>
              <w:szCs w:val="28"/>
            </w:rPr>
            <w:fldChar w:fldCharType="end"/>
          </w:r>
        </w:p>
        <w:p>
          <w:pPr>
            <w:tabs>
              <w:tab w:val="left" w:pos="1080"/>
            </w:tabs>
            <w:snapToGrid w:val="0"/>
            <w:spacing w:line="720" w:lineRule="auto"/>
            <w:ind w:firstLine="3045" w:firstLineChars="1450"/>
            <w:rPr>
              <w:rFonts w:ascii="宋体" w:hAnsi="宋体"/>
              <w:color w:val="auto"/>
              <w:sz w:val="24"/>
            </w:rPr>
          </w:pPr>
          <w:r>
            <w:rPr>
              <w:rFonts w:ascii="宋体" w:hAnsi="宋体"/>
              <w:color w:val="auto"/>
              <w:szCs w:val="28"/>
            </w:rPr>
            <w:fldChar w:fldCharType="end"/>
          </w:r>
        </w:p>
      </w:sdtContent>
    </w:sdt>
    <w:p>
      <w:pPr>
        <w:spacing w:line="360" w:lineRule="auto"/>
        <w:jc w:val="center"/>
        <w:outlineLvl w:val="9"/>
        <w:rPr>
          <w:rFonts w:ascii="宋体" w:hAnsi="宋体"/>
          <w:b/>
          <w:color w:val="auto"/>
          <w:sz w:val="32"/>
          <w:szCs w:val="32"/>
        </w:rPr>
      </w:pPr>
      <w:bookmarkStart w:id="4" w:name="_Toc15040"/>
    </w:p>
    <w:p>
      <w:pPr>
        <w:spacing w:line="360" w:lineRule="auto"/>
        <w:jc w:val="center"/>
        <w:outlineLvl w:val="9"/>
        <w:rPr>
          <w:rFonts w:ascii="宋体" w:hAnsi="宋体"/>
          <w:b/>
          <w:color w:val="auto"/>
          <w:sz w:val="32"/>
          <w:szCs w:val="32"/>
        </w:rPr>
      </w:pPr>
    </w:p>
    <w:p>
      <w:pPr>
        <w:spacing w:line="360" w:lineRule="auto"/>
        <w:jc w:val="center"/>
        <w:outlineLvl w:val="9"/>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pStyle w:val="4"/>
        <w:bidi w:val="0"/>
        <w:jc w:val="center"/>
        <w:outlineLvl w:val="0"/>
        <w:rPr>
          <w:rFonts w:hint="eastAsia" w:ascii="宋体" w:hAnsi="宋体" w:eastAsia="宋体" w:cs="宋体"/>
          <w:color w:val="auto"/>
          <w:sz w:val="24"/>
          <w:szCs w:val="24"/>
        </w:rPr>
      </w:pPr>
      <w:bookmarkStart w:id="5" w:name="_Toc15762"/>
      <w:r>
        <w:rPr>
          <w:rFonts w:hint="eastAsia" w:ascii="宋体" w:hAnsi="宋体" w:eastAsia="宋体" w:cs="宋体"/>
          <w:color w:val="auto"/>
          <w:sz w:val="24"/>
          <w:szCs w:val="24"/>
        </w:rPr>
        <w:t>第一部分  竞争性磋商公告</w:t>
      </w:r>
      <w:bookmarkEnd w:id="4"/>
      <w:bookmarkEnd w:id="5"/>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bookmarkStart w:id="6" w:name="_Hlk62638239"/>
      <w:r>
        <w:rPr>
          <w:rFonts w:hint="eastAsia" w:ascii="宋体" w:hAnsi="宋体" w:cs="Helvetica"/>
          <w:b/>
          <w:bCs/>
          <w:color w:val="auto"/>
          <w:kern w:val="0"/>
          <w:sz w:val="24"/>
          <w:lang w:val="en" w:eastAsia="zh-CN"/>
        </w:rPr>
        <w:t>邹城市中心店镇乡村振兴路域(福美来内部路)环境提升工程</w:t>
      </w:r>
      <w:r>
        <w:rPr>
          <w:rFonts w:hint="eastAsia" w:ascii="宋体" w:hAnsi="宋体" w:cs="Helvetica"/>
          <w:b/>
          <w:bCs/>
          <w:color w:val="auto"/>
          <w:kern w:val="0"/>
          <w:sz w:val="24"/>
          <w:lang w:val="en"/>
        </w:rPr>
        <w:t>竞争性磋商</w:t>
      </w:r>
      <w:bookmarkStart w:id="54" w:name="_GoBack"/>
      <w:r>
        <w:rPr>
          <w:rFonts w:hint="eastAsia" w:ascii="宋体" w:hAnsi="宋体" w:cs="Helvetica"/>
          <w:b/>
          <w:bCs/>
          <w:color w:val="auto"/>
          <w:kern w:val="0"/>
          <w:sz w:val="24"/>
          <w:lang w:val="en" w:eastAsia="zh-CN"/>
        </w:rPr>
        <w:t>重新磋商</w:t>
      </w:r>
      <w:bookmarkEnd w:id="54"/>
      <w:r>
        <w:rPr>
          <w:rFonts w:hint="eastAsia" w:ascii="宋体" w:hAnsi="宋体" w:cs="Helvetica"/>
          <w:b/>
          <w:bCs/>
          <w:color w:val="auto"/>
          <w:kern w:val="0"/>
          <w:sz w:val="24"/>
          <w:lang w:val="en"/>
        </w:rPr>
        <w:t>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邹城市中心店镇人民政府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邹城市中心店镇乡村振兴路域(福美来内部路)环境提升工程重新磋商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KXJN-2023-ZX005</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本工程为邹城市中心店镇乡村振兴路域(福美来内部路)环境提升工程重新磋商，工程内容包括：破除原有水泥路面，新建5cm厚中粒式沥青混凝土路面，</w:t>
      </w:r>
      <w:r>
        <w:rPr>
          <w:rFonts w:hint="eastAsia" w:ascii="宋体" w:hAnsi="宋体" w:cs="宋体"/>
          <w:color w:val="auto"/>
          <w:sz w:val="24"/>
          <w:szCs w:val="24"/>
          <w:lang w:val="en-US" w:eastAsia="zh-CN"/>
        </w:rPr>
        <w:t>新建</w:t>
      </w:r>
      <w:r>
        <w:rPr>
          <w:rFonts w:hint="eastAsia" w:ascii="宋体" w:hAnsi="宋体" w:cs="宋体"/>
          <w:color w:val="auto"/>
          <w:sz w:val="24"/>
          <w:szCs w:val="24"/>
          <w:lang w:eastAsia="zh-CN"/>
        </w:rPr>
        <w:t>硬化生产路口，现有机井砌垒加固，井外缘加装防护栏杆，周围道板砖铺装，D</w:t>
      </w:r>
      <w:r>
        <w:rPr>
          <w:rFonts w:hint="eastAsia" w:ascii="宋体" w:hAnsi="宋体" w:cs="宋体"/>
          <w:color w:val="auto"/>
          <w:sz w:val="24"/>
          <w:szCs w:val="24"/>
          <w:lang w:val="en-US" w:eastAsia="zh-CN"/>
        </w:rPr>
        <w:t>N</w:t>
      </w:r>
      <w:r>
        <w:rPr>
          <w:rFonts w:hint="eastAsia" w:ascii="宋体" w:hAnsi="宋体" w:cs="宋体"/>
          <w:color w:val="auto"/>
          <w:sz w:val="24"/>
          <w:szCs w:val="24"/>
          <w:lang w:eastAsia="zh-CN"/>
        </w:rPr>
        <w:t>500生产边沟涵、标线等；砌筑景观墙，长17.6米，高度3米，台面镶嵌鹅</w:t>
      </w:r>
      <w:r>
        <w:rPr>
          <w:rFonts w:hint="eastAsia" w:ascii="宋体" w:hAnsi="宋体" w:cs="宋体"/>
          <w:color w:val="auto"/>
          <w:sz w:val="24"/>
          <w:szCs w:val="24"/>
          <w:lang w:val="en-US" w:eastAsia="zh-CN"/>
        </w:rPr>
        <w:t>卵</w:t>
      </w:r>
      <w:r>
        <w:rPr>
          <w:rFonts w:hint="eastAsia" w:ascii="宋体" w:hAnsi="宋体" w:cs="宋体"/>
          <w:color w:val="auto"/>
          <w:sz w:val="24"/>
          <w:szCs w:val="24"/>
          <w:lang w:eastAsia="zh-CN"/>
        </w:rPr>
        <w:t>石，墙面刷乳胶漆喷彩绘等工程。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color w:val="auto"/>
          <w:sz w:val="24"/>
          <w:szCs w:val="24"/>
          <w:lang w:eastAsia="zh-CN"/>
        </w:rPr>
        <w:t xml:space="preserve">采购预算为 </w:t>
      </w:r>
      <w:r>
        <w:rPr>
          <w:rFonts w:hint="eastAsia" w:ascii="宋体" w:hAnsi="宋体" w:cs="宋体"/>
          <w:color w:val="auto"/>
          <w:sz w:val="24"/>
          <w:szCs w:val="24"/>
          <w:lang w:val="en-US" w:eastAsia="zh-CN"/>
        </w:rPr>
        <w:t>599290.94</w:t>
      </w:r>
      <w:r>
        <w:rPr>
          <w:rFonts w:hint="eastAsia" w:ascii="宋体" w:hAnsi="宋体" w:eastAsia="宋体" w:cs="宋体"/>
          <w:color w:val="auto"/>
          <w:sz w:val="24"/>
          <w:szCs w:val="24"/>
          <w:lang w:eastAsia="zh-CN"/>
        </w:rPr>
        <w:t>元 (详见第四章采购内容及要求)</w:t>
      </w:r>
      <w:r>
        <w:rPr>
          <w:rFonts w:hint="eastAsia" w:ascii="宋体" w:hAnsi="宋体" w:cs="宋体"/>
          <w:color w:val="auto"/>
          <w:kern w:val="0"/>
          <w:sz w:val="24"/>
          <w:shd w:val="clear" w:color="auto" w:fill="FFFFFF"/>
          <w:lang w:val="en-US" w:eastAsia="zh-CN"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w:t>
      </w:r>
      <w:r>
        <w:rPr>
          <w:rFonts w:hint="eastAsia" w:ascii="宋体" w:hAnsi="宋体" w:cs="宋体"/>
          <w:b/>
          <w:bCs/>
          <w:i w:val="0"/>
          <w:iCs w:val="0"/>
          <w:caps w:val="0"/>
          <w:color w:val="auto"/>
          <w:spacing w:val="0"/>
          <w:sz w:val="24"/>
          <w:szCs w:val="24"/>
          <w:shd w:val="clear" w:fill="FFFFFF"/>
          <w:lang w:eastAsia="zh-CN"/>
        </w:rPr>
        <w:t>评审</w:t>
      </w:r>
      <w:r>
        <w:rPr>
          <w:rFonts w:hint="eastAsia" w:ascii="宋体" w:hAnsi="宋体" w:eastAsia="宋体" w:cs="宋体"/>
          <w:b/>
          <w:bCs/>
          <w:i w:val="0"/>
          <w:iCs w:val="0"/>
          <w:caps w:val="0"/>
          <w:color w:val="auto"/>
          <w:spacing w:val="0"/>
          <w:sz w:val="24"/>
          <w:szCs w:val="24"/>
          <w:shd w:val="clear" w:fill="FFFFFF"/>
        </w:rPr>
        <w:t>是对响应文件的评审，其相关原件仅作为对响应文件进行核实使用。若供应商未将</w:t>
      </w:r>
      <w:r>
        <w:rPr>
          <w:rFonts w:hint="eastAsia" w:ascii="宋体" w:hAnsi="宋体" w:cs="宋体"/>
          <w:b/>
          <w:bCs/>
          <w:i w:val="0"/>
          <w:iCs w:val="0"/>
          <w:caps w:val="0"/>
          <w:color w:val="auto"/>
          <w:spacing w:val="0"/>
          <w:sz w:val="24"/>
          <w:szCs w:val="24"/>
          <w:shd w:val="clear" w:fill="FFFFFF"/>
          <w:lang w:eastAsia="zh-CN"/>
        </w:rPr>
        <w:t>相关材料的</w:t>
      </w:r>
      <w:r>
        <w:rPr>
          <w:rFonts w:hint="eastAsia" w:ascii="宋体" w:hAnsi="宋体" w:eastAsia="宋体" w:cs="宋体"/>
          <w:b/>
          <w:bCs/>
          <w:i w:val="0"/>
          <w:iCs w:val="0"/>
          <w:caps w:val="0"/>
          <w:color w:val="auto"/>
          <w:spacing w:val="0"/>
          <w:sz w:val="24"/>
          <w:szCs w:val="24"/>
          <w:shd w:val="clear" w:fill="FFFFFF"/>
        </w:rPr>
        <w:t>复印件编制在响应文件中，则涉及资格等无效磋商响应文件情形的，将</w:t>
      </w:r>
      <w:r>
        <w:rPr>
          <w:rFonts w:hint="eastAsia" w:ascii="宋体" w:hAnsi="宋体" w:cs="宋体"/>
          <w:b/>
          <w:bCs/>
          <w:i w:val="0"/>
          <w:iCs w:val="0"/>
          <w:caps w:val="0"/>
          <w:color w:val="auto"/>
          <w:spacing w:val="0"/>
          <w:sz w:val="24"/>
          <w:szCs w:val="24"/>
          <w:shd w:val="clear" w:fill="FFFFFF"/>
          <w:lang w:eastAsia="zh-CN"/>
        </w:rPr>
        <w:t>按照无效响应处理</w:t>
      </w:r>
      <w:r>
        <w:rPr>
          <w:rFonts w:hint="eastAsia" w:ascii="宋体" w:hAnsi="宋体" w:eastAsia="宋体" w:cs="宋体"/>
          <w:b/>
          <w:bCs/>
          <w:i w:val="0"/>
          <w:iCs w:val="0"/>
          <w:caps w:val="0"/>
          <w:color w:val="auto"/>
          <w:spacing w:val="0"/>
          <w:sz w:val="24"/>
          <w:szCs w:val="24"/>
          <w:shd w:val="clear" w:fill="FFFFFF"/>
        </w:rPr>
        <w:t>，且不因具有原件材料而改变。供应商在磋商时未按上述要求提供证明材料的，按无效响应文件处理或按评审办法规定不予认可。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1、时间：2023年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lang w:eastAsia="zh-CN"/>
        </w:rPr>
        <w:t>日至2023年</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邹城市中心店镇人民政府</w:t>
      </w:r>
      <w:r>
        <w:rPr>
          <w:rFonts w:hint="eastAsia" w:ascii="宋体" w:hAnsi="宋体" w:eastAsia="宋体" w:cs="宋体"/>
          <w:color w:val="auto"/>
          <w:sz w:val="24"/>
          <w:szCs w:val="24"/>
          <w:lang w:eastAsia="zh-CN"/>
        </w:rPr>
        <w:t>会于2023年</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邹城市中心店镇公共资源交易中心开标室</w:t>
      </w:r>
      <w:r>
        <w:rPr>
          <w:rFonts w:hint="eastAsia" w:ascii="宋体" w:hAnsi="宋体" w:eastAsia="宋体" w:cs="宋体"/>
          <w:color w:val="auto"/>
          <w:sz w:val="24"/>
          <w:szCs w:val="24"/>
          <w:lang w:eastAsia="zh-CN"/>
        </w:rPr>
        <w:t>受理供应商磋商响应文件的递交；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时间：2023年</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邹城市中心店镇公共资源交易中心开标室</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邹城市中心店镇人民政府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邹城市中心店镇</w:t>
      </w:r>
      <w:r>
        <w:rPr>
          <w:rFonts w:hint="eastAsia" w:ascii="宋体" w:hAnsi="宋体" w:cs="宋体"/>
          <w:color w:val="auto"/>
          <w:sz w:val="24"/>
          <w:szCs w:val="24"/>
          <w:lang w:val="en-US" w:eastAsia="zh-CN"/>
        </w:rPr>
        <w:t>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徐相征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15905370023</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科信建设项目管理有限公司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地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eastAsia="zh-CN"/>
        </w:rPr>
        <w:t xml:space="preserve"> 址：</w:t>
      </w:r>
      <w:r>
        <w:rPr>
          <w:rFonts w:hint="eastAsia" w:ascii="宋体" w:hAnsi="宋体" w:cs="宋体"/>
          <w:color w:val="auto"/>
          <w:sz w:val="24"/>
          <w:szCs w:val="24"/>
          <w:lang w:eastAsia="zh-CN"/>
        </w:rPr>
        <w:t>邹城市恒兴财富大厦9楼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黄亚男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18654778163</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kexinjining@163.com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2、竞争性磋商文件等相关资料一经在邹城市外宣网 (http://w.mencius.gov.cn/）发布，视作已发放给所有潜在供应商 (发布时间即为发出磋商文件的时间)，各供应商应随时关注邹城市外宣网下载电子版磋商文件，否则所造成的一切后果由供应商自负。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邹城市中心店镇人民政府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科信建设项目管理有限公司</w:t>
      </w:r>
      <w:r>
        <w:rPr>
          <w:rFonts w:hint="eastAsia" w:ascii="宋体" w:hAnsi="宋体" w:eastAsia="宋体" w:cs="宋体"/>
          <w:color w:val="auto"/>
          <w:sz w:val="24"/>
          <w:szCs w:val="24"/>
          <w:lang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发布时间：2023年</w:t>
      </w:r>
      <w:r>
        <w:rPr>
          <w:rFonts w:hint="eastAsia" w:ascii="宋体" w:hAnsi="宋体" w:cs="宋体"/>
          <w:color w:val="auto"/>
          <w:sz w:val="24"/>
          <w:szCs w:val="24"/>
          <w:lang w:val="en-US" w:eastAsia="zh-CN"/>
        </w:rPr>
        <w:t>08月28日</w:t>
      </w: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8" w:name="_Toc47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22"/>
        <w:rPr>
          <w:rFonts w:hint="eastAsia" w:ascii="宋体" w:hAnsi="宋体"/>
          <w:b/>
          <w:color w:val="auto"/>
          <w:sz w:val="28"/>
          <w:szCs w:val="32"/>
        </w:rPr>
      </w:pPr>
    </w:p>
    <w:p>
      <w:pPr>
        <w:pStyle w:val="4"/>
        <w:bidi w:val="0"/>
        <w:jc w:val="center"/>
        <w:outlineLvl w:val="0"/>
        <w:rPr>
          <w:rFonts w:hint="eastAsia" w:ascii="宋体" w:hAnsi="宋体" w:eastAsia="宋体" w:cs="宋体"/>
          <w:color w:val="auto"/>
          <w:sz w:val="24"/>
          <w:szCs w:val="24"/>
        </w:rPr>
      </w:pPr>
      <w:bookmarkStart w:id="9" w:name="_Toc30393"/>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磋商响应方须知</w:t>
      </w:r>
      <w:bookmarkEnd w:id="8"/>
      <w:bookmarkEnd w:id="9"/>
    </w:p>
    <w:p>
      <w:pPr>
        <w:pStyle w:val="2"/>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邹城市中心店镇乡村振兴路域(福美来内部路)环境提升工程重新磋商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KXJN-2023-ZX005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邹城市中心店镇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cs="宋体"/>
                <w:b/>
                <w:color w:val="auto"/>
                <w:sz w:val="24"/>
                <w:szCs w:val="24"/>
                <w:lang w:eastAsia="zh-CN"/>
              </w:rPr>
              <w:t>本项目无预付款，工程竣工验收合格后付至合同总价款的60%，结算审计完成后，付至审定价款的97%，剩余3%作为质量保证金，缺陷责任期满后无质量问题无息付清。工程最终结算造价以审计部门审计结果为准。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邹城市中心店镇公共资源交易中心开标室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lang w:eastAsia="zh-CN"/>
              </w:rPr>
              <w:t>2023年</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lang w:eastAsia="zh-CN"/>
              </w:rPr>
              <w:t>2023年</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日上午</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邹城市中心店镇公共资源交易中心开标室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7600.00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599290.94</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kexinjining@163.com</w:t>
            </w:r>
            <w:r>
              <w:rPr>
                <w:rFonts w:hint="eastAsia" w:ascii="宋体" w:hAnsi="宋体" w:eastAsia="宋体" w:cs="宋体"/>
                <w:color w:val="auto"/>
                <w:sz w:val="24"/>
                <w:szCs w:val="24"/>
                <w:highlight w:val="none"/>
              </w:rPr>
              <w:t>。</w:t>
            </w:r>
          </w:p>
        </w:tc>
      </w:tr>
    </w:tbl>
    <w:p>
      <w:pPr>
        <w:numPr>
          <w:ilvl w:val="0"/>
          <w:numId w:val="0"/>
        </w:numPr>
        <w:jc w:val="both"/>
        <w:rPr>
          <w:rFonts w:hint="eastAsia" w:ascii="宋体" w:hAnsi="宋体" w:eastAsia="宋体" w:cs="宋体"/>
          <w:b w:val="0"/>
          <w:bCs/>
          <w:color w:val="auto"/>
          <w:kern w:val="0"/>
          <w:sz w:val="24"/>
          <w:szCs w:val="24"/>
          <w:highlight w:val="none"/>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邹城市中心店镇乡村振兴路域(福美来内部路)环境提升工程重新磋商</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邹城市中心店镇人民政府</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科信建设项目管理有限公司</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市政公用工程施工总承包叁级及以上资质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具备本单位注册的市政工程专业贰级及以上注册建造师执业资格</w:t>
      </w:r>
      <w:r>
        <w:rPr>
          <w:rFonts w:hint="eastAsia" w:ascii="宋体" w:hAnsi="宋体" w:eastAsia="宋体" w:cs="宋体"/>
          <w:b/>
          <w:bCs/>
          <w:i w:val="0"/>
          <w:iCs w:val="0"/>
          <w:caps w:val="0"/>
          <w:color w:val="auto"/>
          <w:spacing w:val="0"/>
          <w:sz w:val="24"/>
          <w:szCs w:val="24"/>
          <w:shd w:val="clear" w:fill="FFFFFF"/>
        </w:rPr>
        <w:t>，具备</w:t>
      </w:r>
      <w:r>
        <w:rPr>
          <w:rFonts w:hint="eastAsia" w:ascii="宋体" w:hAnsi="宋体" w:eastAsia="宋体" w:cs="宋体"/>
          <w:b/>
          <w:bCs/>
          <w:i w:val="0"/>
          <w:iCs w:val="0"/>
          <w:caps w:val="0"/>
          <w:color w:val="auto"/>
          <w:spacing w:val="0"/>
          <w:sz w:val="24"/>
          <w:szCs w:val="24"/>
          <w:u w:val="single"/>
          <w:shd w:val="clear" w:fill="FFFFFF"/>
        </w:rPr>
        <w:t>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eastAsia="宋体" w:cs="宋体"/>
          <w:i w:val="0"/>
          <w:iCs w:val="0"/>
          <w:caps w:val="0"/>
          <w:color w:val="auto"/>
          <w:spacing w:val="0"/>
          <w:sz w:val="24"/>
          <w:szCs w:val="24"/>
          <w:shd w:val="clear" w:color="auto" w:fill="FFFFFF"/>
        </w:rPr>
        <w:t>。</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0"/>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4、供应商在递交响应文件时需同时提供</w:t>
      </w:r>
      <w:r>
        <w:rPr>
          <w:rFonts w:hint="eastAsia" w:ascii="宋体" w:hAnsi="宋体" w:eastAsia="宋体" w:cs="宋体"/>
          <w:b/>
          <w:bCs/>
          <w:i w:val="0"/>
          <w:iCs w:val="0"/>
          <w:caps w:val="0"/>
          <w:color w:val="auto"/>
          <w:spacing w:val="0"/>
          <w:sz w:val="24"/>
          <w:szCs w:val="24"/>
          <w:shd w:val="clear" w:fill="FFFFFF"/>
        </w:rPr>
        <w:t>本单位营业执照(副本原件)、资质证书（原件或加盖单位公章复印件）、安全生产许可证（副本原件）、项目经理的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注：上述证件中如有电子证书的均可提供原件或加盖单位公章的电子证书打印件（打印件上注明查询网址）。</w:t>
      </w:r>
    </w:p>
    <w:p>
      <w:pPr>
        <w:pStyle w:val="3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82"/>
        <w:jc w:val="left"/>
        <w:textAlignment w:val="baseline"/>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上述材料、证件的复印件，须编制在响应文件中，是响应文件的有效组成内容。评标是对响应文件的评审，其相关原件仅作为对响应文件进行核实使用。若供应商未将复印件编制在响应文件中，则涉及资格等无效磋商响应文件情形的，将否决其磋商资格，且不因具有原件材料而改变。供应商在磋商时未按上述要求提供证明材料的，按无效响应文件处理或按评审办法规定不予认可。</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kexinjining@163.com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8"/>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1、磋商响应函</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2、法定代表人身份证明或授权委托人身份证明及法定代表人授权委托书</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3、初次报价表</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4、初次报价的已标价工程量清单</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eastAsia="宋体" w:cs="黑体"/>
          <w:color w:val="auto"/>
          <w:kern w:val="0"/>
          <w:sz w:val="24"/>
          <w:lang w:val="en-US" w:eastAsia="zh-CN"/>
        </w:rPr>
        <w:t>6</w:t>
      </w:r>
      <w:r>
        <w:rPr>
          <w:rFonts w:hint="eastAsia" w:ascii="宋体" w:hAnsi="宋体" w:eastAsia="宋体" w:cs="黑体"/>
          <w:color w:val="auto"/>
          <w:kern w:val="0"/>
          <w:sz w:val="24"/>
        </w:rPr>
        <w:t>、</w:t>
      </w:r>
      <w:r>
        <w:rPr>
          <w:rFonts w:hint="eastAsia" w:ascii="宋体" w:hAnsi="宋体" w:eastAsia="宋体" w:cs="黑体"/>
          <w:color w:val="auto"/>
          <w:kern w:val="0"/>
          <w:sz w:val="24"/>
          <w:lang w:eastAsia="zh-CN"/>
        </w:rPr>
        <w:t>项目管理机构</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lang w:val="en-US" w:eastAsia="zh-CN"/>
        </w:rPr>
        <w:t>7、</w:t>
      </w:r>
      <w:r>
        <w:rPr>
          <w:rFonts w:hint="eastAsia" w:ascii="宋体" w:hAnsi="宋体" w:eastAsia="宋体" w:cs="黑体"/>
          <w:color w:val="auto"/>
          <w:kern w:val="0"/>
          <w:sz w:val="24"/>
        </w:rPr>
        <w:t>资格审查资料</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lang w:val="en-US" w:eastAsia="zh-CN"/>
        </w:rPr>
        <w:t>8</w:t>
      </w:r>
      <w:r>
        <w:rPr>
          <w:rFonts w:hint="eastAsia" w:ascii="宋体" w:hAnsi="宋体" w:eastAsia="宋体" w:cs="黑体"/>
          <w:color w:val="auto"/>
          <w:kern w:val="0"/>
          <w:sz w:val="24"/>
        </w:rPr>
        <w:t>、建设工程扬尘治理工作承诺书</w:t>
      </w:r>
    </w:p>
    <w:p>
      <w:pPr>
        <w:widowControl/>
        <w:shd w:val="clear" w:color="auto" w:fill="FFFFFF"/>
        <w:spacing w:line="360" w:lineRule="auto"/>
        <w:ind w:firstLine="600" w:firstLineChars="250"/>
        <w:jc w:val="left"/>
        <w:rPr>
          <w:rFonts w:hint="eastAsia" w:ascii="宋体" w:hAnsi="宋体" w:eastAsia="宋体" w:cs="黑体"/>
          <w:color w:val="auto"/>
          <w:kern w:val="0"/>
          <w:sz w:val="24"/>
        </w:rPr>
      </w:pPr>
      <w:r>
        <w:rPr>
          <w:rFonts w:hint="eastAsia" w:ascii="宋体" w:hAnsi="宋体" w:eastAsia="宋体" w:cs="黑体"/>
          <w:color w:val="auto"/>
          <w:kern w:val="0"/>
          <w:sz w:val="24"/>
          <w:lang w:val="en-US" w:eastAsia="zh-CN"/>
        </w:rPr>
        <w:t>9</w:t>
      </w:r>
      <w:r>
        <w:rPr>
          <w:rFonts w:hint="eastAsia" w:ascii="宋体" w:hAnsi="宋体" w:eastAsia="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1.磋商响应文件上传时间: 2023年</w:t>
      </w:r>
      <w:r>
        <w:rPr>
          <w:rFonts w:hint="eastAsia" w:ascii="宋体" w:hAnsi="宋体" w:cs="宋体"/>
          <w:b/>
          <w:color w:val="auto"/>
          <w:kern w:val="0"/>
          <w:sz w:val="24"/>
          <w:lang w:val="en-US" w:eastAsia="zh-CN"/>
        </w:rPr>
        <w:t>09</w:t>
      </w:r>
      <w:r>
        <w:rPr>
          <w:rFonts w:hint="eastAsia" w:ascii="宋体" w:hAnsi="宋体" w:cs="宋体"/>
          <w:b/>
          <w:color w:val="auto"/>
          <w:kern w:val="0"/>
          <w:sz w:val="24"/>
        </w:rPr>
        <w:t>月</w:t>
      </w:r>
      <w:r>
        <w:rPr>
          <w:rFonts w:hint="eastAsia" w:ascii="宋体" w:hAnsi="宋体" w:cs="宋体"/>
          <w:b/>
          <w:color w:val="auto"/>
          <w:kern w:val="0"/>
          <w:sz w:val="24"/>
          <w:lang w:val="en-US" w:eastAsia="zh-CN"/>
        </w:rPr>
        <w:t>11</w:t>
      </w:r>
      <w:r>
        <w:rPr>
          <w:rFonts w:hint="eastAsia" w:ascii="宋体" w:hAnsi="宋体" w:cs="宋体"/>
          <w:b/>
          <w:color w:val="auto"/>
          <w:kern w:val="0"/>
          <w:sz w:val="24"/>
        </w:rPr>
        <w:t>日上午09时30分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邹城市中心店镇公共资源交易中心开标室</w:t>
      </w:r>
      <w:r>
        <w:rPr>
          <w:rFonts w:hint="eastAsia" w:ascii="宋体" w:hAnsi="宋体" w:cs="宋体"/>
          <w:b/>
          <w:color w:val="auto"/>
          <w:kern w:val="0"/>
          <w:sz w:val="24"/>
        </w:rPr>
        <w:t>。</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hint="eastAsia" w:ascii="宋体" w:hAnsi="宋体" w:cs="黑体"/>
          <w:b/>
          <w:bCs/>
          <w:color w:val="auto"/>
          <w:kern w:val="0"/>
          <w:sz w:val="24"/>
          <w:u w:val="single"/>
        </w:rPr>
        <w:t xml:space="preserve"> </w:t>
      </w:r>
      <w:r>
        <w:rPr>
          <w:rFonts w:hint="eastAsia" w:ascii="宋体" w:hAnsi="宋体" w:cs="黑体"/>
          <w:b/>
          <w:bCs/>
          <w:color w:val="auto"/>
          <w:kern w:val="0"/>
          <w:sz w:val="24"/>
          <w:u w:val="single"/>
          <w:lang w:val="en-US" w:eastAsia="zh-CN"/>
        </w:rPr>
        <w:t xml:space="preserve">599290.94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伍拾玖万玖仟贰佰玖拾元玖角肆分</w:t>
      </w:r>
      <w:r>
        <w:rPr>
          <w:rFonts w:hint="eastAsia" w:ascii="宋体" w:hAnsi="宋体" w:cs="宋体"/>
          <w:b/>
          <w:color w:val="auto"/>
          <w:sz w:val="24"/>
          <w:szCs w:val="24"/>
          <w:highlight w:val="none"/>
          <w:u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rPr>
        <w:t>2、</w:t>
      </w:r>
      <w:r>
        <w:rPr>
          <w:rFonts w:hint="eastAsia" w:ascii="宋体" w:hAnsi="宋体"/>
          <w:color w:val="auto"/>
          <w:sz w:val="24"/>
          <w:highlight w:val="none"/>
        </w:rPr>
        <w:t>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7600.00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柒仟陆佰元整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本项目无预付款，工程竣工验收合格后付至合同总价款的60%，结算审计完成后，付至审定价款的97%，剩余3%作为质量保证金，缺陷责任期满后无质量问题无息付清。工程最终结算造价以审计部门审计结果为准。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hint="eastAsia" w:ascii="宋体" w:hAnsi="宋体" w:eastAsia="宋体" w:cs="宋体"/>
          <w:b/>
          <w:bCs/>
          <w:color w:val="auto"/>
          <w:kern w:val="2"/>
          <w:sz w:val="24"/>
          <w:szCs w:val="24"/>
          <w:lang w:val="en-US" w:eastAsia="zh-CN" w:bidi="ar-SA"/>
        </w:rPr>
      </w:pPr>
      <w:r>
        <w:rPr>
          <w:rFonts w:ascii="宋体" w:hAnsi="宋体"/>
          <w:b/>
          <w:color w:val="auto"/>
          <w:sz w:val="32"/>
          <w:szCs w:val="32"/>
        </w:rPr>
        <w:br w:type="page"/>
      </w:r>
      <w:bookmarkStart w:id="10" w:name="_Toc12301"/>
      <w:bookmarkStart w:id="11" w:name="_Toc11977"/>
      <w:bookmarkStart w:id="12" w:name="_Toc5023"/>
      <w:r>
        <w:rPr>
          <w:rFonts w:hint="eastAsia" w:ascii="宋体" w:hAnsi="宋体" w:eastAsia="宋体" w:cs="宋体"/>
          <w:b/>
          <w:bCs/>
          <w:color w:val="auto"/>
          <w:kern w:val="2"/>
          <w:sz w:val="24"/>
          <w:szCs w:val="24"/>
          <w:lang w:val="en-US" w:eastAsia="zh-CN" w:bidi="ar-SA"/>
        </w:rPr>
        <w:t>第三部分  磋商组织、步骤与评审方法</w:t>
      </w:r>
      <w:bookmarkEnd w:id="10"/>
      <w:bookmarkEnd w:id="11"/>
      <w:bookmarkEnd w:id="12"/>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30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cs="宋体"/>
                <w:color w:val="auto"/>
                <w:sz w:val="24"/>
                <w:szCs w:val="24"/>
                <w:lang w:val="en-US" w:eastAsia="zh-CN"/>
              </w:rPr>
              <w:t>30</w:t>
            </w:r>
            <w:r>
              <w:rPr>
                <w:rFonts w:hint="eastAsia" w:ascii="宋体" w:hAnsi="宋体" w:cs="宋体"/>
                <w:color w:val="auto"/>
                <w:sz w:val="24"/>
                <w:szCs w:val="24"/>
              </w:rPr>
              <w:t>分。其他供应商的报价得分统一按照下列公式计算：磋商报价得分=（磋商基准价/最终磋商报价）×</w:t>
            </w:r>
            <w:r>
              <w:rPr>
                <w:rFonts w:hint="eastAsia" w:ascii="宋体" w:hAnsi="宋体" w:cs="宋体"/>
                <w:color w:val="auto"/>
                <w:sz w:val="24"/>
                <w:szCs w:val="24"/>
                <w:lang w:val="en-US" w:eastAsia="zh-CN"/>
              </w:rPr>
              <w:t>30</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cs="宋体"/>
                <w:b/>
                <w:color w:val="auto"/>
                <w:sz w:val="24"/>
                <w:szCs w:val="24"/>
              </w:rPr>
            </w:pPr>
            <w:r>
              <w:rPr>
                <w:rFonts w:hint="eastAsia" w:ascii="宋体" w:hAnsi="宋体" w:cs="宋体"/>
                <w:b/>
                <w:color w:val="auto"/>
                <w:sz w:val="24"/>
                <w:szCs w:val="24"/>
              </w:rPr>
              <w:t>技术部分</w:t>
            </w:r>
          </w:p>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60</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根据对工程整体有深刻认识，施工组织设计内容针对项目特点完整规范、具体可行</w:t>
            </w:r>
            <w:r>
              <w:rPr>
                <w:rFonts w:hint="eastAsia" w:ascii="宋体" w:hAnsi="宋体" w:cs="宋体"/>
                <w:color w:val="auto"/>
                <w:sz w:val="24"/>
                <w:szCs w:val="24"/>
                <w:lang w:val="en-US" w:eastAsia="zh-CN"/>
              </w:rPr>
              <w:t>6</w:t>
            </w:r>
            <w:r>
              <w:rPr>
                <w:rFonts w:hint="eastAsia" w:ascii="宋体" w:hAnsi="宋体" w:cs="宋体"/>
                <w:color w:val="auto"/>
                <w:sz w:val="24"/>
                <w:szCs w:val="24"/>
              </w:rPr>
              <w:t>分，比较规范、具体得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施工进度计划和保证措施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根据内容齐全、针对项目实际情况安排恰当得</w:t>
            </w:r>
            <w:r>
              <w:rPr>
                <w:rFonts w:hint="eastAsia" w:ascii="宋体" w:hAnsi="宋体" w:cs="宋体"/>
                <w:color w:val="auto"/>
                <w:sz w:val="24"/>
                <w:szCs w:val="24"/>
                <w:lang w:val="en-US" w:eastAsia="zh-CN"/>
              </w:rPr>
              <w:t>6</w:t>
            </w:r>
            <w:r>
              <w:rPr>
                <w:rFonts w:hint="eastAsia" w:ascii="宋体" w:hAnsi="宋体" w:cs="宋体"/>
                <w:color w:val="auto"/>
                <w:sz w:val="24"/>
                <w:szCs w:val="24"/>
              </w:rPr>
              <w:t>分，比较恰当得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分，较为具体可靠得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分，较为可靠、齐全得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劳动力、机械设备和材料投入计划</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w:t>
            </w:r>
            <w:r>
              <w:rPr>
                <w:rFonts w:hint="eastAsia" w:ascii="宋体" w:hAnsi="宋体" w:cs="宋体"/>
                <w:color w:val="auto"/>
                <w:sz w:val="24"/>
                <w:szCs w:val="24"/>
                <w:lang w:val="en-US" w:eastAsia="zh-CN"/>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施工关键部位、材料采购要点的控制及措施（根据工程特点及本磋商文件要求应具有针对性）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扬尘治理措施</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分，较为完整、经济、可行、得力得</w:t>
            </w:r>
            <w:r>
              <w:rPr>
                <w:rFonts w:hint="eastAsia" w:ascii="宋体" w:hAnsi="宋体" w:cs="宋体"/>
                <w:color w:val="auto"/>
                <w:sz w:val="24"/>
                <w:szCs w:val="24"/>
                <w:lang w:val="en-US" w:eastAsia="zh-CN"/>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三</w:t>
            </w:r>
          </w:p>
        </w:tc>
        <w:tc>
          <w:tcPr>
            <w:tcW w:w="2550" w:type="dxa"/>
            <w:gridSpan w:val="2"/>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rPr>
              <w:t>商务部分</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10</w:t>
            </w:r>
            <w:r>
              <w:rPr>
                <w:rFonts w:hint="eastAsia" w:ascii="宋体" w:hAnsi="宋体" w:cs="宋体"/>
                <w:b/>
                <w:bCs/>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szCs w:val="24"/>
                <w:lang w:val="en-US" w:eastAsia="zh-CN"/>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供应商类似工程业绩</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供应商20</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 月</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 日以来承担的类似工程每项得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分，本项最多得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spacing w:line="360" w:lineRule="auto"/>
              <w:rPr>
                <w:rFonts w:hint="eastAsia" w:ascii="宋体" w:hAnsi="宋体" w:eastAsia="宋体" w:cs="宋体"/>
                <w:b/>
                <w:color w:val="auto"/>
                <w:kern w:val="2"/>
                <w:sz w:val="24"/>
                <w:szCs w:val="24"/>
                <w:lang w:val="en-US" w:eastAsia="zh-CN" w:bidi="ar-SA"/>
              </w:rPr>
            </w:pPr>
            <w:r>
              <w:rPr>
                <w:rFonts w:hint="eastAsia" w:ascii="宋体" w:hAnsi="宋体" w:eastAsia="宋体" w:cs="宋体"/>
                <w:color w:val="auto"/>
                <w:sz w:val="24"/>
                <w:szCs w:val="24"/>
              </w:rPr>
              <w:t>备注：</w:t>
            </w:r>
            <w:r>
              <w:rPr>
                <w:rFonts w:hint="eastAsia" w:ascii="宋体" w:hAnsi="宋体"/>
                <w:b/>
                <w:color w:val="auto"/>
                <w:sz w:val="24"/>
                <w:szCs w:val="24"/>
              </w:rPr>
              <w:t>①类似项目工程以施工合同</w:t>
            </w:r>
            <w:r>
              <w:rPr>
                <w:rFonts w:hint="eastAsia" w:ascii="宋体" w:hAnsi="宋体"/>
                <w:b/>
                <w:color w:val="auto"/>
                <w:sz w:val="24"/>
                <w:szCs w:val="24"/>
                <w:lang w:eastAsia="zh-CN"/>
              </w:rPr>
              <w:t>原件</w:t>
            </w:r>
            <w:r>
              <w:rPr>
                <w:rFonts w:hint="eastAsia" w:ascii="宋体" w:hAnsi="宋体"/>
                <w:b/>
                <w:color w:val="auto"/>
                <w:sz w:val="24"/>
                <w:szCs w:val="24"/>
              </w:rPr>
              <w:t>、中标（成交）通知书</w:t>
            </w:r>
            <w:r>
              <w:rPr>
                <w:rFonts w:hint="eastAsia" w:ascii="宋体" w:hAnsi="宋体"/>
                <w:b/>
                <w:color w:val="auto"/>
                <w:sz w:val="24"/>
                <w:szCs w:val="24"/>
                <w:lang w:eastAsia="zh-CN"/>
              </w:rPr>
              <w:t>原件</w:t>
            </w:r>
            <w:r>
              <w:rPr>
                <w:rFonts w:hint="eastAsia" w:ascii="宋体" w:hAnsi="宋体"/>
                <w:b/>
                <w:color w:val="auto"/>
                <w:sz w:val="24"/>
                <w:szCs w:val="24"/>
              </w:rPr>
              <w:t>为准，</w:t>
            </w:r>
            <w:r>
              <w:rPr>
                <w:rFonts w:hint="eastAsia" w:ascii="宋体" w:hAnsi="宋体"/>
                <w:b/>
                <w:color w:val="auto"/>
                <w:sz w:val="24"/>
                <w:szCs w:val="24"/>
                <w:lang w:val="en-US" w:eastAsia="zh-CN"/>
              </w:rPr>
              <w:t>两</w:t>
            </w:r>
            <w:r>
              <w:rPr>
                <w:rFonts w:hint="eastAsia" w:ascii="宋体" w:hAnsi="宋体"/>
                <w:b/>
                <w:color w:val="auto"/>
                <w:sz w:val="24"/>
                <w:szCs w:val="24"/>
              </w:rPr>
              <w:t>者缺一不可</w:t>
            </w:r>
            <w:r>
              <w:rPr>
                <w:rFonts w:hint="eastAsia" w:cs="宋体"/>
                <w:b/>
                <w:bCs/>
                <w:color w:val="auto"/>
                <w:sz w:val="24"/>
                <w:szCs w:val="24"/>
              </w:rPr>
              <w:t>，且原件的扫描件须编制在响应文件中，</w:t>
            </w:r>
            <w:r>
              <w:rPr>
                <w:rFonts w:hint="eastAsia" w:ascii="宋体" w:hAnsi="宋体" w:cs="宋体"/>
                <w:b/>
                <w:bCs/>
                <w:color w:val="auto"/>
                <w:kern w:val="0"/>
                <w:sz w:val="24"/>
                <w:szCs w:val="24"/>
              </w:rPr>
              <w:t>否则不予认可</w:t>
            </w:r>
            <w:r>
              <w:rPr>
                <w:rFonts w:hint="eastAsia" w:ascii="宋体" w:hAnsi="宋体"/>
                <w:b/>
                <w:color w:val="auto"/>
                <w:sz w:val="24"/>
                <w:szCs w:val="24"/>
              </w:rPr>
              <w:t>；②时间以</w:t>
            </w:r>
            <w:r>
              <w:rPr>
                <w:rFonts w:hint="eastAsia" w:ascii="宋体" w:hAnsi="宋体"/>
                <w:b/>
                <w:color w:val="auto"/>
                <w:sz w:val="24"/>
                <w:szCs w:val="24"/>
                <w:lang w:val="en-US" w:eastAsia="zh-CN"/>
              </w:rPr>
              <w:t>合同签订</w:t>
            </w:r>
            <w:r>
              <w:rPr>
                <w:rFonts w:hint="eastAsia" w:ascii="宋体" w:hAnsi="宋体"/>
                <w:b/>
                <w:color w:val="auto"/>
                <w:sz w:val="24"/>
                <w:szCs w:val="24"/>
              </w:rPr>
              <w:t>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质量、安全、环境体系认证</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供应商具有有效的质量管理体系认证证书、环境管理体系认证证书、职业健康安全管理体系认证证书，三证齐全得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分，缺项不得分。</w:t>
            </w:r>
          </w:p>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备注</w:t>
            </w:r>
            <w:r>
              <w:rPr>
                <w:rFonts w:hint="eastAsia" w:ascii="宋体" w:hAnsi="宋体" w:cs="宋体"/>
                <w:b/>
                <w:bCs/>
                <w:color w:val="auto"/>
                <w:sz w:val="24"/>
                <w:szCs w:val="24"/>
              </w:rPr>
              <w:t>:以有效期内的认证证书</w:t>
            </w:r>
            <w:r>
              <w:rPr>
                <w:rFonts w:hint="eastAsia" w:ascii="宋体" w:hAnsi="宋体" w:cs="宋体"/>
                <w:b/>
                <w:bCs/>
                <w:color w:val="auto"/>
                <w:sz w:val="24"/>
                <w:szCs w:val="24"/>
                <w:lang w:eastAsia="zh-CN"/>
              </w:rPr>
              <w:t>原件</w:t>
            </w:r>
            <w:r>
              <w:rPr>
                <w:rFonts w:hint="eastAsia" w:ascii="宋体" w:hAnsi="宋体" w:cs="宋体"/>
                <w:b/>
                <w:bCs/>
                <w:color w:val="auto"/>
                <w:sz w:val="24"/>
                <w:szCs w:val="24"/>
              </w:rPr>
              <w:t>为准且原件的扫描件须编制在响应文件中，否则不予认可。</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pStyle w:val="4"/>
        <w:bidi w:val="0"/>
        <w:jc w:val="center"/>
        <w:outlineLvl w:val="0"/>
        <w:rPr>
          <w:rFonts w:hint="eastAsia" w:ascii="宋体" w:hAnsi="宋体" w:eastAsia="宋体" w:cs="宋体"/>
          <w:color w:val="auto"/>
          <w:sz w:val="24"/>
          <w:szCs w:val="24"/>
          <w:lang w:val="en-US" w:eastAsia="zh-CN"/>
        </w:rPr>
      </w:pPr>
      <w:bookmarkStart w:id="14" w:name="_Toc12774"/>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pPr>
        <w:spacing w:line="540" w:lineRule="exact"/>
        <w:ind w:firstLine="480" w:firstLineChars="200"/>
        <w:rPr>
          <w:rFonts w:hint="default" w:ascii="宋体" w:hAnsi="宋体" w:cs="宋体"/>
          <w:color w:val="auto"/>
          <w:sz w:val="24"/>
          <w:szCs w:val="24"/>
          <w:lang w:val="en-US" w:eastAsia="zh-CN"/>
        </w:rPr>
      </w:pPr>
      <w:r>
        <w:rPr>
          <w:rFonts w:hint="eastAsia"/>
          <w:color w:val="auto"/>
          <w:sz w:val="24"/>
          <w:szCs w:val="24"/>
          <w:lang w:eastAsia="zh-CN"/>
        </w:rPr>
        <w:t>本工程为邹城市中心店镇乡村振兴路域(福美来内部路)环境提升工程重新磋商，</w:t>
      </w:r>
      <w:r>
        <w:rPr>
          <w:rFonts w:hint="eastAsia" w:ascii="宋体" w:hAnsi="宋体" w:cs="宋体"/>
          <w:color w:val="auto"/>
          <w:sz w:val="24"/>
          <w:szCs w:val="24"/>
          <w:lang w:eastAsia="zh-CN"/>
        </w:rPr>
        <w:t>工程内容包括：破除原有水泥路面，新建5cm厚中粒式沥青混凝土路面，</w:t>
      </w:r>
      <w:r>
        <w:rPr>
          <w:rFonts w:hint="eastAsia" w:ascii="宋体" w:hAnsi="宋体" w:cs="宋体"/>
          <w:color w:val="auto"/>
          <w:sz w:val="24"/>
          <w:szCs w:val="24"/>
          <w:lang w:val="en-US" w:eastAsia="zh-CN"/>
        </w:rPr>
        <w:t>新建</w:t>
      </w:r>
      <w:r>
        <w:rPr>
          <w:rFonts w:hint="eastAsia" w:ascii="宋体" w:hAnsi="宋体" w:cs="宋体"/>
          <w:color w:val="auto"/>
          <w:sz w:val="24"/>
          <w:szCs w:val="24"/>
          <w:lang w:eastAsia="zh-CN"/>
        </w:rPr>
        <w:t>硬化生产路口，现有机井砌垒加固，井外缘加装防护栏杆，周围道板砖铺装，D</w:t>
      </w:r>
      <w:r>
        <w:rPr>
          <w:rFonts w:hint="eastAsia" w:ascii="宋体" w:hAnsi="宋体" w:cs="宋体"/>
          <w:color w:val="auto"/>
          <w:sz w:val="24"/>
          <w:szCs w:val="24"/>
          <w:lang w:val="en-US" w:eastAsia="zh-CN"/>
        </w:rPr>
        <w:t>N</w:t>
      </w:r>
      <w:r>
        <w:rPr>
          <w:rFonts w:hint="eastAsia" w:ascii="宋体" w:hAnsi="宋体" w:cs="宋体"/>
          <w:color w:val="auto"/>
          <w:sz w:val="24"/>
          <w:szCs w:val="24"/>
          <w:lang w:eastAsia="zh-CN"/>
        </w:rPr>
        <w:t>500生产边沟涵、标线等；砌筑景观墙，长17.6米，高度3米，台面镶嵌鹅</w:t>
      </w:r>
      <w:r>
        <w:rPr>
          <w:rFonts w:hint="eastAsia" w:ascii="宋体" w:hAnsi="宋体" w:cs="宋体"/>
          <w:color w:val="auto"/>
          <w:sz w:val="24"/>
          <w:szCs w:val="24"/>
          <w:lang w:val="en-US" w:eastAsia="zh-CN"/>
        </w:rPr>
        <w:t>卵</w:t>
      </w:r>
      <w:r>
        <w:rPr>
          <w:rFonts w:hint="eastAsia" w:ascii="宋体" w:hAnsi="宋体" w:cs="宋体"/>
          <w:color w:val="auto"/>
          <w:sz w:val="24"/>
          <w:szCs w:val="24"/>
          <w:lang w:eastAsia="zh-CN"/>
        </w:rPr>
        <w:t>石，墙面刷乳胶漆喷彩绘等工程。</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lang w:eastAsia="zh-CN"/>
        </w:rPr>
        <w:t>邹城市中心店镇</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w:t>
      </w:r>
      <w:r>
        <w:rPr>
          <w:rFonts w:hint="eastAsia" w:ascii="宋体" w:hAnsi="宋体"/>
          <w:color w:val="auto"/>
          <w:sz w:val="24"/>
          <w:highlight w:val="none"/>
          <w:lang w:val="en-US" w:eastAsia="zh-CN"/>
        </w:rPr>
        <w:t>599290.94</w:t>
      </w:r>
      <w:r>
        <w:rPr>
          <w:rFonts w:hint="eastAsia" w:ascii="宋体" w:hAnsi="宋体"/>
          <w:color w:val="auto"/>
          <w:sz w:val="24"/>
          <w:highlight w:val="none"/>
        </w:rPr>
        <w:t>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60日历天</w:t>
      </w:r>
      <w:r>
        <w:rPr>
          <w:rFonts w:hint="eastAsia" w:ascii="宋体" w:hAnsi="宋体" w:cs="宋体"/>
          <w:color w:val="auto"/>
          <w:sz w:val="24"/>
          <w:highlight w:val="none"/>
        </w:rPr>
        <w:t>。</w:t>
      </w:r>
      <w:bookmarkEnd w:id="16"/>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w:t>
      </w:r>
      <w:r>
        <w:rPr>
          <w:rFonts w:hint="eastAsia" w:ascii="宋体" w:hAnsi="宋体" w:cs="宋体"/>
          <w:b/>
          <w:color w:val="auto"/>
          <w:sz w:val="24"/>
          <w:szCs w:val="24"/>
          <w:lang w:eastAsia="zh-CN"/>
        </w:rPr>
        <w:t>另附</w:t>
      </w:r>
      <w:r>
        <w:rPr>
          <w:rFonts w:hint="eastAsia" w:ascii="宋体" w:hAnsi="宋体" w:eastAsia="宋体" w:cs="宋体"/>
          <w:b/>
          <w:color w:val="auto"/>
          <w:sz w:val="24"/>
          <w:szCs w:val="24"/>
        </w:rPr>
        <w:t>）</w:t>
      </w:r>
    </w:p>
    <w:p>
      <w:pPr>
        <w:widowControl/>
        <w:jc w:val="center"/>
        <w:outlineLvl w:val="0"/>
        <w:rPr>
          <w:rFonts w:hint="eastAsia" w:ascii="宋体" w:hAnsi="宋体" w:eastAsia="宋体" w:cs="宋体"/>
          <w:b/>
          <w:bCs/>
          <w:color w:val="auto"/>
          <w:kern w:val="2"/>
          <w:sz w:val="24"/>
          <w:szCs w:val="24"/>
          <w:lang w:val="en-US" w:eastAsia="zh-CN" w:bidi="ar-SA"/>
        </w:rPr>
      </w:pPr>
      <w:r>
        <w:rPr>
          <w:rFonts w:hint="eastAsia" w:ascii="宋体" w:hAnsi="宋体"/>
          <w:color w:val="auto"/>
          <w:sz w:val="32"/>
          <w:szCs w:val="32"/>
        </w:rPr>
        <w:br w:type="page"/>
      </w:r>
      <w:bookmarkStart w:id="17" w:name="_Toc20047"/>
      <w:bookmarkStart w:id="18" w:name="_Toc16480"/>
      <w:r>
        <w:rPr>
          <w:rFonts w:hint="eastAsia" w:ascii="宋体" w:hAnsi="宋体" w:eastAsia="宋体" w:cs="宋体"/>
          <w:b/>
          <w:bCs/>
          <w:color w:val="auto"/>
          <w:kern w:val="2"/>
          <w:sz w:val="24"/>
          <w:szCs w:val="24"/>
          <w:lang w:val="en-US" w:eastAsia="zh-CN" w:bidi="ar-SA"/>
        </w:rPr>
        <w:t>第五部分  合同授予</w:t>
      </w:r>
      <w:bookmarkEnd w:id="17"/>
      <w:bookmarkEnd w:id="18"/>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outlineLvl w:val="9"/>
        <w:rPr>
          <w:rFonts w:ascii="宋体" w:hAnsi="宋体" w:eastAsia="宋体" w:cs="宋体"/>
          <w:color w:val="auto"/>
          <w:sz w:val="24"/>
          <w:szCs w:val="24"/>
        </w:rPr>
      </w:pPr>
      <w:bookmarkStart w:id="19" w:name="_Toc17168"/>
      <w:bookmarkStart w:id="20" w:name="_Toc5213"/>
      <w:bookmarkStart w:id="21" w:name="_Toc457668115"/>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both"/>
        <w:outlineLvl w:val="9"/>
        <w:rPr>
          <w:rFonts w:hint="eastAsia" w:ascii="宋体" w:hAnsi="宋体" w:eastAsia="宋体" w:cs="宋体"/>
          <w:color w:val="auto"/>
          <w:sz w:val="24"/>
          <w:szCs w:val="24"/>
          <w:lang w:eastAsia="zh-CN"/>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p>
      <w:pPr>
        <w:pStyle w:val="4"/>
        <w:keepNext w:val="0"/>
        <w:keepLines w:val="0"/>
        <w:spacing w:before="0" w:after="0" w:line="540" w:lineRule="exact"/>
        <w:jc w:val="center"/>
        <w:outlineLvl w:val="9"/>
        <w:rPr>
          <w:rFonts w:ascii="宋体" w:hAnsi="宋体" w:eastAsia="宋体" w:cs="宋体"/>
          <w:color w:val="auto"/>
          <w:sz w:val="24"/>
          <w:szCs w:val="24"/>
        </w:rPr>
      </w:pPr>
    </w:p>
    <w:bookmarkEnd w:id="19"/>
    <w:bookmarkEnd w:id="20"/>
    <w:bookmarkEnd w:id="21"/>
    <w:p>
      <w:pPr>
        <w:rPr>
          <w:rFonts w:hint="eastAsia" w:ascii="宋体" w:hAnsi="宋体" w:eastAsia="宋体" w:cs="宋体"/>
          <w:color w:val="auto"/>
          <w:sz w:val="24"/>
          <w:szCs w:val="24"/>
        </w:rPr>
      </w:pPr>
      <w:bookmarkStart w:id="22" w:name="_Toc4535"/>
      <w:r>
        <w:rPr>
          <w:rFonts w:hint="eastAsia" w:ascii="宋体" w:hAnsi="宋体" w:eastAsia="宋体" w:cs="宋体"/>
          <w:color w:val="auto"/>
          <w:sz w:val="24"/>
          <w:szCs w:val="24"/>
        </w:rPr>
        <w:br w:type="page"/>
      </w:r>
    </w:p>
    <w:p>
      <w:pPr>
        <w:spacing w:line="520" w:lineRule="exact"/>
        <w:ind w:firstLine="480" w:firstLineChars="200"/>
        <w:jc w:val="center"/>
        <w:outlineLvl w:val="9"/>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bookmarkEnd w:id="22"/>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cs="宋体"/>
          <w:b/>
          <w:color w:val="auto"/>
          <w:sz w:val="24"/>
          <w:szCs w:val="24"/>
          <w:u w:val="single"/>
          <w:lang w:eastAsia="zh-CN"/>
        </w:rPr>
        <w:t>邹城市中心店镇人民政府</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3" w:name="_Toc351203481"/>
      <w:r>
        <w:rPr>
          <w:rFonts w:hint="eastAsia" w:ascii="宋体" w:hAnsi="宋体" w:eastAsia="宋体" w:cs="宋体"/>
          <w:b/>
          <w:color w:val="auto"/>
          <w:sz w:val="24"/>
          <w:szCs w:val="24"/>
        </w:rPr>
        <w:t>一、工程概况</w:t>
      </w:r>
      <w:bookmarkEnd w:id="23"/>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9"/>
        <w:rPr>
          <w:rFonts w:hint="eastAsia" w:ascii="宋体" w:hAnsi="宋体" w:eastAsia="宋体" w:cs="宋体"/>
          <w:b/>
          <w:color w:val="auto"/>
          <w:kern w:val="0"/>
          <w:sz w:val="24"/>
          <w:szCs w:val="24"/>
        </w:rPr>
      </w:pPr>
      <w:bookmarkStart w:id="24"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二、合同工期</w:t>
      </w:r>
      <w:bookmarkEnd w:id="24"/>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spacing w:line="520" w:lineRule="exact"/>
        <w:rPr>
          <w:rFonts w:hint="eastAsia" w:ascii="宋体" w:hAnsi="宋体" w:eastAsia="宋体" w:cs="宋体"/>
          <w:b/>
          <w:color w:val="auto"/>
          <w:sz w:val="24"/>
          <w:szCs w:val="24"/>
        </w:rPr>
      </w:pPr>
      <w:bookmarkStart w:id="25" w:name="_Toc351203483"/>
      <w:r>
        <w:rPr>
          <w:rFonts w:hint="eastAsia" w:ascii="宋体" w:hAnsi="宋体" w:eastAsia="宋体" w:cs="宋体"/>
          <w:b/>
          <w:color w:val="auto"/>
          <w:sz w:val="24"/>
          <w:szCs w:val="24"/>
        </w:rPr>
        <w:t>三、质量标准</w:t>
      </w:r>
      <w:bookmarkEnd w:id="25"/>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26" w:name="_Toc351203484"/>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四、签约合同价与合同价格形式</w:t>
      </w:r>
      <w:bookmarkEnd w:id="26"/>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rPr>
          <w:rFonts w:hint="eastAsia" w:ascii="宋体" w:hAnsi="宋体" w:eastAsia="宋体" w:cs="宋体"/>
          <w:b/>
          <w:color w:val="auto"/>
          <w:sz w:val="24"/>
          <w:szCs w:val="24"/>
        </w:rPr>
      </w:pPr>
      <w:bookmarkStart w:id="27" w:name="_Toc351203485"/>
      <w:r>
        <w:rPr>
          <w:rFonts w:hint="eastAsia" w:ascii="宋体" w:hAnsi="宋体" w:eastAsia="宋体" w:cs="宋体"/>
          <w:b/>
          <w:color w:val="auto"/>
          <w:sz w:val="24"/>
          <w:szCs w:val="24"/>
        </w:rPr>
        <w:t>五、</w:t>
      </w:r>
      <w:bookmarkEnd w:id="27"/>
      <w:r>
        <w:rPr>
          <w:rFonts w:hint="eastAsia" w:ascii="宋体" w:hAnsi="宋体" w:eastAsia="宋体" w:cs="宋体"/>
          <w:b/>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28"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六、合同文件构成</w:t>
      </w:r>
      <w:bookmarkEnd w:id="2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spacing w:line="520" w:lineRule="exact"/>
        <w:rPr>
          <w:rFonts w:hint="eastAsia" w:ascii="宋体" w:hAnsi="宋体" w:eastAsia="宋体" w:cs="宋体"/>
          <w:b/>
          <w:color w:val="auto"/>
          <w:sz w:val="24"/>
          <w:szCs w:val="24"/>
        </w:rPr>
      </w:pPr>
      <w:bookmarkStart w:id="29" w:name="_Toc351203487"/>
      <w:r>
        <w:rPr>
          <w:rFonts w:hint="eastAsia" w:ascii="宋体" w:hAnsi="宋体" w:eastAsia="宋体" w:cs="宋体"/>
          <w:b/>
          <w:color w:val="auto"/>
          <w:sz w:val="24"/>
          <w:szCs w:val="24"/>
        </w:rPr>
        <w:t>七、承诺</w:t>
      </w:r>
      <w:bookmarkEnd w:id="2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
          <w:color w:val="auto"/>
          <w:sz w:val="24"/>
          <w:szCs w:val="24"/>
        </w:rPr>
      </w:pPr>
      <w:bookmarkStart w:id="30" w:name="_Toc351203488"/>
      <w:r>
        <w:rPr>
          <w:rFonts w:hint="eastAsia" w:ascii="宋体" w:hAnsi="宋体" w:eastAsia="宋体" w:cs="宋体"/>
          <w:b/>
          <w:color w:val="auto"/>
          <w:sz w:val="24"/>
          <w:szCs w:val="24"/>
        </w:rPr>
        <w:t>八、词语含义</w:t>
      </w:r>
      <w:bookmarkEnd w:id="30"/>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1"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1"/>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2" w:name="_Toc351203490"/>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十、签订地点</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spacing w:line="520" w:lineRule="exact"/>
        <w:rPr>
          <w:rFonts w:hint="eastAsia" w:ascii="宋体" w:hAnsi="宋体" w:eastAsia="宋体" w:cs="宋体"/>
          <w:b/>
          <w:color w:val="auto"/>
          <w:sz w:val="24"/>
          <w:szCs w:val="24"/>
        </w:rPr>
      </w:pPr>
      <w:bookmarkStart w:id="33" w:name="_Toc351203491"/>
      <w:r>
        <w:rPr>
          <w:rFonts w:hint="eastAsia" w:ascii="宋体" w:hAnsi="宋体" w:eastAsia="宋体" w:cs="宋体"/>
          <w:b/>
          <w:color w:val="auto"/>
          <w:sz w:val="24"/>
          <w:szCs w:val="24"/>
        </w:rPr>
        <w:t>十一、补充协议</w:t>
      </w:r>
      <w:bookmarkEnd w:id="33"/>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spacing w:line="520" w:lineRule="exact"/>
        <w:rPr>
          <w:rFonts w:hint="eastAsia" w:ascii="宋体" w:hAnsi="宋体" w:eastAsia="宋体" w:cs="宋体"/>
          <w:b/>
          <w:color w:val="auto"/>
          <w:sz w:val="24"/>
          <w:szCs w:val="24"/>
        </w:rPr>
      </w:pPr>
      <w:bookmarkStart w:id="34" w:name="_Toc351203492"/>
      <w:r>
        <w:rPr>
          <w:rFonts w:hint="eastAsia" w:ascii="宋体" w:hAnsi="宋体" w:eastAsia="宋体" w:cs="宋体"/>
          <w:b/>
          <w:color w:val="auto"/>
          <w:sz w:val="24"/>
          <w:szCs w:val="24"/>
        </w:rPr>
        <w:t>十二、合同生效</w:t>
      </w:r>
      <w:bookmarkEnd w:id="34"/>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spacing w:line="520" w:lineRule="exact"/>
        <w:rPr>
          <w:rFonts w:hint="eastAsia" w:ascii="宋体" w:hAnsi="宋体" w:eastAsia="宋体" w:cs="宋体"/>
          <w:b/>
          <w:color w:val="auto"/>
          <w:sz w:val="24"/>
          <w:szCs w:val="24"/>
        </w:rPr>
      </w:pPr>
      <w:bookmarkStart w:id="35" w:name="_Toc351203493"/>
      <w:r>
        <w:rPr>
          <w:rFonts w:hint="eastAsia" w:ascii="宋体" w:hAnsi="宋体" w:eastAsia="宋体" w:cs="宋体"/>
          <w:b/>
          <w:color w:val="auto"/>
          <w:sz w:val="24"/>
          <w:szCs w:val="24"/>
        </w:rPr>
        <w:t>十三、合同份数</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9"/>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36" w:name="_Toc14590"/>
      <w:bookmarkStart w:id="37" w:name="_Toc22187"/>
      <w:bookmarkStart w:id="38" w:name="_Toc456966898"/>
      <w:r>
        <w:rPr>
          <w:rFonts w:hint="eastAsia" w:ascii="宋体" w:hAnsi="宋体" w:cs="宋体"/>
          <w:color w:val="auto"/>
          <w:kern w:val="0"/>
          <w:sz w:val="24"/>
          <w:szCs w:val="24"/>
          <w:highlight w:val="none"/>
        </w:rPr>
        <w:t>通用合同条款见《中华人民共和国标准施工招标文件》2007年</w:t>
      </w:r>
    </w:p>
    <w:bookmarkEnd w:id="36"/>
    <w:bookmarkEnd w:id="37"/>
    <w:bookmarkEnd w:id="38"/>
    <w:p>
      <w:pPr>
        <w:keepNext/>
        <w:keepLines/>
        <w:spacing w:line="360" w:lineRule="auto"/>
        <w:jc w:val="center"/>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kern w:val="0"/>
          <w:sz w:val="24"/>
          <w:szCs w:val="24"/>
          <w:u w:val="single"/>
          <w:lang w:eastAsia="zh-CN"/>
        </w:rPr>
        <w:t>邹城市中心店镇人民政府</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39" w:name="_Hlk40553084"/>
      <w:r>
        <w:rPr>
          <w:rFonts w:hint="eastAsia" w:ascii="宋体" w:hAnsi="宋体" w:eastAsia="宋体" w:cs="宋体"/>
          <w:color w:val="auto"/>
          <w:sz w:val="24"/>
          <w:szCs w:val="24"/>
        </w:rPr>
        <w:t xml:space="preserve"> 经发包人书面同意分包的工程项目的分包合同</w:t>
      </w:r>
      <w:bookmarkEnd w:id="39"/>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outlineLvl w:val="9"/>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outlineLvl w:val="9"/>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outlineLvl w:val="9"/>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1200" w:firstLineChars="5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outlineLvl w:val="9"/>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outlineLvl w:val="9"/>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left="0" w:leftChars="0"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outlineLvl w:val="9"/>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15.5承包人的合理化建议</w:t>
      </w:r>
    </w:p>
    <w:p>
      <w:pPr>
        <w:keepNext/>
        <w:keepLines/>
        <w:spacing w:line="500" w:lineRule="exact"/>
        <w:ind w:firstLine="482" w:firstLineChars="200"/>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15.8暂估价</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16.价格调整</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16.1物价波动引起的价格调整</w:t>
      </w:r>
      <w:r>
        <w:rPr>
          <w:rFonts w:hint="eastAsia" w:ascii="宋体" w:hAnsi="宋体" w:eastAsia="宋体" w:cs="宋体"/>
          <w:b/>
          <w:bCs/>
          <w:color w:val="auto"/>
          <w:sz w:val="24"/>
          <w:szCs w:val="24"/>
          <w:u w:val="single"/>
          <w:lang w:val="en-US" w:eastAsia="zh-CN"/>
        </w:rPr>
        <w:t>不调整</w:t>
      </w:r>
      <w:r>
        <w:rPr>
          <w:rFonts w:hint="eastAsia" w:ascii="宋体" w:hAnsi="宋体" w:eastAsia="宋体" w:cs="宋体"/>
          <w:b/>
          <w:bCs/>
          <w:color w:val="auto"/>
          <w:sz w:val="24"/>
          <w:szCs w:val="24"/>
          <w:lang w:val="en-US" w:eastAsia="zh-CN"/>
        </w:rPr>
        <w:t xml:space="preserve">  </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17.计量与支付</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17.1计量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《山东省建设工程工程量清单计价规则》或其适用的修订版本。除合同另有约定外，承包人实际完成的工程量按约定的工程量计算规则和发包人与承包人共同确认的图纸进行计量。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17.2预付款</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17.3工程进度付款</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482" w:firstLineChars="200"/>
        <w:outlineLvl w:val="9"/>
        <w:rPr>
          <w:rFonts w:hint="eastAsia" w:ascii="宋体" w:hAnsi="宋体" w:eastAsia="宋体" w:cs="宋体"/>
          <w:b/>
          <w:bCs/>
          <w:color w:val="auto"/>
          <w:sz w:val="24"/>
          <w:szCs w:val="24"/>
          <w:u w:val="single"/>
          <w:lang w:val="en-US" w:eastAsia="zh-CN"/>
        </w:rPr>
      </w:pPr>
      <w:r>
        <w:rPr>
          <w:rFonts w:hint="eastAsia" w:ascii="宋体" w:hAnsi="宋体" w:cs="宋体"/>
          <w:b/>
          <w:bCs/>
          <w:color w:val="auto"/>
          <w:sz w:val="24"/>
          <w:szCs w:val="24"/>
          <w:u w:val="single"/>
          <w:lang w:eastAsia="zh-CN"/>
        </w:rPr>
        <w:t>本项目无预付款，工程竣工验收合格后付至合同总价款的60%，结算审计完成后，付至审定价款的97%，剩余3%作为质量保证金，缺陷责任期满后无质量问题无息付清。工程最终结算造价以审计部门审计结果为准。</w:t>
      </w:r>
    </w:p>
    <w:p>
      <w:pPr>
        <w:spacing w:line="540" w:lineRule="exact"/>
        <w:ind w:firstLine="482" w:firstLineChars="200"/>
        <w:outlineLvl w:val="9"/>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17.4质量保证金</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color w:val="auto"/>
          <w:sz w:val="24"/>
          <w:szCs w:val="24"/>
          <w:u w:val="single"/>
        </w:rPr>
        <w:t>审定价款的3%</w:t>
      </w:r>
      <w:r>
        <w:rPr>
          <w:rFonts w:hint="eastAsia" w:ascii="宋体" w:hAnsi="宋体" w:eastAsia="宋体" w:cs="宋体"/>
          <w:b/>
          <w:bCs/>
          <w:color w:val="auto"/>
          <w:sz w:val="24"/>
          <w:szCs w:val="24"/>
          <w:u w:val="single"/>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color w:val="auto"/>
          <w:sz w:val="24"/>
          <w:szCs w:val="24"/>
          <w:u w:val="single"/>
        </w:rPr>
        <w:t>结算审核完成后扣留审定价款的3%</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17.5竣工结算</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17.6最终结清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18.竣工验收</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18.2竣工验收申请报告</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18.3验收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18.5施工期运行</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18.6试运行</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18.7竣工清场</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18.8施工队伍的撤离</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18.9中间验收</w:t>
      </w:r>
    </w:p>
    <w:p>
      <w:pPr>
        <w:spacing w:line="360" w:lineRule="auto"/>
        <w:ind w:firstLine="480" w:firstLineChars="2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19.缺陷责任与保修责任</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19.7保修责任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20.保险</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20.1工程保险</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20.4第三者责任险</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20.5其他保险</w:t>
      </w:r>
    </w:p>
    <w:p>
      <w:pPr>
        <w:spacing w:line="500" w:lineRule="exact"/>
        <w:jc w:val="left"/>
        <w:outlineLvl w:val="9"/>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20.6对各项保险的一般要求</w:t>
      </w:r>
    </w:p>
    <w:p>
      <w:pPr>
        <w:spacing w:before="93" w:beforeLines="30" w:after="93" w:afterLines="3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21.不可抗力</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21.1不可抗力的确认</w:t>
      </w:r>
    </w:p>
    <w:p>
      <w:pPr>
        <w:spacing w:line="360" w:lineRule="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21.3不可抗力后果及其处理</w:t>
      </w:r>
    </w:p>
    <w:p>
      <w:pPr>
        <w:spacing w:before="93" w:beforeLines="30" w:after="93" w:afterLines="30"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24.争议的解决</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24.1争议的解决方式</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24.3争议评审</w:t>
      </w:r>
    </w:p>
    <w:p>
      <w:pPr>
        <w:spacing w:line="360" w:lineRule="auto"/>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0" w:name="_Toc20772"/>
      <w:bookmarkStart w:id="41" w:name="_Toc456966899"/>
      <w:bookmarkStart w:id="42" w:name="_Toc1538"/>
    </w:p>
    <w:p>
      <w:pPr>
        <w:keepNext/>
        <w:keepLines/>
        <w:spacing w:line="360" w:lineRule="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25. 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25.1施工期间的安全问题、地方关系或个体关系由施工单位自行解决。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25.2承包人产生违约行为时除按照通用条款22.1条规定处理外，由承包人向发包人全额支付缴纳的履约保证金。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rPr>
      </w:pPr>
      <w:r>
        <w:rPr>
          <w:rFonts w:hint="eastAsia"/>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0"/>
    <w:bookmarkEnd w:id="41"/>
    <w:bookmarkEnd w:id="42"/>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9"/>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9"/>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cs="宋体"/>
          <w:color w:val="auto"/>
          <w:sz w:val="24"/>
          <w:szCs w:val="24"/>
          <w:u w:val="single"/>
          <w:lang w:eastAsia="zh-CN"/>
        </w:rPr>
        <w:t>邹城市中心店镇人民政府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cs="宋体"/>
          <w:color w:val="auto"/>
          <w:sz w:val="24"/>
          <w:szCs w:val="24"/>
          <w:u w:val="single"/>
          <w:lang w:eastAsia="zh-CN"/>
        </w:rPr>
        <w:t>邹城市中心店镇乡村振兴路域(福美来内部路)环境提升工程重新磋商</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eastAsia="zh-CN"/>
        </w:rPr>
        <w:t>邹城市中心店镇人民政府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spacing w:line="560" w:lineRule="exact"/>
        <w:jc w:val="center"/>
        <w:outlineLvl w:val="9"/>
        <w:rPr>
          <w:rFonts w:hint="eastAsia" w:ascii="宋体" w:hAnsi="宋体" w:cs="宋体"/>
          <w:b/>
          <w:color w:val="auto"/>
          <w:sz w:val="48"/>
          <w:szCs w:val="32"/>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4"/>
        <w:bidi w:val="0"/>
        <w:jc w:val="center"/>
        <w:outlineLvl w:val="0"/>
        <w:rPr>
          <w:rFonts w:hint="eastAsia" w:ascii="宋体" w:hAnsi="宋体" w:eastAsia="宋体" w:cs="宋体"/>
          <w:color w:val="auto"/>
          <w:sz w:val="24"/>
          <w:szCs w:val="24"/>
        </w:rPr>
      </w:pPr>
      <w:bookmarkStart w:id="43" w:name="_Toc20712"/>
      <w:r>
        <w:rPr>
          <w:rFonts w:hint="eastAsia" w:ascii="宋体" w:hAnsi="宋体" w:eastAsia="宋体" w:cs="宋体"/>
          <w:color w:val="auto"/>
          <w:sz w:val="24"/>
          <w:szCs w:val="24"/>
        </w:rPr>
        <w:t>第六部分  响应文件格式</w:t>
      </w:r>
      <w:bookmarkEnd w:id="43"/>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2"/>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6"/>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1、磋商响应函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2、法定代表人身份证明或授权委托人身份证明及法定代表人授权委托书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3、初次报价表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4、初次报价的已标价工程量清单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rPr>
        <w:t>5、技术部分（施工组织设计）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9"/>
        <w:rPr>
          <w:rFonts w:ascii="宋体" w:hAnsi="宋体"/>
          <w:b/>
          <w:color w:val="auto"/>
          <w:sz w:val="24"/>
        </w:rPr>
      </w:pPr>
    </w:p>
    <w:p>
      <w:pPr>
        <w:spacing w:line="360" w:lineRule="auto"/>
        <w:jc w:val="left"/>
        <w:outlineLvl w:val="9"/>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4" w:name="_Toc374107067"/>
      <w:bookmarkStart w:id="45" w:name="_Toc323641999"/>
      <w:bookmarkStart w:id="46" w:name="_Toc300901193"/>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4"/>
        <w:rPr>
          <w:rFonts w:hint="eastAsia" w:ascii="宋体" w:hAnsi="宋体" w:eastAsia="宋体"/>
          <w:color w:val="auto"/>
          <w:sz w:val="24"/>
          <w:szCs w:val="24"/>
        </w:rPr>
      </w:pPr>
    </w:p>
    <w:p>
      <w:pPr>
        <w:pStyle w:val="54"/>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2"/>
        <w:rPr>
          <w:rFonts w:hint="eastAsia"/>
          <w:color w:val="auto"/>
        </w:rPr>
      </w:pPr>
    </w:p>
    <w:p>
      <w:pPr>
        <w:rPr>
          <w:rFonts w:hint="eastAsia" w:ascii="宋体" w:hAnsi="宋体" w:cs="宋体"/>
          <w:b/>
          <w:color w:val="auto"/>
          <w:kern w:val="0"/>
          <w:sz w:val="24"/>
          <w:szCs w:val="24"/>
        </w:rPr>
      </w:pPr>
      <w:r>
        <w:rPr>
          <w:rFonts w:hint="eastAsia" w:ascii="宋体" w:hAnsi="宋体" w:cs="宋体"/>
          <w:b/>
          <w:color w:val="auto"/>
          <w:kern w:val="0"/>
          <w:sz w:val="24"/>
          <w:szCs w:val="24"/>
        </w:rPr>
        <w:br w:type="page"/>
      </w: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rPr>
        <w:t>二、法定代表人身份证明</w:t>
      </w:r>
      <w:bookmarkEnd w:id="44"/>
      <w:bookmarkEnd w:id="45"/>
      <w:bookmarkEnd w:id="46"/>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2"/>
        <w:rPr>
          <w:rFonts w:hint="eastAsia" w:ascii="宋体" w:hAnsi="宋体"/>
          <w:color w:val="auto"/>
          <w:sz w:val="24"/>
        </w:rPr>
      </w:pPr>
    </w:p>
    <w:p>
      <w:pPr>
        <w:rPr>
          <w:rFonts w:hint="eastAsia" w:ascii="宋体" w:hAnsi="宋体"/>
          <w:color w:val="auto"/>
          <w:sz w:val="24"/>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color w:val="auto"/>
          <w:kern w:val="0"/>
          <w:sz w:val="24"/>
          <w:szCs w:val="24"/>
          <w:lang w:val="en-US" w:eastAsia="zh-CN" w:bidi="ar-SA"/>
        </w:rPr>
      </w:pPr>
      <w:r>
        <w:rPr>
          <w:rFonts w:ascii="宋体" w:hAnsi="宋体"/>
          <w:color w:val="auto"/>
          <w:szCs w:val="24"/>
        </w:rPr>
        <w:br w:type="page"/>
      </w:r>
      <w:r>
        <w:rPr>
          <w:rFonts w:hint="eastAsia" w:ascii="宋体" w:hAnsi="宋体" w:eastAsia="宋体" w:cs="宋体"/>
          <w:b/>
          <w:color w:val="auto"/>
          <w:kern w:val="0"/>
          <w:sz w:val="24"/>
          <w:szCs w:val="24"/>
          <w:lang w:val="en-US" w:eastAsia="zh-CN" w:bidi="ar-SA"/>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color w:val="auto"/>
                <w:lang w:eastAsia="zh-CN"/>
              </w:rPr>
            </w:pPr>
            <w:r>
              <w:rPr>
                <w:rFonts w:hint="eastAsia" w:ascii="宋体" w:hAnsi="宋体"/>
                <w:color w:val="auto"/>
                <w:sz w:val="24"/>
                <w:lang w:eastAsia="zh-CN"/>
              </w:rPr>
              <w:t>大写：</w:t>
            </w: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rPr>
          <w:rFonts w:hint="eastAsia" w:ascii="宋体" w:hAnsi="宋体" w:cs="宋体"/>
          <w:color w:val="auto"/>
          <w:sz w:val="24"/>
        </w:rPr>
      </w:pPr>
    </w:p>
    <w:p>
      <w:pPr>
        <w:pStyle w:val="54"/>
        <w:ind w:left="0" w:leftChars="0" w:firstLine="0" w:firstLineChars="0"/>
        <w:rPr>
          <w:rFonts w:hint="eastAsia" w:ascii="宋体" w:hAnsi="宋体" w:cs="宋体"/>
          <w:color w:val="auto"/>
          <w:sz w:val="24"/>
        </w:rPr>
      </w:pPr>
    </w:p>
    <w:p>
      <w:pPr>
        <w:spacing w:line="360" w:lineRule="auto"/>
        <w:jc w:val="center"/>
        <w:rPr>
          <w:rFonts w:hint="eastAsia" w:ascii="宋体" w:hAnsi="宋体" w:cs="宋体"/>
          <w:b/>
          <w:color w:val="auto"/>
          <w:kern w:val="0"/>
          <w:sz w:val="24"/>
          <w:szCs w:val="24"/>
          <w:lang w:eastAsia="zh-CN"/>
        </w:rPr>
      </w:pPr>
      <w:r>
        <w:rPr>
          <w:rFonts w:hint="eastAsia" w:ascii="宋体" w:hAnsi="宋体" w:cs="宋体"/>
          <w:b/>
          <w:color w:val="auto"/>
          <w:kern w:val="0"/>
          <w:sz w:val="24"/>
          <w:szCs w:val="24"/>
          <w:lang w:eastAsia="zh-CN"/>
        </w:rPr>
        <w:t>四、初次报价的已标价工程量清单</w:t>
      </w:r>
    </w:p>
    <w:p>
      <w:pPr>
        <w:spacing w:line="360" w:lineRule="auto"/>
        <w:ind w:firstLine="480" w:firstLineChars="200"/>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2"/>
        <w:rPr>
          <w:color w:val="auto"/>
        </w:rPr>
      </w:pPr>
    </w:p>
    <w:p>
      <w:pPr>
        <w:spacing w:line="360" w:lineRule="auto"/>
        <w:jc w:val="center"/>
        <w:rPr>
          <w:rFonts w:hint="eastAsia" w:ascii="宋体" w:hAnsi="宋体" w:cs="宋体"/>
          <w:b/>
          <w:color w:val="auto"/>
          <w:kern w:val="0"/>
          <w:sz w:val="24"/>
          <w:szCs w:val="24"/>
          <w:lang w:eastAsia="zh-CN"/>
        </w:rPr>
      </w:pPr>
      <w:r>
        <w:rPr>
          <w:rFonts w:hint="eastAsia" w:ascii="宋体" w:hAnsi="宋体" w:cs="宋体"/>
          <w:b/>
          <w:color w:val="auto"/>
          <w:kern w:val="0"/>
          <w:sz w:val="24"/>
          <w:szCs w:val="24"/>
          <w:lang w:eastAsia="zh-CN"/>
        </w:rPr>
        <w:t>五</w:t>
      </w:r>
      <w:r>
        <w:rPr>
          <w:rFonts w:hint="eastAsia" w:ascii="宋体" w:hAnsi="宋体" w:cs="宋体"/>
          <w:b/>
          <w:color w:val="auto"/>
          <w:kern w:val="0"/>
          <w:sz w:val="24"/>
          <w:szCs w:val="24"/>
        </w:rPr>
        <w:t>、</w:t>
      </w:r>
      <w:r>
        <w:rPr>
          <w:rFonts w:hint="eastAsia" w:ascii="宋体" w:hAnsi="宋体" w:cs="宋体"/>
          <w:b/>
          <w:color w:val="auto"/>
          <w:kern w:val="0"/>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2.</w:t>
            </w:r>
            <w:r>
              <w:rPr>
                <w:rFonts w:hint="eastAsia" w:ascii="宋体" w:hAnsi="宋体"/>
                <w:color w:val="auto"/>
                <w:sz w:val="24"/>
                <w:lang w:val="en-US" w:eastAsia="zh-CN"/>
              </w:rPr>
              <w:t>施工进度计划和保证措施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7.</w:t>
            </w:r>
            <w:r>
              <w:rPr>
                <w:rFonts w:hint="eastAsia" w:ascii="宋体" w:hAnsi="宋体"/>
                <w:color w:val="auto"/>
                <w:sz w:val="24"/>
                <w:lang w:val="en-US" w:eastAsia="zh-CN"/>
              </w:rPr>
              <w:t>劳动力、机械设备和材料投入计划</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8.</w:t>
            </w:r>
            <w:r>
              <w:rPr>
                <w:rFonts w:hint="eastAsia" w:ascii="宋体" w:hAnsi="宋体"/>
                <w:color w:val="auto"/>
                <w:sz w:val="24"/>
                <w:lang w:val="en-US" w:eastAsia="zh-CN"/>
              </w:rPr>
              <w:t>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9.施工关键部位、材料采购要点的控制及措施（根据工程特点及磋商文件要求应具有针对性）</w:t>
            </w:r>
          </w:p>
        </w:tc>
      </w:tr>
      <w:tr>
        <w:tblPrEx>
          <w:tblCellMar>
            <w:top w:w="0" w:type="dxa"/>
            <w:left w:w="108" w:type="dxa"/>
            <w:bottom w:w="0" w:type="dxa"/>
            <w:right w:w="108" w:type="dxa"/>
          </w:tblCellMar>
        </w:tblPrEx>
        <w:trPr>
          <w:trHeight w:val="600" w:hRule="atLeast"/>
          <w:jc w:val="center"/>
        </w:trPr>
        <w:tc>
          <w:tcPr>
            <w:tcW w:w="9505" w:type="dxa"/>
          </w:tcPr>
          <w:p>
            <w:pPr>
              <w:rPr>
                <w:rFonts w:hint="default" w:ascii="宋体" w:hAnsi="宋体" w:eastAsia="宋体"/>
                <w:color w:val="auto"/>
                <w:sz w:val="24"/>
                <w:lang w:val="en-US" w:eastAsia="zh-CN"/>
              </w:rPr>
            </w:pPr>
            <w:r>
              <w:rPr>
                <w:rFonts w:hint="eastAsia" w:ascii="宋体" w:hAnsi="宋体"/>
                <w:color w:val="auto"/>
                <w:sz w:val="24"/>
              </w:rPr>
              <w:t>10.</w:t>
            </w:r>
            <w:r>
              <w:rPr>
                <w:rFonts w:hint="eastAsia" w:ascii="宋体" w:hAnsi="宋体"/>
                <w:color w:val="auto"/>
                <w:sz w:val="24"/>
                <w:lang w:val="en-US" w:eastAsia="zh-CN"/>
              </w:rPr>
              <w:t>扬尘治理措施</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line="360" w:lineRule="auto"/>
        <w:jc w:val="center"/>
        <w:rPr>
          <w:rFonts w:hint="eastAsia" w:ascii="宋体" w:hAnsi="宋体" w:cs="宋体"/>
          <w:b/>
          <w:color w:val="auto"/>
          <w:kern w:val="0"/>
          <w:sz w:val="24"/>
          <w:szCs w:val="24"/>
        </w:rPr>
      </w:pPr>
      <w:bookmarkStart w:id="47" w:name="_Toc300901200"/>
      <w:bookmarkStart w:id="48" w:name="_Toc323642005"/>
      <w:bookmarkStart w:id="49" w:name="_Toc374107074"/>
      <w:r>
        <w:rPr>
          <w:rFonts w:hint="eastAsia" w:ascii="宋体" w:hAnsi="宋体" w:cs="宋体"/>
          <w:b/>
          <w:color w:val="auto"/>
          <w:kern w:val="0"/>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outlineLvl w:val="9"/>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color w:val="auto"/>
          <w:lang w:eastAsia="zh-CN"/>
        </w:rPr>
      </w:pPr>
    </w:p>
    <w:p>
      <w:pPr>
        <w:numPr>
          <w:ilvl w:val="0"/>
          <w:numId w:val="0"/>
        </w:numPr>
        <w:rPr>
          <w:rFonts w:hint="eastAsia"/>
          <w:color w:val="auto"/>
          <w:lang w:eastAsia="zh-CN"/>
        </w:rPr>
      </w:pP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lang w:eastAsia="zh-CN"/>
        </w:rPr>
        <w:t>七、</w:t>
      </w:r>
      <w:r>
        <w:rPr>
          <w:rFonts w:hint="eastAsia" w:ascii="宋体" w:hAnsi="宋体" w:cs="宋体"/>
          <w:b/>
          <w:color w:val="auto"/>
          <w:kern w:val="0"/>
          <w:sz w:val="24"/>
          <w:szCs w:val="24"/>
        </w:rPr>
        <w:t>资格审查资料</w:t>
      </w:r>
      <w:bookmarkEnd w:id="47"/>
      <w:bookmarkEnd w:id="48"/>
      <w:bookmarkEnd w:id="49"/>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w:t>
      </w:r>
      <w:r>
        <w:rPr>
          <w:rFonts w:hint="eastAsia" w:ascii="宋体" w:hAnsi="宋体" w:cs="黑体"/>
          <w:color w:val="auto"/>
          <w:sz w:val="24"/>
          <w:lang w:val="en-US" w:eastAsia="zh-CN" w:bidi="ar"/>
        </w:rPr>
        <w:t>供应商</w:t>
      </w:r>
      <w:r>
        <w:rPr>
          <w:rFonts w:hint="eastAsia" w:ascii="宋体" w:hAnsi="宋体" w:cs="黑体"/>
          <w:color w:val="auto"/>
          <w:sz w:val="24"/>
          <w:lang w:bidi="ar"/>
        </w:rPr>
        <w:t>类似</w:t>
      </w:r>
      <w:r>
        <w:rPr>
          <w:rFonts w:hint="eastAsia" w:ascii="宋体" w:hAnsi="宋体" w:cs="黑体"/>
          <w:color w:val="auto"/>
          <w:sz w:val="24"/>
          <w:lang w:val="en-US" w:eastAsia="zh-CN" w:bidi="ar"/>
        </w:rPr>
        <w:t>工程</w:t>
      </w:r>
      <w:r>
        <w:rPr>
          <w:rFonts w:hint="eastAsia" w:ascii="宋体" w:hAnsi="宋体" w:cs="黑体"/>
          <w:color w:val="auto"/>
          <w:sz w:val="24"/>
          <w:lang w:bidi="ar"/>
        </w:rPr>
        <w:t>业绩情况表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2"/>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pStyle w:val="4"/>
        <w:spacing w:line="360" w:lineRule="auto"/>
        <w:jc w:val="both"/>
        <w:outlineLvl w:val="9"/>
        <w:rPr>
          <w:rFonts w:hint="eastAsia" w:ascii="宋体" w:hAnsi="宋体" w:eastAsia="宋体"/>
          <w:color w:val="auto"/>
          <w:sz w:val="24"/>
          <w:szCs w:val="24"/>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jc w:val="center"/>
        <w:rPr>
          <w:rFonts w:hint="eastAsia" w:ascii="宋体" w:hAnsi="宋体" w:cs="黑体"/>
          <w:color w:val="auto"/>
          <w:sz w:val="24"/>
          <w:lang w:val="en-US" w:eastAsia="zh-CN" w:bidi="ar"/>
        </w:rPr>
      </w:pPr>
      <w:r>
        <w:rPr>
          <w:rFonts w:hint="eastAsia" w:ascii="宋体" w:hAnsi="宋体" w:cs="黑体"/>
          <w:color w:val="auto"/>
          <w:sz w:val="24"/>
          <w:lang w:bidi="ar"/>
        </w:rPr>
        <w:t>（</w:t>
      </w:r>
      <w:r>
        <w:rPr>
          <w:rFonts w:hint="eastAsia" w:ascii="宋体" w:hAnsi="宋体" w:cs="黑体"/>
          <w:color w:val="auto"/>
          <w:sz w:val="24"/>
          <w:lang w:val="en-US" w:eastAsia="zh-CN" w:bidi="ar"/>
        </w:rPr>
        <w:t>三</w:t>
      </w:r>
      <w:r>
        <w:rPr>
          <w:rFonts w:hint="eastAsia" w:ascii="宋体" w:hAnsi="宋体" w:cs="黑体"/>
          <w:color w:val="auto"/>
          <w:sz w:val="24"/>
          <w:lang w:bidi="ar"/>
        </w:rPr>
        <w:t>）</w:t>
      </w:r>
      <w:r>
        <w:rPr>
          <w:rFonts w:hint="eastAsia" w:ascii="宋体" w:hAnsi="宋体" w:cs="黑体"/>
          <w:color w:val="auto"/>
          <w:sz w:val="24"/>
          <w:lang w:val="en-US" w:eastAsia="zh-CN" w:bidi="ar"/>
        </w:rPr>
        <w:t>质量、安全、环境体系认证</w:t>
      </w:r>
    </w:p>
    <w:p>
      <w:pPr>
        <w:rPr>
          <w:rFonts w:hint="default"/>
          <w:color w:val="auto"/>
          <w:lang w:val="en-US" w:eastAsia="zh-CN"/>
        </w:rPr>
      </w:pPr>
    </w:p>
    <w:p>
      <w:pPr>
        <w:rPr>
          <w:rFonts w:hint="eastAsia" w:ascii="宋体" w:hAnsi="宋体" w:eastAsia="宋体"/>
          <w:color w:val="auto"/>
          <w:sz w:val="24"/>
          <w:szCs w:val="24"/>
          <w:lang w:eastAsia="zh-CN"/>
        </w:rPr>
      </w:pPr>
      <w:r>
        <w:rPr>
          <w:rFonts w:hint="eastAsia" w:ascii="宋体" w:hAnsi="宋体" w:eastAsia="宋体"/>
          <w:color w:val="auto"/>
          <w:sz w:val="24"/>
          <w:szCs w:val="24"/>
          <w:lang w:eastAsia="zh-CN"/>
        </w:rPr>
        <w:br w:type="page"/>
      </w: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lang w:eastAsia="zh-CN"/>
        </w:rPr>
        <w:t>八</w:t>
      </w:r>
      <w:r>
        <w:rPr>
          <w:rFonts w:hint="eastAsia" w:ascii="宋体" w:hAnsi="宋体" w:cs="宋体"/>
          <w:b/>
          <w:color w:val="auto"/>
          <w:kern w:val="0"/>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spacing w:line="360" w:lineRule="auto"/>
        <w:jc w:val="center"/>
        <w:rPr>
          <w:rFonts w:hint="eastAsia" w:ascii="宋体" w:hAnsi="宋体" w:cs="宋体"/>
          <w:b/>
          <w:color w:val="auto"/>
          <w:kern w:val="0"/>
          <w:sz w:val="24"/>
          <w:szCs w:val="24"/>
        </w:rPr>
      </w:pPr>
      <w:r>
        <w:rPr>
          <w:rFonts w:hint="eastAsia" w:ascii="宋体" w:hAnsi="宋体" w:cs="宋体"/>
          <w:b/>
          <w:color w:val="auto"/>
          <w:kern w:val="0"/>
          <w:sz w:val="24"/>
          <w:szCs w:val="24"/>
          <w:lang w:eastAsia="zh-CN"/>
        </w:rPr>
        <w:t>九</w:t>
      </w:r>
      <w:r>
        <w:rPr>
          <w:rFonts w:hint="eastAsia" w:ascii="宋体" w:hAnsi="宋体" w:cs="宋体"/>
          <w:b/>
          <w:color w:val="auto"/>
          <w:kern w:val="0"/>
          <w:sz w:val="24"/>
          <w:szCs w:val="24"/>
        </w:rPr>
        <w:t>、其他资料</w:t>
      </w:r>
    </w:p>
    <w:p>
      <w:pPr>
        <w:pStyle w:val="86"/>
        <w:tabs>
          <w:tab w:val="left" w:pos="9638"/>
        </w:tabs>
        <w:spacing w:line="360" w:lineRule="auto"/>
        <w:ind w:right="-82" w:firstLine="472" w:firstLineChars="196"/>
        <w:outlineLvl w:val="9"/>
        <w:rPr>
          <w:rFonts w:ascii="宋体" w:hAnsi="宋体"/>
          <w:b/>
          <w:color w:val="auto"/>
          <w:sz w:val="24"/>
          <w:szCs w:val="24"/>
        </w:rPr>
      </w:pPr>
      <w:bookmarkStart w:id="50" w:name="_Toc11382"/>
      <w:r>
        <w:rPr>
          <w:rFonts w:hint="eastAsia" w:ascii="宋体" w:hAnsi="宋体"/>
          <w:b/>
          <w:color w:val="auto"/>
          <w:sz w:val="24"/>
          <w:szCs w:val="24"/>
        </w:rPr>
        <w:t>供应商认为需要加以说明的其他内容和需要提供的证明文件</w:t>
      </w:r>
      <w:bookmarkEnd w:id="50"/>
    </w:p>
    <w:p>
      <w:pPr>
        <w:pStyle w:val="86"/>
        <w:tabs>
          <w:tab w:val="left" w:pos="9638"/>
        </w:tabs>
        <w:spacing w:line="360" w:lineRule="auto"/>
        <w:ind w:right="-82" w:firstLine="472" w:firstLineChars="196"/>
        <w:outlineLvl w:val="9"/>
        <w:rPr>
          <w:rFonts w:ascii="宋体" w:hAnsi="宋体"/>
          <w:b/>
          <w:color w:val="auto"/>
          <w:sz w:val="24"/>
          <w:szCs w:val="24"/>
        </w:rPr>
      </w:pPr>
      <w:bookmarkStart w:id="51" w:name="_Toc26771"/>
      <w:r>
        <w:rPr>
          <w:rFonts w:hint="eastAsia" w:ascii="宋体" w:hAnsi="宋体"/>
          <w:b/>
          <w:color w:val="auto"/>
          <w:sz w:val="24"/>
          <w:szCs w:val="24"/>
        </w:rPr>
        <w:t>1、……</w:t>
      </w:r>
      <w:bookmarkEnd w:id="51"/>
    </w:p>
    <w:p>
      <w:pPr>
        <w:pStyle w:val="86"/>
        <w:tabs>
          <w:tab w:val="left" w:pos="9638"/>
        </w:tabs>
        <w:spacing w:line="360" w:lineRule="auto"/>
        <w:ind w:right="-82" w:firstLine="472" w:firstLineChars="196"/>
        <w:outlineLvl w:val="9"/>
        <w:rPr>
          <w:rFonts w:ascii="宋体" w:hAnsi="宋体"/>
          <w:b/>
          <w:color w:val="auto"/>
          <w:sz w:val="24"/>
          <w:szCs w:val="24"/>
        </w:rPr>
      </w:pPr>
      <w:bookmarkStart w:id="52" w:name="_Toc14706"/>
      <w:r>
        <w:rPr>
          <w:rFonts w:hint="eastAsia" w:ascii="宋体" w:hAnsi="宋体"/>
          <w:b/>
          <w:color w:val="auto"/>
          <w:sz w:val="24"/>
          <w:szCs w:val="24"/>
        </w:rPr>
        <w:t>2、……</w:t>
      </w:r>
      <w:bookmarkEnd w:id="52"/>
    </w:p>
    <w:p>
      <w:pPr>
        <w:pStyle w:val="86"/>
        <w:tabs>
          <w:tab w:val="left" w:pos="9638"/>
        </w:tabs>
        <w:spacing w:line="360" w:lineRule="auto"/>
        <w:ind w:right="-82" w:firstLine="472" w:firstLineChars="196"/>
        <w:outlineLvl w:val="9"/>
        <w:rPr>
          <w:rFonts w:ascii="宋体" w:hAnsi="宋体"/>
          <w:color w:val="auto"/>
          <w:sz w:val="24"/>
          <w:szCs w:val="24"/>
        </w:rPr>
      </w:pPr>
      <w:bookmarkStart w:id="53" w:name="_Toc10594"/>
      <w:r>
        <w:rPr>
          <w:rFonts w:hint="eastAsia" w:ascii="宋体" w:hAnsi="宋体"/>
          <w:b/>
          <w:color w:val="auto"/>
          <w:sz w:val="24"/>
          <w:szCs w:val="24"/>
        </w:rPr>
        <w:t>3、……</w:t>
      </w:r>
      <w:bookmarkEnd w:id="53"/>
    </w:p>
    <w:p>
      <w:pPr>
        <w:spacing w:line="360" w:lineRule="auto"/>
        <w:outlineLvl w:val="9"/>
        <w:rPr>
          <w:rFonts w:ascii="宋体" w:hAnsi="宋体"/>
          <w:color w:val="auto"/>
          <w:sz w:val="24"/>
        </w:rPr>
      </w:pPr>
    </w:p>
    <w:p>
      <w:pPr>
        <w:pStyle w:val="2"/>
        <w:spacing w:before="0" w:line="360" w:lineRule="auto"/>
        <w:outlineLvl w:val="9"/>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p>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6"/>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6"/>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邹城市中心店镇鸿山村（时枣行村）东山流域综合治理工程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邹城市中心店镇乡村振兴路域(福美来内部路)环境提升工程重新磋商</w:t>
    </w:r>
    <w:r>
      <w:rPr>
        <w:rFonts w:hint="eastAsia" w:ascii="宋体" w:hAnsi="宋体" w:cs="宋体"/>
        <w:b/>
        <w:bCs/>
        <w:kern w:val="0"/>
        <w:sz w:val="18"/>
        <w:szCs w:val="18"/>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邹城市中心店镇乡村振兴路域(福美来内部路)环境提升工程重新磋商</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sz w:val="15"/>
        <w:szCs w:val="15"/>
      </w:rPr>
    </w:pPr>
    <w:r>
      <w:rPr>
        <w:rFonts w:hint="eastAsia" w:ascii="宋体" w:hAnsi="宋体" w:cs="宋体"/>
        <w:kern w:val="0"/>
        <w:sz w:val="18"/>
        <w:szCs w:val="18"/>
        <w:lang w:eastAsia="zh-CN"/>
      </w:rPr>
      <w:t>邹城市中心店镇乡村振兴路域(福美来内部路)环境提升工程重新磋商</w:t>
    </w:r>
    <w:r>
      <w:rPr>
        <w:rFonts w:hint="eastAsia" w:ascii="宋体" w:hAnsi="宋体" w:cs="宋体"/>
        <w:kern w:val="0"/>
        <w:sz w:val="18"/>
        <w:szCs w:val="18"/>
      </w:rPr>
      <w:t>竞争性磋商文件</w:t>
    </w:r>
  </w:p>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TEzMjY5MWNkMzFkNGZhODAwYzMyNmNjYzBhNDU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9D4"/>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126006"/>
    <w:rsid w:val="019E15FA"/>
    <w:rsid w:val="01B140BF"/>
    <w:rsid w:val="01C04E49"/>
    <w:rsid w:val="01C56903"/>
    <w:rsid w:val="01E5130F"/>
    <w:rsid w:val="022E6ED6"/>
    <w:rsid w:val="024418C5"/>
    <w:rsid w:val="029F53A6"/>
    <w:rsid w:val="02D011EF"/>
    <w:rsid w:val="03333D73"/>
    <w:rsid w:val="034A70C0"/>
    <w:rsid w:val="03567E64"/>
    <w:rsid w:val="039558ED"/>
    <w:rsid w:val="03D8291E"/>
    <w:rsid w:val="03F82FC0"/>
    <w:rsid w:val="03F84D6E"/>
    <w:rsid w:val="040A2CF3"/>
    <w:rsid w:val="04247911"/>
    <w:rsid w:val="042B7EE6"/>
    <w:rsid w:val="04605389"/>
    <w:rsid w:val="04763EE5"/>
    <w:rsid w:val="04B055CA"/>
    <w:rsid w:val="04E84D70"/>
    <w:rsid w:val="04FE1B34"/>
    <w:rsid w:val="0530678A"/>
    <w:rsid w:val="056800F4"/>
    <w:rsid w:val="057559BC"/>
    <w:rsid w:val="0599432F"/>
    <w:rsid w:val="061061E5"/>
    <w:rsid w:val="064847BE"/>
    <w:rsid w:val="065937C6"/>
    <w:rsid w:val="068F04F2"/>
    <w:rsid w:val="06C63BCE"/>
    <w:rsid w:val="07024983"/>
    <w:rsid w:val="076D1F31"/>
    <w:rsid w:val="079F3753"/>
    <w:rsid w:val="082A74C0"/>
    <w:rsid w:val="083C60EB"/>
    <w:rsid w:val="085602B5"/>
    <w:rsid w:val="08707E74"/>
    <w:rsid w:val="09276FF5"/>
    <w:rsid w:val="099E1F14"/>
    <w:rsid w:val="0AAE262A"/>
    <w:rsid w:val="0B1427D5"/>
    <w:rsid w:val="0B612FC8"/>
    <w:rsid w:val="0BE935F9"/>
    <w:rsid w:val="0C24351A"/>
    <w:rsid w:val="0C5F1A85"/>
    <w:rsid w:val="0C6076EF"/>
    <w:rsid w:val="0C665AC7"/>
    <w:rsid w:val="0C727ABA"/>
    <w:rsid w:val="0C7358D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E10C23"/>
    <w:rsid w:val="0F256C33"/>
    <w:rsid w:val="0F647518"/>
    <w:rsid w:val="0F856841"/>
    <w:rsid w:val="0FE5157E"/>
    <w:rsid w:val="10054FA8"/>
    <w:rsid w:val="102E38C6"/>
    <w:rsid w:val="10865ABA"/>
    <w:rsid w:val="10AC68EA"/>
    <w:rsid w:val="10C304B2"/>
    <w:rsid w:val="10E802AE"/>
    <w:rsid w:val="11204641"/>
    <w:rsid w:val="112A6783"/>
    <w:rsid w:val="11A357F2"/>
    <w:rsid w:val="11AC7198"/>
    <w:rsid w:val="11EE5A02"/>
    <w:rsid w:val="121E62E8"/>
    <w:rsid w:val="124F64A1"/>
    <w:rsid w:val="12525F91"/>
    <w:rsid w:val="12580C2B"/>
    <w:rsid w:val="126D6927"/>
    <w:rsid w:val="12A367ED"/>
    <w:rsid w:val="12D22707"/>
    <w:rsid w:val="12F40DC0"/>
    <w:rsid w:val="1301085A"/>
    <w:rsid w:val="13036299"/>
    <w:rsid w:val="134F18E7"/>
    <w:rsid w:val="136046DE"/>
    <w:rsid w:val="136D7BB8"/>
    <w:rsid w:val="13A84EB1"/>
    <w:rsid w:val="13B04414"/>
    <w:rsid w:val="13BA0A3C"/>
    <w:rsid w:val="143B5416"/>
    <w:rsid w:val="1441006B"/>
    <w:rsid w:val="14493297"/>
    <w:rsid w:val="14562094"/>
    <w:rsid w:val="14825BBF"/>
    <w:rsid w:val="149C7709"/>
    <w:rsid w:val="14BD6CF8"/>
    <w:rsid w:val="14CA068E"/>
    <w:rsid w:val="14D346B7"/>
    <w:rsid w:val="14E10453"/>
    <w:rsid w:val="1509626B"/>
    <w:rsid w:val="150F3CC6"/>
    <w:rsid w:val="151D729A"/>
    <w:rsid w:val="152D05F0"/>
    <w:rsid w:val="152D61E3"/>
    <w:rsid w:val="15826B8D"/>
    <w:rsid w:val="158D3597"/>
    <w:rsid w:val="159B7C4F"/>
    <w:rsid w:val="15D96741"/>
    <w:rsid w:val="15F31839"/>
    <w:rsid w:val="1666200B"/>
    <w:rsid w:val="16C47BA4"/>
    <w:rsid w:val="16D25540"/>
    <w:rsid w:val="16F2389F"/>
    <w:rsid w:val="17020FAB"/>
    <w:rsid w:val="170F37A6"/>
    <w:rsid w:val="17525EE6"/>
    <w:rsid w:val="17A50911"/>
    <w:rsid w:val="17A728DB"/>
    <w:rsid w:val="17AC1CA0"/>
    <w:rsid w:val="17AF79E2"/>
    <w:rsid w:val="17BF5E77"/>
    <w:rsid w:val="180050FE"/>
    <w:rsid w:val="18EB2DBB"/>
    <w:rsid w:val="18F0565A"/>
    <w:rsid w:val="18F16CB3"/>
    <w:rsid w:val="18FB47B8"/>
    <w:rsid w:val="1901426D"/>
    <w:rsid w:val="191504FB"/>
    <w:rsid w:val="195919B3"/>
    <w:rsid w:val="19765977"/>
    <w:rsid w:val="1A07140F"/>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A84CB7"/>
    <w:rsid w:val="1DE2466D"/>
    <w:rsid w:val="1E430E84"/>
    <w:rsid w:val="1E737A66"/>
    <w:rsid w:val="1ED6699E"/>
    <w:rsid w:val="1EEC5078"/>
    <w:rsid w:val="1F1076B4"/>
    <w:rsid w:val="1F3D35AB"/>
    <w:rsid w:val="1F3E3BDF"/>
    <w:rsid w:val="1F48203A"/>
    <w:rsid w:val="1F883474"/>
    <w:rsid w:val="1FA21CAE"/>
    <w:rsid w:val="1FAD782F"/>
    <w:rsid w:val="1FE62B6D"/>
    <w:rsid w:val="202109D2"/>
    <w:rsid w:val="204C132C"/>
    <w:rsid w:val="2068152D"/>
    <w:rsid w:val="20820AF5"/>
    <w:rsid w:val="209239FD"/>
    <w:rsid w:val="209C689A"/>
    <w:rsid w:val="21093654"/>
    <w:rsid w:val="21B376AD"/>
    <w:rsid w:val="229879F0"/>
    <w:rsid w:val="22C03E97"/>
    <w:rsid w:val="22CF718A"/>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C12DBA"/>
    <w:rsid w:val="25D9247A"/>
    <w:rsid w:val="2629450F"/>
    <w:rsid w:val="26451DBB"/>
    <w:rsid w:val="26C568DA"/>
    <w:rsid w:val="26D24163"/>
    <w:rsid w:val="26D5059B"/>
    <w:rsid w:val="26D818A9"/>
    <w:rsid w:val="273D0B66"/>
    <w:rsid w:val="27461ED6"/>
    <w:rsid w:val="27791B20"/>
    <w:rsid w:val="27870033"/>
    <w:rsid w:val="279B2A28"/>
    <w:rsid w:val="28441A80"/>
    <w:rsid w:val="28E8466A"/>
    <w:rsid w:val="290C5E08"/>
    <w:rsid w:val="29945D79"/>
    <w:rsid w:val="29997CC5"/>
    <w:rsid w:val="29AC7A30"/>
    <w:rsid w:val="29C130D3"/>
    <w:rsid w:val="2A080115"/>
    <w:rsid w:val="2A5306A1"/>
    <w:rsid w:val="2A6C1915"/>
    <w:rsid w:val="2A762340"/>
    <w:rsid w:val="2A810E15"/>
    <w:rsid w:val="2A986A3E"/>
    <w:rsid w:val="2ABC7FF4"/>
    <w:rsid w:val="2AC86999"/>
    <w:rsid w:val="2B0326F5"/>
    <w:rsid w:val="2B4F2E3B"/>
    <w:rsid w:val="2B7B0043"/>
    <w:rsid w:val="2BDF043E"/>
    <w:rsid w:val="2BEE242F"/>
    <w:rsid w:val="2C040291"/>
    <w:rsid w:val="2C191F5E"/>
    <w:rsid w:val="2C26606D"/>
    <w:rsid w:val="2C3B686F"/>
    <w:rsid w:val="2C673F8F"/>
    <w:rsid w:val="2C6B7F24"/>
    <w:rsid w:val="2C8B1087"/>
    <w:rsid w:val="2CD47877"/>
    <w:rsid w:val="2CDE24A4"/>
    <w:rsid w:val="2CF73565"/>
    <w:rsid w:val="2D26209C"/>
    <w:rsid w:val="2DCA5DCE"/>
    <w:rsid w:val="2DE7182C"/>
    <w:rsid w:val="2E032D5E"/>
    <w:rsid w:val="2E104B78"/>
    <w:rsid w:val="2E177139"/>
    <w:rsid w:val="2E461810"/>
    <w:rsid w:val="2EC102CF"/>
    <w:rsid w:val="2EFA4B83"/>
    <w:rsid w:val="2F44231D"/>
    <w:rsid w:val="2F921775"/>
    <w:rsid w:val="2FA33530"/>
    <w:rsid w:val="300B1B55"/>
    <w:rsid w:val="300C27FE"/>
    <w:rsid w:val="30455EAC"/>
    <w:rsid w:val="31244B45"/>
    <w:rsid w:val="31344570"/>
    <w:rsid w:val="313A6116"/>
    <w:rsid w:val="31BC6B2B"/>
    <w:rsid w:val="321112EA"/>
    <w:rsid w:val="32747D62"/>
    <w:rsid w:val="32AC3044"/>
    <w:rsid w:val="32B06230"/>
    <w:rsid w:val="32F04CDF"/>
    <w:rsid w:val="32FB3683"/>
    <w:rsid w:val="331B50EC"/>
    <w:rsid w:val="33410DFB"/>
    <w:rsid w:val="3344327C"/>
    <w:rsid w:val="33E721A0"/>
    <w:rsid w:val="34220587"/>
    <w:rsid w:val="344A2B14"/>
    <w:rsid w:val="346C4839"/>
    <w:rsid w:val="34B234AB"/>
    <w:rsid w:val="34BA1A48"/>
    <w:rsid w:val="34EB7E53"/>
    <w:rsid w:val="34F4322C"/>
    <w:rsid w:val="350606FD"/>
    <w:rsid w:val="3511416E"/>
    <w:rsid w:val="35C93186"/>
    <w:rsid w:val="3606477F"/>
    <w:rsid w:val="363475D8"/>
    <w:rsid w:val="3663145F"/>
    <w:rsid w:val="36AA33F6"/>
    <w:rsid w:val="370E7E29"/>
    <w:rsid w:val="375B3D1D"/>
    <w:rsid w:val="37757EA8"/>
    <w:rsid w:val="379F4F25"/>
    <w:rsid w:val="37DB37D6"/>
    <w:rsid w:val="382A2DCE"/>
    <w:rsid w:val="384D672F"/>
    <w:rsid w:val="38537B36"/>
    <w:rsid w:val="38650971"/>
    <w:rsid w:val="39496958"/>
    <w:rsid w:val="397F500E"/>
    <w:rsid w:val="398919E9"/>
    <w:rsid w:val="39BE5599"/>
    <w:rsid w:val="3A146373"/>
    <w:rsid w:val="3A4A2EE1"/>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03103"/>
    <w:rsid w:val="3D8C5F4C"/>
    <w:rsid w:val="3DA83EFA"/>
    <w:rsid w:val="3E616E13"/>
    <w:rsid w:val="3EB5661C"/>
    <w:rsid w:val="3EC87EDC"/>
    <w:rsid w:val="3EEC6A1B"/>
    <w:rsid w:val="3F040E29"/>
    <w:rsid w:val="3F1433ED"/>
    <w:rsid w:val="3F2A5A1C"/>
    <w:rsid w:val="3F702F92"/>
    <w:rsid w:val="3F762A0F"/>
    <w:rsid w:val="3F9C49E9"/>
    <w:rsid w:val="3FB94B3D"/>
    <w:rsid w:val="3FD54206"/>
    <w:rsid w:val="3FD72405"/>
    <w:rsid w:val="40B70141"/>
    <w:rsid w:val="41656898"/>
    <w:rsid w:val="41FB6721"/>
    <w:rsid w:val="42DE4A51"/>
    <w:rsid w:val="42F20DCB"/>
    <w:rsid w:val="4332119D"/>
    <w:rsid w:val="434864E2"/>
    <w:rsid w:val="438B2456"/>
    <w:rsid w:val="439873F8"/>
    <w:rsid w:val="43D56439"/>
    <w:rsid w:val="43F26D23"/>
    <w:rsid w:val="4436276D"/>
    <w:rsid w:val="443D7EE2"/>
    <w:rsid w:val="44676DCB"/>
    <w:rsid w:val="446E7B78"/>
    <w:rsid w:val="4471488C"/>
    <w:rsid w:val="449D27EC"/>
    <w:rsid w:val="44D22496"/>
    <w:rsid w:val="44DF4BB3"/>
    <w:rsid w:val="451B7A9E"/>
    <w:rsid w:val="45410E18"/>
    <w:rsid w:val="45725A27"/>
    <w:rsid w:val="45BC6EF2"/>
    <w:rsid w:val="45DF7DD0"/>
    <w:rsid w:val="4626062E"/>
    <w:rsid w:val="472509C6"/>
    <w:rsid w:val="474A4216"/>
    <w:rsid w:val="478B1E23"/>
    <w:rsid w:val="480F1C53"/>
    <w:rsid w:val="481855B1"/>
    <w:rsid w:val="481A3696"/>
    <w:rsid w:val="4922622C"/>
    <w:rsid w:val="496C529A"/>
    <w:rsid w:val="49BC6688"/>
    <w:rsid w:val="49E35145"/>
    <w:rsid w:val="4A2861F7"/>
    <w:rsid w:val="4A2D5CBA"/>
    <w:rsid w:val="4A727F0E"/>
    <w:rsid w:val="4A851654"/>
    <w:rsid w:val="4AAB79E7"/>
    <w:rsid w:val="4AD20BCB"/>
    <w:rsid w:val="4AF51685"/>
    <w:rsid w:val="4AF616DD"/>
    <w:rsid w:val="4B470965"/>
    <w:rsid w:val="4B550211"/>
    <w:rsid w:val="4B554952"/>
    <w:rsid w:val="4B637C0F"/>
    <w:rsid w:val="4B70165E"/>
    <w:rsid w:val="4B860BDD"/>
    <w:rsid w:val="4C235CCD"/>
    <w:rsid w:val="4C34144D"/>
    <w:rsid w:val="4C676045"/>
    <w:rsid w:val="4CD2389B"/>
    <w:rsid w:val="4CD52B3A"/>
    <w:rsid w:val="4CE94821"/>
    <w:rsid w:val="4CEE3060"/>
    <w:rsid w:val="4CFE492A"/>
    <w:rsid w:val="4D425ABB"/>
    <w:rsid w:val="4DC60A73"/>
    <w:rsid w:val="4DD77BBE"/>
    <w:rsid w:val="4DE11B7D"/>
    <w:rsid w:val="4E3F065B"/>
    <w:rsid w:val="4EA01857"/>
    <w:rsid w:val="4EBB6B08"/>
    <w:rsid w:val="4ECA7876"/>
    <w:rsid w:val="4EDE26B2"/>
    <w:rsid w:val="4F2C6C47"/>
    <w:rsid w:val="4F3E483D"/>
    <w:rsid w:val="4F846A83"/>
    <w:rsid w:val="4FAE3B00"/>
    <w:rsid w:val="4FBC5295"/>
    <w:rsid w:val="4FFA40C6"/>
    <w:rsid w:val="500C47D7"/>
    <w:rsid w:val="504137C0"/>
    <w:rsid w:val="50850D04"/>
    <w:rsid w:val="508E75C7"/>
    <w:rsid w:val="50EB7742"/>
    <w:rsid w:val="50EF2622"/>
    <w:rsid w:val="512C73D2"/>
    <w:rsid w:val="51792F7D"/>
    <w:rsid w:val="518615D6"/>
    <w:rsid w:val="51C97887"/>
    <w:rsid w:val="51D51447"/>
    <w:rsid w:val="51F0603B"/>
    <w:rsid w:val="520B6FE7"/>
    <w:rsid w:val="5272350A"/>
    <w:rsid w:val="528A2602"/>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604091D"/>
    <w:rsid w:val="560C32E1"/>
    <w:rsid w:val="56325F75"/>
    <w:rsid w:val="56496330"/>
    <w:rsid w:val="56B10B5F"/>
    <w:rsid w:val="56C109C9"/>
    <w:rsid w:val="56C1236A"/>
    <w:rsid w:val="56D44B7D"/>
    <w:rsid w:val="56F25234"/>
    <w:rsid w:val="572528F9"/>
    <w:rsid w:val="57914155"/>
    <w:rsid w:val="57C65BAE"/>
    <w:rsid w:val="58070251"/>
    <w:rsid w:val="58736890"/>
    <w:rsid w:val="58A91308"/>
    <w:rsid w:val="58B336C6"/>
    <w:rsid w:val="58D72319"/>
    <w:rsid w:val="59181005"/>
    <w:rsid w:val="591F6673"/>
    <w:rsid w:val="597E384D"/>
    <w:rsid w:val="5993342B"/>
    <w:rsid w:val="5994085A"/>
    <w:rsid w:val="59C04B5B"/>
    <w:rsid w:val="59C61F2F"/>
    <w:rsid w:val="59D8203F"/>
    <w:rsid w:val="59DE4FE1"/>
    <w:rsid w:val="5A2450EA"/>
    <w:rsid w:val="5A640128"/>
    <w:rsid w:val="5A811902"/>
    <w:rsid w:val="5A903350"/>
    <w:rsid w:val="5A92474A"/>
    <w:rsid w:val="5AE825BC"/>
    <w:rsid w:val="5B5872DB"/>
    <w:rsid w:val="5B8017FE"/>
    <w:rsid w:val="5B9D08B5"/>
    <w:rsid w:val="5BA25330"/>
    <w:rsid w:val="5BD1511E"/>
    <w:rsid w:val="5BE036DF"/>
    <w:rsid w:val="5C0B3B2B"/>
    <w:rsid w:val="5C4E05A1"/>
    <w:rsid w:val="5C5F1839"/>
    <w:rsid w:val="5CD71A0A"/>
    <w:rsid w:val="5CF22818"/>
    <w:rsid w:val="5CFD6159"/>
    <w:rsid w:val="5D250B83"/>
    <w:rsid w:val="5D296AE2"/>
    <w:rsid w:val="5D4C4DAB"/>
    <w:rsid w:val="5D8E0D0F"/>
    <w:rsid w:val="5E0A2761"/>
    <w:rsid w:val="5E8B0E48"/>
    <w:rsid w:val="5EE60DC2"/>
    <w:rsid w:val="5EFD0600"/>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F7246A"/>
    <w:rsid w:val="6200079A"/>
    <w:rsid w:val="62BC57C9"/>
    <w:rsid w:val="62E0001C"/>
    <w:rsid w:val="632170F5"/>
    <w:rsid w:val="63275C4B"/>
    <w:rsid w:val="638A36D6"/>
    <w:rsid w:val="639F1C85"/>
    <w:rsid w:val="63A67F77"/>
    <w:rsid w:val="63C60C97"/>
    <w:rsid w:val="64663B6A"/>
    <w:rsid w:val="64666967"/>
    <w:rsid w:val="64925346"/>
    <w:rsid w:val="655B1BDC"/>
    <w:rsid w:val="65685219"/>
    <w:rsid w:val="65951AAE"/>
    <w:rsid w:val="65982E30"/>
    <w:rsid w:val="65C0487F"/>
    <w:rsid w:val="667F1AEE"/>
    <w:rsid w:val="66A55805"/>
    <w:rsid w:val="66DB3793"/>
    <w:rsid w:val="66E07D38"/>
    <w:rsid w:val="66ED36D5"/>
    <w:rsid w:val="670723FC"/>
    <w:rsid w:val="672227C4"/>
    <w:rsid w:val="676254A4"/>
    <w:rsid w:val="67954F6E"/>
    <w:rsid w:val="67F307F2"/>
    <w:rsid w:val="67F330AB"/>
    <w:rsid w:val="683055A2"/>
    <w:rsid w:val="68B95F59"/>
    <w:rsid w:val="68BB130F"/>
    <w:rsid w:val="68CA3301"/>
    <w:rsid w:val="68FB2328"/>
    <w:rsid w:val="691C1F18"/>
    <w:rsid w:val="69213601"/>
    <w:rsid w:val="692C3EF9"/>
    <w:rsid w:val="699679EB"/>
    <w:rsid w:val="6A205AF9"/>
    <w:rsid w:val="6A30723E"/>
    <w:rsid w:val="6A9667FA"/>
    <w:rsid w:val="6ABE4125"/>
    <w:rsid w:val="6B054AC4"/>
    <w:rsid w:val="6B0D1EB5"/>
    <w:rsid w:val="6B422D37"/>
    <w:rsid w:val="6B58349A"/>
    <w:rsid w:val="6C1B3E73"/>
    <w:rsid w:val="6C3D3BF8"/>
    <w:rsid w:val="6C551158"/>
    <w:rsid w:val="6C7F5930"/>
    <w:rsid w:val="6C8A14E3"/>
    <w:rsid w:val="6C8E0AE9"/>
    <w:rsid w:val="6D5A4DC3"/>
    <w:rsid w:val="6D746183"/>
    <w:rsid w:val="6DF42BCE"/>
    <w:rsid w:val="6E090B60"/>
    <w:rsid w:val="6E315BD0"/>
    <w:rsid w:val="6E331D73"/>
    <w:rsid w:val="6E361220"/>
    <w:rsid w:val="6E3A0F94"/>
    <w:rsid w:val="6E656967"/>
    <w:rsid w:val="6E701D92"/>
    <w:rsid w:val="6E9B274D"/>
    <w:rsid w:val="6E9F0223"/>
    <w:rsid w:val="6EA01116"/>
    <w:rsid w:val="6EAF0AA9"/>
    <w:rsid w:val="6F5F0599"/>
    <w:rsid w:val="6F601137"/>
    <w:rsid w:val="6F7E6554"/>
    <w:rsid w:val="6F9117CD"/>
    <w:rsid w:val="6F9D0A75"/>
    <w:rsid w:val="6FE90965"/>
    <w:rsid w:val="700F79D5"/>
    <w:rsid w:val="701E44BC"/>
    <w:rsid w:val="70B60CB2"/>
    <w:rsid w:val="71436346"/>
    <w:rsid w:val="71D56BD0"/>
    <w:rsid w:val="71E07AB4"/>
    <w:rsid w:val="721E4A97"/>
    <w:rsid w:val="72395053"/>
    <w:rsid w:val="72452668"/>
    <w:rsid w:val="726B5B54"/>
    <w:rsid w:val="7305535E"/>
    <w:rsid w:val="730862A0"/>
    <w:rsid w:val="731107FB"/>
    <w:rsid w:val="73316377"/>
    <w:rsid w:val="735132C1"/>
    <w:rsid w:val="73593BFF"/>
    <w:rsid w:val="73634A7D"/>
    <w:rsid w:val="73AB0A9F"/>
    <w:rsid w:val="74021DFF"/>
    <w:rsid w:val="740B53A5"/>
    <w:rsid w:val="741E120C"/>
    <w:rsid w:val="744A3547"/>
    <w:rsid w:val="747458D7"/>
    <w:rsid w:val="747A1CEA"/>
    <w:rsid w:val="74A120DE"/>
    <w:rsid w:val="74AF2F5D"/>
    <w:rsid w:val="74B135C7"/>
    <w:rsid w:val="74D81899"/>
    <w:rsid w:val="75360521"/>
    <w:rsid w:val="759172D9"/>
    <w:rsid w:val="75F97E8B"/>
    <w:rsid w:val="76016CFA"/>
    <w:rsid w:val="765A667E"/>
    <w:rsid w:val="765B2D19"/>
    <w:rsid w:val="76F77834"/>
    <w:rsid w:val="775C0B69"/>
    <w:rsid w:val="78565C9F"/>
    <w:rsid w:val="786C6182"/>
    <w:rsid w:val="786E3E8C"/>
    <w:rsid w:val="7894368C"/>
    <w:rsid w:val="789A1CB7"/>
    <w:rsid w:val="789C44F8"/>
    <w:rsid w:val="78F30652"/>
    <w:rsid w:val="792C6F50"/>
    <w:rsid w:val="79861A7E"/>
    <w:rsid w:val="799D05BD"/>
    <w:rsid w:val="79B2476E"/>
    <w:rsid w:val="79BF0534"/>
    <w:rsid w:val="79E507F1"/>
    <w:rsid w:val="79F4601C"/>
    <w:rsid w:val="79FA5CDF"/>
    <w:rsid w:val="7A0922E4"/>
    <w:rsid w:val="7A31700D"/>
    <w:rsid w:val="7A590988"/>
    <w:rsid w:val="7A613399"/>
    <w:rsid w:val="7A95503E"/>
    <w:rsid w:val="7AB6477F"/>
    <w:rsid w:val="7AB67B89"/>
    <w:rsid w:val="7AC51B7A"/>
    <w:rsid w:val="7B166879"/>
    <w:rsid w:val="7B211412"/>
    <w:rsid w:val="7B352E44"/>
    <w:rsid w:val="7B676657"/>
    <w:rsid w:val="7B7850B5"/>
    <w:rsid w:val="7BC657CB"/>
    <w:rsid w:val="7C3A6597"/>
    <w:rsid w:val="7C5337BC"/>
    <w:rsid w:val="7C773348"/>
    <w:rsid w:val="7CB41EA6"/>
    <w:rsid w:val="7CBC5715"/>
    <w:rsid w:val="7D222FEF"/>
    <w:rsid w:val="7D2304AB"/>
    <w:rsid w:val="7D457DF7"/>
    <w:rsid w:val="7D7653AD"/>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6"/>
    <w:qFormat/>
    <w:uiPriority w:val="0"/>
    <w:pPr>
      <w:keepNext/>
      <w:keepLines/>
      <w:spacing w:line="360" w:lineRule="auto"/>
      <w:outlineLvl w:val="2"/>
    </w:pPr>
    <w:rPr>
      <w:b/>
      <w:bCs/>
      <w:sz w:val="24"/>
      <w:szCs w:val="32"/>
    </w:rPr>
  </w:style>
  <w:style w:type="paragraph" w:styleId="6">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7"/>
    <w:qFormat/>
    <w:uiPriority w:val="0"/>
    <w:pPr>
      <w:shd w:val="clear" w:color="auto" w:fill="000080"/>
    </w:p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5"/>
    <w:link w:val="61"/>
    <w:qFormat/>
    <w:uiPriority w:val="0"/>
    <w:rPr>
      <w:rFonts w:ascii="宋体" w:hAnsiTheme="minorHAnsi" w:cstheme="minorBidi"/>
      <w:sz w:val="32"/>
      <w:szCs w:val="22"/>
    </w:rPr>
  </w:style>
  <w:style w:type="paragraph" w:styleId="15">
    <w:name w:val="Body Text 2"/>
    <w:basedOn w:val="1"/>
    <w:next w:val="1"/>
    <w:link w:val="103"/>
    <w:qFormat/>
    <w:uiPriority w:val="0"/>
    <w:rPr>
      <w:rFonts w:ascii="宋体" w:hAnsi="宋体"/>
      <w:b/>
      <w:bCs/>
      <w:sz w:val="24"/>
    </w:rPr>
  </w:style>
  <w:style w:type="paragraph" w:styleId="16">
    <w:name w:val="Body Text Indent"/>
    <w:basedOn w:val="1"/>
    <w:link w:val="68"/>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4"/>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6"/>
    <w:qFormat/>
    <w:uiPriority w:val="0"/>
    <w:rPr>
      <w:rFonts w:asciiTheme="minorHAnsi" w:hAnsiTheme="minorHAnsi" w:cstheme="minorBidi"/>
      <w:szCs w:val="22"/>
    </w:rPr>
  </w:style>
  <w:style w:type="paragraph" w:styleId="22">
    <w:name w:val="Body Text Indent 2"/>
    <w:basedOn w:val="1"/>
    <w:next w:val="23"/>
    <w:link w:val="74"/>
    <w:qFormat/>
    <w:uiPriority w:val="0"/>
    <w:pPr>
      <w:ind w:left="-178" w:leftChars="-85" w:firstLine="739" w:firstLineChars="264"/>
      <w:jc w:val="left"/>
    </w:pPr>
    <w:rPr>
      <w:rFonts w:ascii="宋体"/>
      <w:sz w:val="28"/>
    </w:rPr>
  </w:style>
  <w:style w:type="paragraph" w:customStyle="1" w:styleId="23">
    <w:name w:val="reader-word-layer reader-word-s46-2"/>
    <w:basedOn w:val="1"/>
    <w:next w:val="24"/>
    <w:qFormat/>
    <w:uiPriority w:val="0"/>
    <w:pPr>
      <w:widowControl/>
      <w:spacing w:before="280" w:after="280"/>
      <w:jc w:val="both"/>
    </w:pPr>
    <w:rPr>
      <w:rFonts w:ascii="宋体"/>
      <w:sz w:val="24"/>
    </w:rPr>
  </w:style>
  <w:style w:type="paragraph" w:customStyle="1" w:styleId="24">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5">
    <w:name w:val="Balloon Text"/>
    <w:basedOn w:val="1"/>
    <w:link w:val="70"/>
    <w:qFormat/>
    <w:uiPriority w:val="0"/>
    <w:rPr>
      <w:rFonts w:asciiTheme="minorHAnsi" w:hAnsiTheme="minorHAnsi" w:cstheme="minorBidi"/>
      <w:sz w:val="18"/>
      <w:szCs w:val="18"/>
    </w:rPr>
  </w:style>
  <w:style w:type="paragraph" w:styleId="26">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2"/>
    <w:next w:val="1"/>
    <w:qFormat/>
    <w:uiPriority w:val="0"/>
    <w:pPr>
      <w:spacing w:after="120"/>
      <w:jc w:val="left"/>
    </w:pPr>
    <w:rPr>
      <w:rFonts w:ascii="Times New Roman" w:hAnsi="Times New Roman"/>
      <w:b/>
      <w:bCs/>
      <w:caps/>
      <w:sz w:val="20"/>
    </w:rPr>
  </w:style>
  <w:style w:type="paragraph" w:styleId="29">
    <w:name w:val="toc 4"/>
    <w:basedOn w:val="1"/>
    <w:next w:val="1"/>
    <w:semiHidden/>
    <w:qFormat/>
    <w:uiPriority w:val="0"/>
    <w:pPr>
      <w:ind w:left="630"/>
      <w:jc w:val="left"/>
    </w:pPr>
    <w:rPr>
      <w:sz w:val="18"/>
      <w:szCs w:val="18"/>
    </w:rPr>
  </w:style>
  <w:style w:type="paragraph" w:styleId="30">
    <w:name w:val="List"/>
    <w:basedOn w:val="1"/>
    <w:qFormat/>
    <w:uiPriority w:val="0"/>
    <w:pPr>
      <w:ind w:left="420" w:hanging="420"/>
    </w:pPr>
    <w:rPr>
      <w:szCs w:val="20"/>
      <w:lang w:bidi="he-IL"/>
    </w:rPr>
  </w:style>
  <w:style w:type="paragraph" w:styleId="31">
    <w:name w:val="toc 6"/>
    <w:basedOn w:val="1"/>
    <w:next w:val="1"/>
    <w:qFormat/>
    <w:uiPriority w:val="39"/>
    <w:pPr>
      <w:ind w:left="1050"/>
      <w:jc w:val="left"/>
    </w:pPr>
    <w:rPr>
      <w:sz w:val="18"/>
      <w:szCs w:val="18"/>
    </w:rPr>
  </w:style>
  <w:style w:type="paragraph" w:styleId="32">
    <w:name w:val="toc 2"/>
    <w:basedOn w:val="1"/>
    <w:next w:val="1"/>
    <w:qFormat/>
    <w:uiPriority w:val="0"/>
    <w:pPr>
      <w:ind w:left="210"/>
      <w:jc w:val="left"/>
    </w:pPr>
    <w:rPr>
      <w:smallCaps/>
      <w:sz w:val="20"/>
      <w:szCs w:val="20"/>
    </w:rPr>
  </w:style>
  <w:style w:type="paragraph" w:styleId="33">
    <w:name w:val="toc 9"/>
    <w:basedOn w:val="1"/>
    <w:next w:val="1"/>
    <w:semiHidden/>
    <w:qFormat/>
    <w:uiPriority w:val="0"/>
    <w:pPr>
      <w:ind w:left="1680"/>
      <w:jc w:val="left"/>
    </w:pPr>
    <w:rPr>
      <w:sz w:val="18"/>
      <w:szCs w:val="18"/>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1"/>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4"/>
    <w:qFormat/>
    <w:uiPriority w:val="0"/>
    <w:rPr>
      <w:rFonts w:ascii="Arial" w:hAnsi="Arial" w:eastAsia="黑体" w:cs="Times New Roman"/>
      <w:b/>
      <w:bCs/>
      <w:sz w:val="32"/>
      <w:szCs w:val="32"/>
    </w:rPr>
  </w:style>
  <w:style w:type="character" w:customStyle="1" w:styleId="56">
    <w:name w:val="标题 3 字符"/>
    <w:basedOn w:val="41"/>
    <w:link w:val="5"/>
    <w:qFormat/>
    <w:uiPriority w:val="0"/>
    <w:rPr>
      <w:rFonts w:ascii="Times New Roman" w:hAnsi="Times New Roman" w:eastAsia="宋体" w:cs="Times New Roman"/>
      <w:b/>
      <w:bCs/>
      <w:sz w:val="24"/>
      <w:szCs w:val="32"/>
    </w:rPr>
  </w:style>
  <w:style w:type="character" w:customStyle="1" w:styleId="57">
    <w:name w:val="标题 1 字符"/>
    <w:basedOn w:val="41"/>
    <w:link w:val="3"/>
    <w:qFormat/>
    <w:uiPriority w:val="0"/>
    <w:rPr>
      <w:rFonts w:ascii="Times New Roman" w:hAnsi="Times New Roman" w:eastAsia="宋体" w:cs="Times New Roman"/>
      <w:b/>
      <w:bCs/>
      <w:kern w:val="44"/>
      <w:sz w:val="44"/>
      <w:szCs w:val="44"/>
    </w:rPr>
  </w:style>
  <w:style w:type="character" w:customStyle="1" w:styleId="58">
    <w:name w:val="标题 4 字符"/>
    <w:basedOn w:val="41"/>
    <w:link w:val="6"/>
    <w:qFormat/>
    <w:uiPriority w:val="0"/>
    <w:rPr>
      <w:rFonts w:ascii="Arial" w:hAnsi="Arial" w:eastAsia="黑体" w:cs="Times New Roman"/>
      <w:b/>
      <w:bCs/>
      <w:sz w:val="28"/>
      <w:szCs w:val="28"/>
    </w:rPr>
  </w:style>
  <w:style w:type="character" w:customStyle="1" w:styleId="59">
    <w:name w:val="标题 5 字符"/>
    <w:basedOn w:val="41"/>
    <w:link w:val="7"/>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6"/>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9"/>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1"/>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6"/>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5"/>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2"/>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7"/>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10"/>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15"/>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33769</Words>
  <Characters>35384</Characters>
  <Lines>235</Lines>
  <Paragraphs>66</Paragraphs>
  <TotalTime>0</TotalTime>
  <ScaleCrop>false</ScaleCrop>
  <LinksUpToDate>false</LinksUpToDate>
  <CharactersWithSpaces>39164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知足常乐者</cp:lastModifiedBy>
  <cp:lastPrinted>2021-08-06T03:21:00Z</cp:lastPrinted>
  <dcterms:modified xsi:type="dcterms:W3CDTF">2023-08-28T01:43:36Z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AD1648F0CBD24630BBD3D76023BAECC2_13</vt:lpwstr>
  </property>
</Properties>
</file>