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widowControl/>
        <w:spacing w:after="0" w:line="460" w:lineRule="exact"/>
        <w:jc w:val="center"/>
        <w:rPr>
          <w:rFonts w:cs="Arial" w:asciiTheme="minorEastAsia" w:hAnsiTheme="minorEastAsia" w:eastAsiaTheme="minorEastAsia"/>
          <w:b/>
          <w:sz w:val="18"/>
          <w:szCs w:val="18"/>
          <w:highlight w:val="none"/>
          <w:shd w:val="clear" w:color="auto" w:fill="FFFFFF"/>
        </w:rPr>
      </w:pPr>
    </w:p>
    <w:p>
      <w:pPr>
        <w:pStyle w:val="21"/>
        <w:widowControl/>
        <w:spacing w:after="0" w:line="460" w:lineRule="exact"/>
        <w:jc w:val="center"/>
        <w:rPr>
          <w:rFonts w:cs="Arial" w:asciiTheme="minorEastAsia" w:hAnsiTheme="minorEastAsia" w:eastAsiaTheme="minorEastAsia"/>
          <w:b/>
          <w:sz w:val="18"/>
          <w:szCs w:val="18"/>
          <w:highlight w:val="none"/>
          <w:shd w:val="clear" w:color="auto" w:fill="FFFFFF"/>
        </w:rPr>
      </w:pPr>
    </w:p>
    <w:p>
      <w:pPr>
        <w:pStyle w:val="21"/>
        <w:spacing w:after="0" w:line="360" w:lineRule="auto"/>
        <w:jc w:val="center"/>
        <w:rPr>
          <w:sz w:val="22"/>
          <w:szCs w:val="32"/>
          <w:highlight w:val="none"/>
        </w:rPr>
      </w:pPr>
      <w:r>
        <w:rPr>
          <w:rFonts w:hint="eastAsia" w:cs="Arial" w:asciiTheme="minorEastAsia" w:hAnsiTheme="minorEastAsia" w:eastAsiaTheme="minorEastAsia"/>
          <w:b/>
          <w:sz w:val="52"/>
          <w:szCs w:val="52"/>
          <w:highlight w:val="none"/>
          <w:shd w:val="clear" w:color="auto" w:fill="FFFFFF"/>
          <w:lang w:eastAsia="zh-CN"/>
        </w:rPr>
        <w:t>邹城市凫山街道巷里社区沥青路面铺设及配套设施工程项目</w:t>
      </w:r>
    </w:p>
    <w:p>
      <w:pPr>
        <w:pStyle w:val="21"/>
        <w:spacing w:after="0" w:line="360" w:lineRule="auto"/>
        <w:jc w:val="center"/>
        <w:rPr>
          <w:sz w:val="20"/>
          <w:highlight w:val="none"/>
        </w:rPr>
      </w:pPr>
    </w:p>
    <w:p>
      <w:pPr>
        <w:pStyle w:val="21"/>
        <w:spacing w:after="0" w:line="360" w:lineRule="auto"/>
        <w:jc w:val="center"/>
        <w:rPr>
          <w:sz w:val="20"/>
          <w:highlight w:val="none"/>
        </w:rPr>
      </w:pPr>
    </w:p>
    <w:p>
      <w:pPr>
        <w:pStyle w:val="21"/>
        <w:spacing w:after="0" w:line="360" w:lineRule="auto"/>
        <w:jc w:val="center"/>
        <w:rPr>
          <w:sz w:val="20"/>
          <w:highlight w:val="none"/>
        </w:rPr>
      </w:pPr>
    </w:p>
    <w:p>
      <w:pPr>
        <w:pStyle w:val="21"/>
        <w:widowControl/>
        <w:spacing w:after="0" w:line="360" w:lineRule="auto"/>
        <w:jc w:val="center"/>
        <w:rPr>
          <w:rFonts w:ascii="Times New Roman" w:hAnsi="Times New Roman" w:eastAsia="黑体" w:cs="黑体"/>
          <w:b/>
          <w:sz w:val="72"/>
          <w:szCs w:val="72"/>
          <w:highlight w:val="none"/>
          <w:shd w:val="clear" w:color="auto" w:fill="FFFFFF"/>
        </w:rPr>
      </w:pPr>
      <w:r>
        <w:rPr>
          <w:rFonts w:hint="eastAsia" w:ascii="Times New Roman" w:hAnsi="Times New Roman" w:eastAsia="黑体" w:cs="黑体"/>
          <w:b/>
          <w:sz w:val="72"/>
          <w:szCs w:val="72"/>
          <w:highlight w:val="none"/>
          <w:shd w:val="clear" w:color="auto" w:fill="FFFFFF"/>
        </w:rPr>
        <w:t>竞争性谈判文件</w:t>
      </w:r>
    </w:p>
    <w:p>
      <w:pPr>
        <w:pStyle w:val="21"/>
        <w:widowControl/>
        <w:spacing w:after="0" w:line="360" w:lineRule="auto"/>
        <w:jc w:val="center"/>
        <w:rPr>
          <w:rFonts w:ascii="宋体" w:cs="宋体"/>
          <w:b/>
          <w:sz w:val="10"/>
          <w:szCs w:val="10"/>
          <w:highlight w:val="none"/>
          <w:shd w:val="clear" w:color="auto" w:fill="FFFFFF"/>
        </w:rPr>
      </w:pPr>
    </w:p>
    <w:p>
      <w:pPr>
        <w:pStyle w:val="44"/>
        <w:widowControl w:val="0"/>
        <w:spacing w:beforeAutospacing="0" w:afterAutospacing="0"/>
        <w:jc w:val="center"/>
        <w:rPr>
          <w:rFonts w:hint="eastAsia" w:asciiTheme="minorEastAsia" w:hAnsiTheme="minorEastAsia" w:eastAsiaTheme="minorEastAsia"/>
          <w:b/>
          <w:sz w:val="32"/>
          <w:szCs w:val="28"/>
          <w:highlight w:val="none"/>
          <w:lang w:eastAsia="zh-CN"/>
        </w:rPr>
      </w:pPr>
      <w:r>
        <w:rPr>
          <w:rFonts w:asciiTheme="minorEastAsia" w:hAnsiTheme="minorEastAsia" w:eastAsiaTheme="minorEastAsia"/>
          <w:b/>
          <w:sz w:val="32"/>
          <w:szCs w:val="28"/>
          <w:highlight w:val="none"/>
        </w:rPr>
        <w:t>项目编号：</w:t>
      </w:r>
      <w:r>
        <w:rPr>
          <w:rFonts w:hint="eastAsia" w:asciiTheme="minorEastAsia" w:hAnsiTheme="minorEastAsia" w:eastAsiaTheme="minorEastAsia"/>
          <w:b/>
          <w:sz w:val="32"/>
          <w:szCs w:val="28"/>
          <w:highlight w:val="none"/>
          <w:lang w:eastAsia="zh-CN"/>
        </w:rPr>
        <w:t>SDYJ2023-CG-006</w:t>
      </w:r>
    </w:p>
    <w:p>
      <w:pPr>
        <w:pStyle w:val="44"/>
        <w:widowControl w:val="0"/>
        <w:spacing w:beforeAutospacing="0" w:afterAutospacing="0"/>
        <w:jc w:val="center"/>
        <w:rPr>
          <w:rFonts w:hint="eastAsia" w:asciiTheme="minorEastAsia" w:hAnsiTheme="minorEastAsia" w:eastAsiaTheme="minorEastAsia"/>
          <w:b/>
          <w:sz w:val="32"/>
          <w:szCs w:val="28"/>
          <w:highlight w:val="none"/>
          <w:lang w:eastAsia="zh-CN"/>
        </w:rPr>
      </w:pPr>
    </w:p>
    <w:p>
      <w:pPr>
        <w:pStyle w:val="276"/>
        <w:widowControl/>
        <w:spacing w:line="360" w:lineRule="auto"/>
        <w:jc w:val="center"/>
        <w:rPr>
          <w:sz w:val="32"/>
          <w:highlight w:val="none"/>
        </w:rPr>
      </w:pPr>
      <w:r>
        <w:rPr>
          <w:highlight w:val="none"/>
        </w:rPr>
        <w:drawing>
          <wp:inline distT="0" distB="0" distL="114300" distR="114300">
            <wp:extent cx="2962910" cy="2327275"/>
            <wp:effectExtent l="0" t="0" r="889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962910" cy="2327275"/>
                    </a:xfrm>
                    <a:prstGeom prst="rect">
                      <a:avLst/>
                    </a:prstGeom>
                    <a:noFill/>
                    <a:ln>
                      <a:noFill/>
                    </a:ln>
                  </pic:spPr>
                </pic:pic>
              </a:graphicData>
            </a:graphic>
          </wp:inline>
        </w:drawing>
      </w:r>
    </w:p>
    <w:p>
      <w:pPr>
        <w:pStyle w:val="276"/>
        <w:widowControl/>
        <w:spacing w:line="360" w:lineRule="auto"/>
        <w:jc w:val="center"/>
        <w:rPr>
          <w:sz w:val="32"/>
          <w:highlight w:val="none"/>
        </w:rPr>
      </w:pPr>
    </w:p>
    <w:p>
      <w:pPr>
        <w:pStyle w:val="276"/>
        <w:widowControl/>
        <w:spacing w:line="360" w:lineRule="auto"/>
        <w:jc w:val="center"/>
        <w:rPr>
          <w:sz w:val="32"/>
          <w:highlight w:val="none"/>
        </w:rPr>
      </w:pPr>
    </w:p>
    <w:p>
      <w:pPr>
        <w:tabs>
          <w:tab w:val="left" w:pos="1135"/>
          <w:tab w:val="left" w:pos="5481"/>
          <w:tab w:val="left" w:pos="5859"/>
        </w:tabs>
        <w:spacing w:line="360" w:lineRule="auto"/>
        <w:ind w:left="1470" w:leftChars="700" w:firstLine="321" w:firstLineChars="100"/>
        <w:jc w:val="left"/>
        <w:rPr>
          <w:rFonts w:hint="eastAsia" w:cs="黑体" w:asciiTheme="minorEastAsia" w:hAnsiTheme="minorEastAsia" w:eastAsiaTheme="minorEastAsia"/>
          <w:b/>
          <w:sz w:val="32"/>
          <w:szCs w:val="32"/>
          <w:highlight w:val="none"/>
          <w:shd w:val="clear" w:color="auto" w:fill="FFFFFF"/>
          <w:lang w:eastAsia="zh-CN"/>
        </w:rPr>
      </w:pPr>
      <w:r>
        <w:rPr>
          <w:rFonts w:hint="eastAsia" w:cs="黑体" w:asciiTheme="minorEastAsia" w:hAnsiTheme="minorEastAsia"/>
          <w:b/>
          <w:sz w:val="32"/>
          <w:szCs w:val="32"/>
          <w:highlight w:val="none"/>
          <w:shd w:val="clear" w:color="auto" w:fill="FFFFFF"/>
        </w:rPr>
        <w:t>采  购  人：</w:t>
      </w:r>
      <w:r>
        <w:rPr>
          <w:rFonts w:hint="eastAsia" w:cs="黑体" w:asciiTheme="minorEastAsia" w:hAnsiTheme="minorEastAsia"/>
          <w:b/>
          <w:sz w:val="32"/>
          <w:szCs w:val="32"/>
          <w:highlight w:val="none"/>
          <w:shd w:val="clear" w:color="auto" w:fill="FFFFFF"/>
          <w:lang w:eastAsia="zh-CN"/>
        </w:rPr>
        <w:t>邹城市凫山街道巷里社区</w:t>
      </w:r>
    </w:p>
    <w:p>
      <w:pPr>
        <w:tabs>
          <w:tab w:val="left" w:pos="1135"/>
          <w:tab w:val="left" w:pos="5481"/>
          <w:tab w:val="left" w:pos="5859"/>
        </w:tabs>
        <w:spacing w:line="360" w:lineRule="auto"/>
        <w:ind w:left="1470" w:leftChars="700" w:firstLine="321" w:firstLineChars="100"/>
        <w:jc w:val="left"/>
        <w:rPr>
          <w:rFonts w:hint="eastAsia" w:asciiTheme="minorEastAsia" w:hAnsiTheme="minorEastAsia" w:eastAsiaTheme="minorEastAsia"/>
          <w:b/>
          <w:sz w:val="32"/>
          <w:szCs w:val="32"/>
          <w:highlight w:val="none"/>
          <w:shd w:val="clear" w:color="auto" w:fill="FFFFFF"/>
          <w:lang w:eastAsia="zh-CN"/>
        </w:rPr>
      </w:pPr>
      <w:r>
        <w:rPr>
          <w:rFonts w:hint="eastAsia" w:cs="黑体" w:asciiTheme="minorEastAsia" w:hAnsiTheme="minorEastAsia"/>
          <w:b/>
          <w:sz w:val="32"/>
          <w:szCs w:val="32"/>
          <w:highlight w:val="none"/>
          <w:shd w:val="clear" w:color="auto" w:fill="FFFFFF"/>
        </w:rPr>
        <w:t>代 理 机 构：</w:t>
      </w:r>
      <w:r>
        <w:rPr>
          <w:rFonts w:hint="eastAsia" w:cs="黑体" w:asciiTheme="minorEastAsia" w:hAnsiTheme="minorEastAsia"/>
          <w:b/>
          <w:sz w:val="32"/>
          <w:szCs w:val="32"/>
          <w:highlight w:val="none"/>
          <w:shd w:val="clear" w:color="auto" w:fill="FFFFFF"/>
          <w:lang w:eastAsia="zh-CN"/>
        </w:rPr>
        <w:t>山东越甲项目管理咨询有限公司</w:t>
      </w:r>
    </w:p>
    <w:p>
      <w:pPr>
        <w:spacing w:line="360" w:lineRule="auto"/>
        <w:ind w:left="1470" w:leftChars="700" w:firstLine="321" w:firstLineChars="100"/>
        <w:jc w:val="left"/>
        <w:rPr>
          <w:rFonts w:cs="黑体" w:asciiTheme="minorEastAsia" w:hAnsiTheme="minorEastAsia"/>
          <w:b/>
          <w:sz w:val="32"/>
          <w:szCs w:val="32"/>
          <w:highlight w:val="none"/>
          <w:shd w:val="clear" w:color="auto" w:fill="FFFFFF"/>
        </w:rPr>
      </w:pPr>
      <w:r>
        <w:rPr>
          <w:rFonts w:hint="eastAsia" w:cs="黑体" w:asciiTheme="minorEastAsia" w:hAnsiTheme="minorEastAsia"/>
          <w:b/>
          <w:sz w:val="32"/>
          <w:szCs w:val="32"/>
          <w:highlight w:val="none"/>
          <w:shd w:val="clear" w:color="auto" w:fill="FFFFFF"/>
        </w:rPr>
        <w:t xml:space="preserve">日    </w:t>
      </w:r>
      <w:r>
        <w:rPr>
          <w:rFonts w:hint="eastAsia" w:cs="黑体" w:asciiTheme="minorEastAsia" w:hAnsiTheme="minorEastAsia"/>
          <w:b/>
          <w:sz w:val="32"/>
          <w:szCs w:val="32"/>
          <w:highlight w:val="none"/>
          <w:shd w:val="clear" w:color="auto" w:fill="FFFFFF"/>
          <w:lang w:val="en-US" w:eastAsia="zh-CN"/>
        </w:rPr>
        <w:t xml:space="preserve">  </w:t>
      </w:r>
      <w:r>
        <w:rPr>
          <w:rFonts w:hint="eastAsia" w:cs="黑体" w:asciiTheme="minorEastAsia" w:hAnsiTheme="minorEastAsia"/>
          <w:b/>
          <w:sz w:val="32"/>
          <w:szCs w:val="32"/>
          <w:highlight w:val="none"/>
          <w:shd w:val="clear" w:color="auto" w:fill="FFFFFF"/>
        </w:rPr>
        <w:t xml:space="preserve"> 期</w:t>
      </w:r>
      <w:r>
        <w:rPr>
          <w:rFonts w:cs="黑体" w:asciiTheme="minorEastAsia" w:hAnsiTheme="minorEastAsia"/>
          <w:b/>
          <w:sz w:val="32"/>
          <w:szCs w:val="32"/>
          <w:highlight w:val="none"/>
          <w:shd w:val="clear" w:color="auto" w:fill="FFFFFF"/>
        </w:rPr>
        <w:t>：</w:t>
      </w:r>
      <w:r>
        <w:rPr>
          <w:rFonts w:hint="eastAsia" w:cs="黑体" w:asciiTheme="minorEastAsia" w:hAnsiTheme="minorEastAsia"/>
          <w:b/>
          <w:sz w:val="32"/>
          <w:szCs w:val="32"/>
          <w:highlight w:val="none"/>
          <w:shd w:val="clear" w:color="auto" w:fill="FFFFFF"/>
        </w:rPr>
        <w:t>二〇二</w:t>
      </w:r>
      <w:r>
        <w:rPr>
          <w:rFonts w:hint="eastAsia" w:cs="黑体" w:asciiTheme="minorEastAsia" w:hAnsiTheme="minorEastAsia"/>
          <w:b/>
          <w:sz w:val="32"/>
          <w:szCs w:val="32"/>
          <w:highlight w:val="none"/>
          <w:shd w:val="clear" w:color="auto" w:fill="FFFFFF"/>
          <w:lang w:val="en-US" w:eastAsia="zh-CN"/>
        </w:rPr>
        <w:t>三</w:t>
      </w:r>
      <w:r>
        <w:rPr>
          <w:rFonts w:hint="eastAsia" w:cs="黑体" w:asciiTheme="minorEastAsia" w:hAnsiTheme="minorEastAsia"/>
          <w:b/>
          <w:sz w:val="32"/>
          <w:szCs w:val="32"/>
          <w:highlight w:val="none"/>
          <w:shd w:val="clear" w:color="auto" w:fill="FFFFFF"/>
        </w:rPr>
        <w:t>年</w:t>
      </w:r>
      <w:r>
        <w:rPr>
          <w:rFonts w:hint="eastAsia" w:cs="黑体" w:asciiTheme="minorEastAsia" w:hAnsiTheme="minorEastAsia"/>
          <w:b/>
          <w:sz w:val="32"/>
          <w:szCs w:val="32"/>
          <w:highlight w:val="none"/>
          <w:shd w:val="clear" w:color="auto" w:fill="FFFFFF"/>
          <w:lang w:val="en-US" w:eastAsia="zh-CN"/>
        </w:rPr>
        <w:t>八</w:t>
      </w:r>
      <w:r>
        <w:rPr>
          <w:rFonts w:hint="eastAsia" w:cs="黑体" w:asciiTheme="minorEastAsia" w:hAnsiTheme="minorEastAsia"/>
          <w:b/>
          <w:sz w:val="32"/>
          <w:szCs w:val="32"/>
          <w:highlight w:val="none"/>
          <w:shd w:val="clear" w:color="auto" w:fill="FFFFFF"/>
        </w:rPr>
        <w:t>月</w:t>
      </w:r>
    </w:p>
    <w:p>
      <w:pPr>
        <w:spacing w:line="460" w:lineRule="exact"/>
        <w:jc w:val="center"/>
        <w:rPr>
          <w:b/>
          <w:bCs/>
          <w:sz w:val="40"/>
          <w:szCs w:val="48"/>
          <w:highlight w:val="none"/>
          <w:lang w:val="zh-CN"/>
        </w:rPr>
        <w:sectPr>
          <w:footerReference r:id="rId3" w:type="first"/>
          <w:type w:val="continuous"/>
          <w:pgSz w:w="11911" w:h="16838"/>
          <w:pgMar w:top="907" w:right="1021" w:bottom="907" w:left="1021" w:header="0" w:footer="1378" w:gutter="0"/>
          <w:pgNumType w:start="1"/>
          <w:cols w:space="720" w:num="1"/>
          <w:docGrid w:linePitch="286" w:charSpace="0"/>
        </w:sectPr>
      </w:pPr>
    </w:p>
    <w:sdt>
      <w:sdtPr>
        <w:rPr>
          <w:b/>
          <w:bCs/>
          <w:sz w:val="40"/>
          <w:szCs w:val="48"/>
          <w:highlight w:val="none"/>
          <w:lang w:val="zh-CN"/>
        </w:rPr>
        <w:id w:val="-1155451351"/>
        <w:docPartObj>
          <w:docPartGallery w:val="Table of Contents"/>
          <w:docPartUnique/>
        </w:docPartObj>
      </w:sdtPr>
      <w:sdtEndPr>
        <w:rPr>
          <w:b/>
          <w:bCs/>
          <w:sz w:val="21"/>
          <w:szCs w:val="24"/>
          <w:highlight w:val="none"/>
          <w:lang w:val="zh-CN"/>
        </w:rPr>
      </w:sdtEndPr>
      <w:sdtContent>
        <w:p>
          <w:pPr>
            <w:spacing w:line="460" w:lineRule="exact"/>
            <w:jc w:val="center"/>
            <w:rPr>
              <w:b/>
              <w:bCs/>
              <w:sz w:val="40"/>
              <w:szCs w:val="48"/>
              <w:highlight w:val="none"/>
              <w:lang w:val="zh-CN"/>
            </w:rPr>
          </w:pPr>
        </w:p>
        <w:p>
          <w:pPr>
            <w:spacing w:line="460" w:lineRule="exact"/>
            <w:jc w:val="center"/>
            <w:rPr>
              <w:rFonts w:ascii="宋体" w:hAnsi="宋体" w:eastAsia="宋体"/>
              <w:b/>
              <w:bCs/>
              <w:sz w:val="40"/>
              <w:szCs w:val="48"/>
              <w:highlight w:val="none"/>
            </w:rPr>
          </w:pPr>
          <w:r>
            <w:rPr>
              <w:rFonts w:ascii="宋体" w:hAnsi="宋体" w:eastAsia="宋体"/>
              <w:b/>
              <w:bCs/>
              <w:sz w:val="40"/>
              <w:szCs w:val="48"/>
              <w:highlight w:val="none"/>
            </w:rPr>
            <w:t>目</w:t>
          </w:r>
          <w:r>
            <w:rPr>
              <w:rFonts w:hint="eastAsia" w:ascii="宋体" w:hAnsi="宋体" w:eastAsia="宋体"/>
              <w:b/>
              <w:bCs/>
              <w:sz w:val="40"/>
              <w:szCs w:val="48"/>
              <w:highlight w:val="none"/>
              <w:lang w:val="en-US" w:eastAsia="zh-CN"/>
            </w:rPr>
            <w:t xml:space="preserve">  </w:t>
          </w:r>
          <w:r>
            <w:rPr>
              <w:rFonts w:ascii="宋体" w:hAnsi="宋体" w:eastAsia="宋体"/>
              <w:b/>
              <w:bCs/>
              <w:sz w:val="40"/>
              <w:szCs w:val="48"/>
              <w:highlight w:val="none"/>
            </w:rPr>
            <w:t>录</w:t>
          </w:r>
        </w:p>
        <w:p>
          <w:pPr>
            <w:pStyle w:val="21"/>
            <w:spacing w:after="0" w:line="460" w:lineRule="exact"/>
            <w:rPr>
              <w:sz w:val="28"/>
              <w:highlight w:val="none"/>
            </w:rPr>
          </w:pPr>
        </w:p>
        <w:p>
          <w:pPr>
            <w:pStyle w:val="2"/>
            <w:tabs>
              <w:tab w:val="right" w:leader="dot" w:pos="9175"/>
            </w:tabs>
            <w:spacing w:line="360" w:lineRule="auto"/>
            <w:jc w:val="center"/>
            <w:rPr>
              <w:rFonts w:asciiTheme="minorHAnsi" w:hAnsiTheme="minorHAnsi" w:eastAsiaTheme="minorEastAsia" w:cstheme="minorBidi"/>
              <w:sz w:val="28"/>
              <w:szCs w:val="22"/>
              <w:highlight w:val="none"/>
            </w:rPr>
          </w:pPr>
          <w:r>
            <w:rPr>
              <w:sz w:val="28"/>
              <w:highlight w:val="none"/>
            </w:rPr>
            <w:fldChar w:fldCharType="begin"/>
          </w:r>
          <w:r>
            <w:rPr>
              <w:sz w:val="28"/>
              <w:highlight w:val="none"/>
            </w:rPr>
            <w:instrText xml:space="preserve"> TOC \o "1-1" \h \z \u </w:instrText>
          </w:r>
          <w:r>
            <w:rPr>
              <w:sz w:val="28"/>
              <w:highlight w:val="none"/>
            </w:rPr>
            <w:fldChar w:fldCharType="separate"/>
          </w:r>
          <w:r>
            <w:rPr>
              <w:highlight w:val="none"/>
            </w:rPr>
            <w:fldChar w:fldCharType="begin"/>
          </w:r>
          <w:r>
            <w:rPr>
              <w:highlight w:val="none"/>
            </w:rPr>
            <w:instrText xml:space="preserve"> HYPERLINK \l "_Toc40190846" </w:instrText>
          </w:r>
          <w:r>
            <w:rPr>
              <w:highlight w:val="none"/>
            </w:rPr>
            <w:fldChar w:fldCharType="separate"/>
          </w:r>
          <w:r>
            <w:rPr>
              <w:rStyle w:val="57"/>
              <w:rFonts w:hint="eastAsia"/>
              <w:sz w:val="28"/>
              <w:highlight w:val="none"/>
            </w:rPr>
            <w:t>第一章 竞争性谈判</w:t>
          </w:r>
          <w:r>
            <w:rPr>
              <w:rStyle w:val="57"/>
              <w:rFonts w:hint="eastAsia"/>
              <w:sz w:val="28"/>
              <w:highlight w:val="none"/>
              <w:lang w:val="en-US" w:eastAsia="zh-CN"/>
            </w:rPr>
            <w:t>公告</w:t>
          </w:r>
          <w:r>
            <w:rPr>
              <w:sz w:val="28"/>
              <w:highlight w:val="none"/>
            </w:rPr>
            <w:tab/>
          </w:r>
          <w:r>
            <w:rPr>
              <w:sz w:val="28"/>
              <w:highlight w:val="none"/>
            </w:rPr>
            <w:fldChar w:fldCharType="begin"/>
          </w:r>
          <w:r>
            <w:rPr>
              <w:sz w:val="28"/>
              <w:highlight w:val="none"/>
            </w:rPr>
            <w:instrText xml:space="preserve"> PAGEREF _Toc40190846 \h </w:instrText>
          </w:r>
          <w:r>
            <w:rPr>
              <w:sz w:val="28"/>
              <w:highlight w:val="none"/>
            </w:rPr>
            <w:fldChar w:fldCharType="separate"/>
          </w:r>
          <w:r>
            <w:rPr>
              <w:sz w:val="28"/>
              <w:highlight w:val="none"/>
            </w:rPr>
            <w:t>2</w:t>
          </w:r>
          <w:r>
            <w:rPr>
              <w:sz w:val="28"/>
              <w:highlight w:val="none"/>
            </w:rPr>
            <w:fldChar w:fldCharType="end"/>
          </w:r>
          <w:r>
            <w:rPr>
              <w:sz w:val="28"/>
              <w:highlight w:val="none"/>
            </w:rPr>
            <w:fldChar w:fldCharType="end"/>
          </w:r>
        </w:p>
        <w:p>
          <w:pPr>
            <w:pStyle w:val="2"/>
            <w:tabs>
              <w:tab w:val="right" w:leader="dot" w:pos="9175"/>
            </w:tabs>
            <w:spacing w:line="360" w:lineRule="auto"/>
            <w:jc w:val="center"/>
            <w:rPr>
              <w:rFonts w:asciiTheme="minorHAnsi" w:hAnsiTheme="minorHAnsi" w:eastAsiaTheme="minorEastAsia" w:cstheme="minorBidi"/>
              <w:sz w:val="28"/>
              <w:szCs w:val="22"/>
              <w:highlight w:val="none"/>
            </w:rPr>
          </w:pPr>
          <w:r>
            <w:rPr>
              <w:highlight w:val="none"/>
            </w:rPr>
            <w:fldChar w:fldCharType="begin"/>
          </w:r>
          <w:r>
            <w:rPr>
              <w:highlight w:val="none"/>
            </w:rPr>
            <w:instrText xml:space="preserve"> HYPERLINK \l "_Toc40190848" </w:instrText>
          </w:r>
          <w:r>
            <w:rPr>
              <w:highlight w:val="none"/>
            </w:rPr>
            <w:fldChar w:fldCharType="separate"/>
          </w:r>
          <w:r>
            <w:rPr>
              <w:rStyle w:val="57"/>
              <w:rFonts w:hint="eastAsia"/>
              <w:sz w:val="28"/>
              <w:highlight w:val="none"/>
            </w:rPr>
            <w:t>第二章 供应商须知</w:t>
          </w:r>
          <w:r>
            <w:rPr>
              <w:sz w:val="28"/>
              <w:highlight w:val="none"/>
            </w:rPr>
            <w:tab/>
          </w:r>
          <w:r>
            <w:rPr>
              <w:sz w:val="28"/>
              <w:highlight w:val="none"/>
            </w:rPr>
            <w:fldChar w:fldCharType="begin"/>
          </w:r>
          <w:r>
            <w:rPr>
              <w:sz w:val="28"/>
              <w:highlight w:val="none"/>
            </w:rPr>
            <w:instrText xml:space="preserve"> PAGEREF _Toc40190848 \h </w:instrText>
          </w:r>
          <w:r>
            <w:rPr>
              <w:sz w:val="28"/>
              <w:highlight w:val="none"/>
            </w:rPr>
            <w:fldChar w:fldCharType="separate"/>
          </w:r>
          <w:r>
            <w:rPr>
              <w:sz w:val="28"/>
              <w:highlight w:val="none"/>
            </w:rPr>
            <w:t>5</w:t>
          </w:r>
          <w:r>
            <w:rPr>
              <w:sz w:val="28"/>
              <w:highlight w:val="none"/>
            </w:rPr>
            <w:fldChar w:fldCharType="end"/>
          </w:r>
          <w:r>
            <w:rPr>
              <w:sz w:val="28"/>
              <w:highlight w:val="none"/>
            </w:rPr>
            <w:fldChar w:fldCharType="end"/>
          </w:r>
        </w:p>
        <w:p>
          <w:pPr>
            <w:pStyle w:val="2"/>
            <w:tabs>
              <w:tab w:val="right" w:leader="dot" w:pos="9175"/>
            </w:tabs>
            <w:spacing w:line="360" w:lineRule="auto"/>
            <w:jc w:val="center"/>
            <w:rPr>
              <w:rFonts w:asciiTheme="minorHAnsi" w:hAnsiTheme="minorHAnsi" w:eastAsiaTheme="minorEastAsia" w:cstheme="minorBidi"/>
              <w:sz w:val="28"/>
              <w:szCs w:val="22"/>
              <w:highlight w:val="none"/>
            </w:rPr>
          </w:pPr>
          <w:r>
            <w:rPr>
              <w:highlight w:val="none"/>
            </w:rPr>
            <w:fldChar w:fldCharType="begin"/>
          </w:r>
          <w:r>
            <w:rPr>
              <w:highlight w:val="none"/>
            </w:rPr>
            <w:instrText xml:space="preserve"> HYPERLINK \l "_Toc40190851" </w:instrText>
          </w:r>
          <w:r>
            <w:rPr>
              <w:highlight w:val="none"/>
            </w:rPr>
            <w:fldChar w:fldCharType="separate"/>
          </w:r>
          <w:r>
            <w:rPr>
              <w:rStyle w:val="57"/>
              <w:rFonts w:hint="eastAsia"/>
              <w:sz w:val="28"/>
              <w:highlight w:val="none"/>
            </w:rPr>
            <w:t xml:space="preserve">第三章 </w:t>
          </w:r>
          <w:r>
            <w:rPr>
              <w:rStyle w:val="57"/>
              <w:rFonts w:hint="eastAsia"/>
              <w:sz w:val="28"/>
              <w:highlight w:val="none"/>
              <w:lang w:val="en-US" w:eastAsia="zh-CN"/>
            </w:rPr>
            <w:t>工程量清单</w:t>
          </w:r>
          <w:r>
            <w:rPr>
              <w:sz w:val="28"/>
              <w:highlight w:val="none"/>
            </w:rPr>
            <w:tab/>
          </w:r>
          <w:r>
            <w:rPr>
              <w:sz w:val="28"/>
              <w:highlight w:val="none"/>
            </w:rPr>
            <w:fldChar w:fldCharType="begin"/>
          </w:r>
          <w:r>
            <w:rPr>
              <w:sz w:val="28"/>
              <w:highlight w:val="none"/>
            </w:rPr>
            <w:instrText xml:space="preserve"> PAGEREF _Toc40190851 \h </w:instrText>
          </w:r>
          <w:r>
            <w:rPr>
              <w:sz w:val="28"/>
              <w:highlight w:val="none"/>
            </w:rPr>
            <w:fldChar w:fldCharType="separate"/>
          </w:r>
          <w:r>
            <w:rPr>
              <w:sz w:val="28"/>
              <w:highlight w:val="none"/>
            </w:rPr>
            <w:t>11</w:t>
          </w:r>
          <w:r>
            <w:rPr>
              <w:sz w:val="28"/>
              <w:highlight w:val="none"/>
            </w:rPr>
            <w:fldChar w:fldCharType="end"/>
          </w:r>
          <w:r>
            <w:rPr>
              <w:sz w:val="28"/>
              <w:highlight w:val="none"/>
            </w:rPr>
            <w:fldChar w:fldCharType="end"/>
          </w:r>
        </w:p>
        <w:p>
          <w:pPr>
            <w:pStyle w:val="2"/>
            <w:tabs>
              <w:tab w:val="right" w:leader="dot" w:pos="9175"/>
            </w:tabs>
            <w:spacing w:line="360" w:lineRule="auto"/>
            <w:jc w:val="center"/>
            <w:rPr>
              <w:rFonts w:asciiTheme="minorHAnsi" w:hAnsiTheme="minorHAnsi" w:eastAsiaTheme="minorEastAsia" w:cstheme="minorBidi"/>
              <w:sz w:val="28"/>
              <w:szCs w:val="22"/>
              <w:highlight w:val="none"/>
            </w:rPr>
          </w:pPr>
          <w:r>
            <w:rPr>
              <w:highlight w:val="none"/>
            </w:rPr>
            <w:fldChar w:fldCharType="begin"/>
          </w:r>
          <w:r>
            <w:rPr>
              <w:highlight w:val="none"/>
            </w:rPr>
            <w:instrText xml:space="preserve"> HYPERLINK \l "_Toc40190852" </w:instrText>
          </w:r>
          <w:r>
            <w:rPr>
              <w:highlight w:val="none"/>
            </w:rPr>
            <w:fldChar w:fldCharType="separate"/>
          </w:r>
          <w:r>
            <w:rPr>
              <w:rStyle w:val="57"/>
              <w:rFonts w:hint="eastAsia"/>
              <w:sz w:val="28"/>
              <w:highlight w:val="none"/>
            </w:rPr>
            <w:t>第四章 采购合同</w:t>
          </w:r>
          <w:r>
            <w:rPr>
              <w:sz w:val="28"/>
              <w:highlight w:val="none"/>
            </w:rPr>
            <w:tab/>
          </w:r>
          <w:r>
            <w:rPr>
              <w:sz w:val="28"/>
              <w:highlight w:val="none"/>
            </w:rPr>
            <w:fldChar w:fldCharType="begin"/>
          </w:r>
          <w:r>
            <w:rPr>
              <w:sz w:val="28"/>
              <w:highlight w:val="none"/>
            </w:rPr>
            <w:instrText xml:space="preserve"> PAGEREF _Toc40190852 \h </w:instrText>
          </w:r>
          <w:r>
            <w:rPr>
              <w:sz w:val="28"/>
              <w:highlight w:val="none"/>
            </w:rPr>
            <w:fldChar w:fldCharType="separate"/>
          </w:r>
          <w:r>
            <w:rPr>
              <w:sz w:val="28"/>
              <w:highlight w:val="none"/>
            </w:rPr>
            <w:t>26</w:t>
          </w:r>
          <w:r>
            <w:rPr>
              <w:sz w:val="28"/>
              <w:highlight w:val="none"/>
            </w:rPr>
            <w:fldChar w:fldCharType="end"/>
          </w:r>
          <w:r>
            <w:rPr>
              <w:sz w:val="28"/>
              <w:highlight w:val="none"/>
            </w:rPr>
            <w:fldChar w:fldCharType="end"/>
          </w:r>
        </w:p>
        <w:p>
          <w:pPr>
            <w:pStyle w:val="2"/>
            <w:tabs>
              <w:tab w:val="right" w:leader="dot" w:pos="9175"/>
            </w:tabs>
            <w:spacing w:line="360" w:lineRule="auto"/>
            <w:jc w:val="center"/>
            <w:rPr>
              <w:rFonts w:asciiTheme="minorHAnsi" w:hAnsiTheme="minorHAnsi" w:eastAsiaTheme="minorEastAsia" w:cstheme="minorBidi"/>
              <w:sz w:val="28"/>
              <w:szCs w:val="22"/>
              <w:highlight w:val="none"/>
            </w:rPr>
          </w:pPr>
          <w:r>
            <w:rPr>
              <w:highlight w:val="none"/>
            </w:rPr>
            <w:fldChar w:fldCharType="begin"/>
          </w:r>
          <w:r>
            <w:rPr>
              <w:highlight w:val="none"/>
            </w:rPr>
            <w:instrText xml:space="preserve"> HYPERLINK \l "_Toc40190853" </w:instrText>
          </w:r>
          <w:r>
            <w:rPr>
              <w:highlight w:val="none"/>
            </w:rPr>
            <w:fldChar w:fldCharType="separate"/>
          </w:r>
          <w:r>
            <w:rPr>
              <w:rStyle w:val="57"/>
              <w:rFonts w:hint="eastAsia"/>
              <w:sz w:val="28"/>
              <w:highlight w:val="none"/>
            </w:rPr>
            <w:t>第五章 报价文件格式</w:t>
          </w:r>
          <w:r>
            <w:rPr>
              <w:sz w:val="28"/>
              <w:highlight w:val="none"/>
            </w:rPr>
            <w:tab/>
          </w:r>
          <w:r>
            <w:rPr>
              <w:sz w:val="28"/>
              <w:highlight w:val="none"/>
            </w:rPr>
            <w:fldChar w:fldCharType="begin"/>
          </w:r>
          <w:r>
            <w:rPr>
              <w:sz w:val="28"/>
              <w:highlight w:val="none"/>
            </w:rPr>
            <w:instrText xml:space="preserve"> PAGEREF _Toc40190853 \h </w:instrText>
          </w:r>
          <w:r>
            <w:rPr>
              <w:sz w:val="28"/>
              <w:highlight w:val="none"/>
            </w:rPr>
            <w:fldChar w:fldCharType="separate"/>
          </w:r>
          <w:r>
            <w:rPr>
              <w:sz w:val="28"/>
              <w:highlight w:val="none"/>
            </w:rPr>
            <w:t>60</w:t>
          </w:r>
          <w:r>
            <w:rPr>
              <w:sz w:val="28"/>
              <w:highlight w:val="none"/>
            </w:rPr>
            <w:fldChar w:fldCharType="end"/>
          </w:r>
          <w:r>
            <w:rPr>
              <w:sz w:val="28"/>
              <w:highlight w:val="none"/>
            </w:rPr>
            <w:fldChar w:fldCharType="end"/>
          </w:r>
        </w:p>
        <w:p>
          <w:pPr>
            <w:pStyle w:val="2"/>
            <w:tabs>
              <w:tab w:val="right" w:leader="dot" w:pos="9175"/>
            </w:tabs>
            <w:spacing w:line="360" w:lineRule="auto"/>
            <w:jc w:val="center"/>
            <w:rPr>
              <w:rFonts w:asciiTheme="minorHAnsi" w:hAnsiTheme="minorHAnsi" w:eastAsiaTheme="minorEastAsia" w:cstheme="minorBidi"/>
              <w:sz w:val="28"/>
              <w:szCs w:val="22"/>
              <w:highlight w:val="none"/>
            </w:rPr>
          </w:pPr>
          <w:r>
            <w:rPr>
              <w:highlight w:val="none"/>
            </w:rPr>
            <w:fldChar w:fldCharType="begin"/>
          </w:r>
          <w:r>
            <w:rPr>
              <w:highlight w:val="none"/>
            </w:rPr>
            <w:instrText xml:space="preserve"> HYPERLINK \l "_Toc40190854" </w:instrText>
          </w:r>
          <w:r>
            <w:rPr>
              <w:highlight w:val="none"/>
            </w:rPr>
            <w:fldChar w:fldCharType="separate"/>
          </w:r>
          <w:r>
            <w:rPr>
              <w:rStyle w:val="57"/>
              <w:rFonts w:hint="eastAsia"/>
              <w:sz w:val="28"/>
              <w:highlight w:val="none"/>
            </w:rPr>
            <w:t>第六章 响应文件格式及附件</w:t>
          </w:r>
          <w:r>
            <w:rPr>
              <w:sz w:val="28"/>
              <w:highlight w:val="none"/>
            </w:rPr>
            <w:tab/>
          </w:r>
          <w:r>
            <w:rPr>
              <w:sz w:val="28"/>
              <w:highlight w:val="none"/>
            </w:rPr>
            <w:fldChar w:fldCharType="begin"/>
          </w:r>
          <w:r>
            <w:rPr>
              <w:sz w:val="28"/>
              <w:highlight w:val="none"/>
            </w:rPr>
            <w:instrText xml:space="preserve"> PAGEREF _Toc40190854 \h </w:instrText>
          </w:r>
          <w:r>
            <w:rPr>
              <w:sz w:val="28"/>
              <w:highlight w:val="none"/>
            </w:rPr>
            <w:fldChar w:fldCharType="separate"/>
          </w:r>
          <w:r>
            <w:rPr>
              <w:sz w:val="28"/>
              <w:highlight w:val="none"/>
            </w:rPr>
            <w:t>62</w:t>
          </w:r>
          <w:r>
            <w:rPr>
              <w:sz w:val="28"/>
              <w:highlight w:val="none"/>
            </w:rPr>
            <w:fldChar w:fldCharType="end"/>
          </w:r>
          <w:r>
            <w:rPr>
              <w:sz w:val="28"/>
              <w:highlight w:val="none"/>
            </w:rPr>
            <w:fldChar w:fldCharType="end"/>
          </w:r>
        </w:p>
        <w:p>
          <w:pPr>
            <w:spacing w:line="360" w:lineRule="auto"/>
            <w:jc w:val="center"/>
            <w:rPr>
              <w:highlight w:val="none"/>
            </w:rPr>
          </w:pPr>
          <w:r>
            <w:rPr>
              <w:rFonts w:ascii="Times New Roman" w:hAnsi="Times New Roman" w:eastAsia="宋体" w:cs="Times New Roman"/>
              <w:sz w:val="28"/>
              <w:highlight w:val="none"/>
            </w:rPr>
            <w:fldChar w:fldCharType="end"/>
          </w:r>
        </w:p>
      </w:sdtContent>
    </w:sdt>
    <w:p>
      <w:pPr>
        <w:pStyle w:val="45"/>
        <w:spacing w:before="0" w:after="0" w:line="460" w:lineRule="exact"/>
        <w:outlineLvl w:val="9"/>
        <w:rPr>
          <w:sz w:val="44"/>
          <w:highlight w:val="none"/>
        </w:rPr>
        <w:sectPr>
          <w:footerReference r:id="rId4" w:type="default"/>
          <w:pgSz w:w="11911" w:h="16838"/>
          <w:pgMar w:top="907" w:right="1021" w:bottom="907" w:left="1021" w:header="0" w:footer="1378" w:gutter="0"/>
          <w:pgNumType w:fmt="decimal" w:start="1"/>
          <w:cols w:space="720" w:num="1"/>
          <w:docGrid w:linePitch="286" w:charSpace="0"/>
        </w:sectPr>
      </w:pPr>
      <w:bookmarkStart w:id="0" w:name="_Toc467665718"/>
      <w:bookmarkStart w:id="1" w:name="_Toc359570403"/>
    </w:p>
    <w:bookmarkEnd w:id="0"/>
    <w:bookmarkEnd w:id="1"/>
    <w:p>
      <w:pPr>
        <w:widowControl/>
        <w:jc w:val="left"/>
        <w:rPr>
          <w:rFonts w:ascii="Arial" w:hAnsi="Arial"/>
          <w:b/>
          <w:sz w:val="44"/>
          <w:highlight w:val="none"/>
        </w:rPr>
      </w:pPr>
      <w:bookmarkStart w:id="2" w:name="_Toc40190846"/>
      <w:bookmarkStart w:id="3" w:name="_Toc467665719"/>
      <w:r>
        <w:rPr>
          <w:sz w:val="44"/>
          <w:highlight w:val="none"/>
        </w:rPr>
        <w:br w:type="page"/>
      </w:r>
    </w:p>
    <w:p>
      <w:pPr>
        <w:pStyle w:val="45"/>
        <w:spacing w:before="0" w:after="0" w:line="360" w:lineRule="auto"/>
        <w:rPr>
          <w:rFonts w:hint="eastAsia" w:eastAsiaTheme="minorEastAsia"/>
          <w:sz w:val="40"/>
          <w:szCs w:val="22"/>
          <w:highlight w:val="none"/>
          <w:lang w:eastAsia="zh-CN"/>
        </w:rPr>
      </w:pPr>
      <w:r>
        <w:rPr>
          <w:rFonts w:hint="eastAsia"/>
          <w:sz w:val="40"/>
          <w:szCs w:val="22"/>
          <w:highlight w:val="none"/>
        </w:rPr>
        <w:t>第一章</w:t>
      </w:r>
      <w:r>
        <w:rPr>
          <w:rFonts w:hint="eastAsia"/>
          <w:sz w:val="40"/>
          <w:szCs w:val="22"/>
          <w:highlight w:val="none"/>
          <w:lang w:val="en-US" w:eastAsia="zh-CN"/>
        </w:rPr>
        <w:t xml:space="preserve"> </w:t>
      </w:r>
      <w:bookmarkEnd w:id="2"/>
      <w:r>
        <w:rPr>
          <w:rFonts w:hint="eastAsia"/>
          <w:sz w:val="40"/>
          <w:szCs w:val="22"/>
          <w:highlight w:val="none"/>
          <w:lang w:eastAsia="zh-CN"/>
        </w:rPr>
        <w:t>竞争性谈判</w:t>
      </w:r>
      <w:r>
        <w:rPr>
          <w:rFonts w:hint="eastAsia"/>
          <w:sz w:val="40"/>
          <w:szCs w:val="22"/>
          <w:highlight w:val="none"/>
          <w:lang w:val="en-US" w:eastAsia="zh-CN"/>
        </w:rPr>
        <w:t>公告</w:t>
      </w:r>
    </w:p>
    <w:p>
      <w:pPr>
        <w:spacing w:line="360" w:lineRule="auto"/>
        <w:jc w:val="center"/>
        <w:outlineLvl w:val="1"/>
        <w:rPr>
          <w:rFonts w:hint="eastAsia"/>
          <w:b/>
          <w:bCs/>
          <w:sz w:val="36"/>
          <w:szCs w:val="44"/>
          <w:highlight w:val="none"/>
          <w:lang w:eastAsia="zh-CN"/>
        </w:rPr>
      </w:pPr>
      <w:r>
        <w:rPr>
          <w:rFonts w:hint="eastAsia"/>
          <w:b/>
          <w:bCs/>
          <w:sz w:val="36"/>
          <w:szCs w:val="44"/>
          <w:highlight w:val="none"/>
          <w:lang w:eastAsia="zh-CN"/>
        </w:rPr>
        <w:t>邹城市凫山街道巷里社区沥青路面铺设及配套设施工程项目</w:t>
      </w:r>
    </w:p>
    <w:p>
      <w:pPr>
        <w:spacing w:line="360" w:lineRule="auto"/>
        <w:jc w:val="center"/>
        <w:outlineLvl w:val="1"/>
        <w:rPr>
          <w:rFonts w:hint="eastAsia" w:eastAsiaTheme="minorEastAsia"/>
          <w:b/>
          <w:bCs/>
          <w:sz w:val="36"/>
          <w:szCs w:val="44"/>
          <w:highlight w:val="none"/>
          <w:lang w:eastAsia="zh-CN"/>
        </w:rPr>
      </w:pPr>
      <w:r>
        <w:rPr>
          <w:rFonts w:hint="eastAsia"/>
          <w:b/>
          <w:bCs/>
          <w:sz w:val="36"/>
          <w:szCs w:val="44"/>
          <w:highlight w:val="none"/>
          <w:lang w:val="en-US" w:eastAsia="zh-CN"/>
        </w:rPr>
        <w:t>竞争性谈判公告</w:t>
      </w:r>
    </w:p>
    <w:p>
      <w:pPr>
        <w:keepNext w:val="0"/>
        <w:keepLines w:val="0"/>
        <w:pageBreakBefore w:val="0"/>
        <w:widowControl/>
        <w:numPr>
          <w:ilvl w:val="0"/>
          <w:numId w:val="2"/>
        </w:numPr>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kern w:val="0"/>
          <w:sz w:val="24"/>
          <w:highlight w:val="none"/>
        </w:rPr>
      </w:pPr>
      <w:bookmarkStart w:id="4" w:name="_Hlk52379596"/>
      <w:r>
        <w:rPr>
          <w:rFonts w:hint="eastAsia" w:ascii="宋体" w:hAnsi="宋体" w:cs="宋体"/>
          <w:b/>
          <w:bCs/>
          <w:kern w:val="0"/>
          <w:sz w:val="24"/>
          <w:highlight w:val="none"/>
        </w:rPr>
        <w:t>采 购 人：</w:t>
      </w:r>
      <w:r>
        <w:rPr>
          <w:rFonts w:hint="eastAsia" w:ascii="宋体" w:hAnsi="宋体" w:cs="宋体"/>
          <w:kern w:val="0"/>
          <w:sz w:val="24"/>
          <w:highlight w:val="none"/>
          <w:lang w:eastAsia="zh-CN"/>
        </w:rPr>
        <w:t>邹城市凫山街道巷里社区</w:t>
      </w:r>
    </w:p>
    <w:p>
      <w:pPr>
        <w:keepNext w:val="0"/>
        <w:keepLines w:val="0"/>
        <w:pageBreakBefore w:val="0"/>
        <w:widowControl/>
        <w:numPr>
          <w:ilvl w:val="0"/>
          <w:numId w:val="2"/>
        </w:numPr>
        <w:shd w:val="clear" w:color="auto" w:fill="FFFFFF"/>
        <w:kinsoku/>
        <w:wordWrap/>
        <w:overflowPunct/>
        <w:topLinePunct w:val="0"/>
        <w:autoSpaceDE/>
        <w:autoSpaceDN/>
        <w:bidi w:val="0"/>
        <w:spacing w:line="360" w:lineRule="auto"/>
        <w:ind w:left="0" w:leftChars="0" w:firstLine="482" w:firstLineChars="200"/>
        <w:jc w:val="left"/>
        <w:textAlignment w:val="auto"/>
        <w:rPr>
          <w:rFonts w:hint="eastAsia" w:ascii="宋体" w:hAnsi="宋体" w:cs="宋体"/>
          <w:kern w:val="0"/>
          <w:sz w:val="24"/>
          <w:highlight w:val="none"/>
        </w:rPr>
      </w:pPr>
      <w:r>
        <w:rPr>
          <w:rFonts w:hint="eastAsia" w:ascii="宋体" w:hAnsi="宋体" w:cs="宋体"/>
          <w:b/>
          <w:bCs/>
          <w:kern w:val="0"/>
          <w:sz w:val="24"/>
          <w:highlight w:val="none"/>
        </w:rPr>
        <w:t>项目名称：</w:t>
      </w:r>
      <w:r>
        <w:rPr>
          <w:rFonts w:hint="eastAsia" w:ascii="宋体" w:hAnsi="宋体" w:cs="宋体"/>
          <w:kern w:val="0"/>
          <w:sz w:val="24"/>
          <w:highlight w:val="none"/>
          <w:lang w:eastAsia="zh-CN"/>
        </w:rPr>
        <w:t>邹城市凫山街道巷里社区沥青路面铺设及配套设施工程项目</w:t>
      </w:r>
    </w:p>
    <w:p>
      <w:pPr>
        <w:keepNext w:val="0"/>
        <w:keepLines w:val="0"/>
        <w:pageBreakBefore w:val="0"/>
        <w:widowControl/>
        <w:numPr>
          <w:ilvl w:val="0"/>
          <w:numId w:val="2"/>
        </w:numPr>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val="0"/>
          <w:bCs w:val="0"/>
          <w:kern w:val="0"/>
          <w:sz w:val="24"/>
          <w:highlight w:val="none"/>
          <w:lang w:eastAsia="zh-CN"/>
        </w:rPr>
      </w:pPr>
      <w:r>
        <w:rPr>
          <w:rFonts w:hint="eastAsia" w:ascii="宋体" w:hAnsi="宋体" w:eastAsia="宋体" w:cs="宋体"/>
          <w:b/>
          <w:bCs/>
          <w:kern w:val="0"/>
          <w:sz w:val="24"/>
          <w:highlight w:val="none"/>
        </w:rPr>
        <w:t>项目编号：</w:t>
      </w:r>
      <w:r>
        <w:rPr>
          <w:rFonts w:hint="eastAsia" w:ascii="宋体" w:hAnsi="宋体" w:eastAsia="宋体" w:cs="宋体"/>
          <w:b w:val="0"/>
          <w:bCs w:val="0"/>
          <w:kern w:val="0"/>
          <w:sz w:val="24"/>
          <w:highlight w:val="none"/>
          <w:lang w:eastAsia="zh-CN"/>
        </w:rPr>
        <w:t>SDYJ2023-CG-006</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kern w:val="0"/>
          <w:sz w:val="24"/>
          <w:highlight w:val="none"/>
        </w:rPr>
      </w:pPr>
      <w:r>
        <w:rPr>
          <w:rFonts w:hint="eastAsia" w:ascii="宋体" w:hAnsi="宋体" w:cs="宋体"/>
          <w:bCs/>
          <w:kern w:val="0"/>
          <w:sz w:val="24"/>
          <w:highlight w:val="none"/>
        </w:rPr>
        <w:t>本项目为邹城市凫山街道巷里社区沥青路面铺设及配套设施工程项目，具体内容详见第三章工程量清单。</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highlight w:val="none"/>
        </w:rPr>
      </w:pPr>
      <w:r>
        <w:rPr>
          <w:rFonts w:hint="eastAsia" w:ascii="宋体" w:hAnsi="宋体" w:cs="宋体"/>
          <w:b/>
          <w:bCs/>
          <w:kern w:val="0"/>
          <w:sz w:val="24"/>
          <w:highlight w:val="none"/>
        </w:rPr>
        <w:t>五、供应商资格要求：</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1.满足《中华人民共和国政府采购法》第二十二条规定；</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（1）具有独立承担民事责任的能力并满足竞争性</w:t>
      </w:r>
      <w:r>
        <w:rPr>
          <w:rFonts w:hint="eastAsia" w:ascii="Times New Roman" w:hAnsi="Times New Roman" w:eastAsia="宋体" w:cs="Times New Roman"/>
          <w:sz w:val="24"/>
          <w:szCs w:val="24"/>
          <w:highlight w:val="none"/>
          <w:lang w:val="en-US" w:eastAsia="zh-CN"/>
        </w:rPr>
        <w:t>谈判</w:t>
      </w:r>
      <w:r>
        <w:rPr>
          <w:rFonts w:hint="eastAsia" w:ascii="Times New Roman" w:hAnsi="Times New Roman" w:eastAsia="宋体" w:cs="Times New Roman"/>
          <w:sz w:val="24"/>
          <w:szCs w:val="24"/>
          <w:highlight w:val="none"/>
          <w:lang w:val="en-US"/>
        </w:rPr>
        <w:t>文件要求的供应商；</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（2）须遵守《中华人民共和国政府采购法》及相关法律、法规和规章；</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3）单位负责人为同一人或者存在控股、管理关系的不同单位，不得同时参加同一项目或同一包组的报价；生产厂家的母公司、全资子公司、控股公司，只能有一家参加同一招标编号的报价；为本项目提供整体设计、规范编制或者项目管理、监理、检测等服务的供应商，不得再参加该本项目的其他活动；</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（4）供应商须具备有效的营业执照，并在人员、设备、资金、调试和维护等方面具有相应的工作能力；</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（5）供应商须具有良好的商业信誉和健全的财务会计制度、有依法缴纳税收和社会保障资金的良好记录；</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（6）供应商信用状况良好，未被列入经营异常名录或者严重违法企业名单，不得存在相关行贿犯罪记录；</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rPr>
        <w:t>2.落实政府采购政策需满足的资格要求：</w:t>
      </w:r>
      <w:r>
        <w:rPr>
          <w:rFonts w:hint="eastAsia" w:ascii="Times New Roman" w:hAnsi="Times New Roman" w:eastAsia="宋体" w:cs="Times New Roman"/>
          <w:sz w:val="24"/>
          <w:szCs w:val="24"/>
          <w:highlight w:val="none"/>
          <w:lang w:val="en-US" w:eastAsia="zh-CN"/>
        </w:rPr>
        <w:t>无</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3.本项目的特定资格要求：</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3.1供应商须为国内注册具有独立法人资格,供应商须具备建筑工程施工总承包叁级或市政公用工程施工总承包叁级及以上资质，并在人员、设备、资金等方面具有相应的施工能力，无拖欠农民工工资的不良行为。</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3.2供应商拟派项目经理须具备建筑工程专业贰级及以上注册建造师（须在本单位注册）并同时具备建造师安全生产考核合格证书（B证），且未担任其他在施建设工程项目的项目经理。</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3.3供应商具备有效的安全生产许可证；</w:t>
      </w:r>
    </w:p>
    <w:p>
      <w:pPr>
        <w:spacing w:line="360" w:lineRule="auto"/>
        <w:ind w:firstLine="480" w:firstLineChars="200"/>
        <w:outlineLvl w:val="2"/>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rPr>
        <w:t>4.</w:t>
      </w:r>
      <w:r>
        <w:rPr>
          <w:rFonts w:hint="eastAsia" w:ascii="Times New Roman" w:hAnsi="Times New Roman" w:eastAsia="宋体" w:cs="Times New Roman"/>
          <w:sz w:val="24"/>
          <w:szCs w:val="24"/>
          <w:highlight w:val="none"/>
          <w:lang w:val="en-US" w:eastAsia="zh-CN"/>
        </w:rPr>
        <w:t>本项目不接受联合体投标。</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5.本项目为资格后审。</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六、</w:t>
      </w:r>
      <w:r>
        <w:rPr>
          <w:rFonts w:hint="eastAsia" w:ascii="宋体" w:hAnsi="宋体" w:cs="宋体"/>
          <w:b/>
          <w:kern w:val="0"/>
          <w:sz w:val="24"/>
          <w:highlight w:val="none"/>
          <w:lang w:val="en-US" w:eastAsia="zh-CN"/>
        </w:rPr>
        <w:t>谈判</w:t>
      </w:r>
      <w:r>
        <w:rPr>
          <w:rFonts w:hint="eastAsia" w:ascii="宋体" w:hAnsi="宋体" w:cs="宋体"/>
          <w:b/>
          <w:kern w:val="0"/>
          <w:sz w:val="24"/>
          <w:highlight w:val="none"/>
        </w:rPr>
        <w:t>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文件的获取时间：20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w:t>
      </w:r>
      <w:r>
        <w:rPr>
          <w:rFonts w:hint="eastAsia" w:ascii="宋体" w:hAnsi="宋体" w:cs="宋体"/>
          <w:bCs/>
          <w:kern w:val="0"/>
          <w:sz w:val="24"/>
          <w:highlight w:val="none"/>
        </w:rPr>
        <w:t>日--20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7</w:t>
      </w:r>
      <w:r>
        <w:rPr>
          <w:rFonts w:hint="eastAsia" w:ascii="宋体" w:hAnsi="宋体" w:cs="宋体"/>
          <w:bCs/>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文件的获取方式：</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响应方不必办理报名手续，登录邹城市外宣网（http://w.mencius.gov.cn）-乡镇采购直接点击公告下方附件下载竞争性</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kern w:val="0"/>
          <w:sz w:val="24"/>
          <w:highlight w:val="none"/>
          <w:lang w:val="en-US" w:eastAsia="zh-CN"/>
        </w:rPr>
      </w:pPr>
      <w:r>
        <w:rPr>
          <w:rFonts w:hint="eastAsia" w:ascii="宋体" w:hAnsi="宋体" w:cs="宋体"/>
          <w:b/>
          <w:kern w:val="0"/>
          <w:sz w:val="24"/>
          <w:highlight w:val="none"/>
        </w:rPr>
        <w:t>七、</w:t>
      </w:r>
      <w:r>
        <w:rPr>
          <w:rFonts w:hint="eastAsia" w:ascii="宋体" w:hAnsi="宋体" w:cs="宋体"/>
          <w:b/>
          <w:kern w:val="0"/>
          <w:sz w:val="24"/>
          <w:highlight w:val="none"/>
          <w:lang w:val="en-US" w:eastAsia="zh-CN"/>
        </w:rPr>
        <w:t>谈判</w:t>
      </w:r>
      <w:r>
        <w:rPr>
          <w:rFonts w:hint="eastAsia" w:ascii="宋体" w:hAnsi="宋体" w:cs="宋体"/>
          <w:b/>
          <w:kern w:val="0"/>
          <w:sz w:val="24"/>
          <w:highlight w:val="none"/>
        </w:rPr>
        <w:t>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w:t>
      </w:r>
      <w:r>
        <w:rPr>
          <w:rFonts w:hint="eastAsia" w:ascii="宋体" w:hAnsi="宋体" w:cs="宋体"/>
          <w:bCs/>
          <w:kern w:val="0"/>
          <w:sz w:val="24"/>
          <w:highlight w:val="none"/>
          <w:lang w:eastAsia="zh-CN"/>
        </w:rPr>
        <w:t>邹城市凫山街道巷里社区</w:t>
      </w:r>
      <w:r>
        <w:rPr>
          <w:rFonts w:hint="eastAsia" w:ascii="宋体" w:hAnsi="宋体" w:cs="宋体"/>
          <w:bCs/>
          <w:kern w:val="0"/>
          <w:sz w:val="24"/>
          <w:highlight w:val="none"/>
        </w:rPr>
        <w:t>于2023年</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日</w:t>
      </w:r>
      <w:r>
        <w:rPr>
          <w:rFonts w:hint="eastAsia" w:ascii="宋体" w:hAnsi="宋体" w:cs="宋体"/>
          <w:bCs/>
          <w:kern w:val="0"/>
          <w:sz w:val="24"/>
          <w:highlight w:val="none"/>
          <w:lang w:val="en-US" w:eastAsia="zh-CN"/>
        </w:rPr>
        <w:t>15</w:t>
      </w:r>
      <w:r>
        <w:rPr>
          <w:rFonts w:hint="eastAsia" w:ascii="宋体" w:hAnsi="宋体" w:cs="宋体"/>
          <w:bCs/>
          <w:kern w:val="0"/>
          <w:sz w:val="24"/>
          <w:highlight w:val="none"/>
        </w:rPr>
        <w:t>时00 分（北京时间）</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开始前在</w:t>
      </w:r>
      <w:r>
        <w:rPr>
          <w:rFonts w:hint="eastAsia" w:ascii="宋体" w:hAnsi="宋体" w:cs="Arial"/>
          <w:sz w:val="24"/>
          <w:highlight w:val="none"/>
          <w:lang w:eastAsia="zh-CN"/>
        </w:rPr>
        <w:t>邹城市凫山街道公共资源交易中心开标室</w:t>
      </w:r>
      <w:r>
        <w:rPr>
          <w:rFonts w:hint="eastAsia" w:ascii="宋体" w:hAnsi="宋体" w:cs="宋体"/>
          <w:bCs/>
          <w:kern w:val="0"/>
          <w:sz w:val="24"/>
          <w:highlight w:val="none"/>
        </w:rPr>
        <w:t>受理供应商</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2、逾期送达或未送达指定地点的</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响应文件，以及不按照竞争性</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文件要求密封的</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八、</w:t>
      </w:r>
      <w:r>
        <w:rPr>
          <w:rFonts w:hint="eastAsia" w:ascii="宋体" w:hAnsi="宋体" w:cs="宋体"/>
          <w:b/>
          <w:kern w:val="0"/>
          <w:sz w:val="24"/>
          <w:highlight w:val="none"/>
          <w:lang w:val="en-US" w:eastAsia="zh-CN"/>
        </w:rPr>
        <w:t>谈判</w:t>
      </w:r>
      <w:r>
        <w:rPr>
          <w:rFonts w:hint="eastAsia" w:ascii="宋体" w:hAnsi="宋体" w:cs="宋体"/>
          <w:b/>
          <w:kern w:val="0"/>
          <w:sz w:val="24"/>
          <w:highlight w:val="none"/>
        </w:rPr>
        <w:t>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日</w:t>
      </w:r>
      <w:r>
        <w:rPr>
          <w:rFonts w:hint="eastAsia" w:ascii="宋体" w:hAnsi="宋体" w:cs="宋体"/>
          <w:bCs/>
          <w:kern w:val="0"/>
          <w:sz w:val="24"/>
          <w:highlight w:val="none"/>
          <w:lang w:val="en-US" w:eastAsia="zh-CN"/>
        </w:rPr>
        <w:t>15</w:t>
      </w:r>
      <w:r>
        <w:rPr>
          <w:rFonts w:hint="eastAsia" w:ascii="宋体" w:hAnsi="宋体" w:cs="宋体"/>
          <w:bCs/>
          <w:kern w:val="0"/>
          <w:sz w:val="24"/>
          <w:highlight w:val="none"/>
        </w:rPr>
        <w:t>时00分（北京时间）。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w:t>
      </w:r>
      <w:r>
        <w:rPr>
          <w:rFonts w:hint="eastAsia" w:ascii="宋体" w:hAnsi="宋体" w:cs="Arial"/>
          <w:sz w:val="24"/>
          <w:highlight w:val="none"/>
          <w:lang w:eastAsia="zh-CN"/>
        </w:rPr>
        <w:t>邹城市凫山街道公共资源交易中心开标室</w:t>
      </w:r>
      <w:r>
        <w:rPr>
          <w:rFonts w:hint="eastAsia" w:ascii="宋体" w:hAnsi="宋体" w:cs="宋体"/>
          <w:bCs/>
          <w:kern w:val="0"/>
          <w:sz w:val="24"/>
          <w:highlight w:val="none"/>
        </w:rPr>
        <w:t>。</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九、联系方式：</w:t>
      </w:r>
    </w:p>
    <w:p>
      <w:pPr>
        <w:spacing w:line="360" w:lineRule="auto"/>
        <w:ind w:firstLine="480" w:firstLineChars="200"/>
        <w:rPr>
          <w:rFonts w:ascii="宋体" w:hAnsi="宋体" w:cs="宋体"/>
          <w:sz w:val="24"/>
          <w:u w:val="none"/>
        </w:rPr>
      </w:pPr>
      <w:r>
        <w:rPr>
          <w:rFonts w:hint="eastAsia" w:ascii="宋体" w:hAnsi="宋体" w:cs="宋体"/>
          <w:sz w:val="24"/>
          <w:u w:val="none"/>
        </w:rPr>
        <w:t xml:space="preserve">采购人: </w:t>
      </w:r>
      <w:r>
        <w:rPr>
          <w:rFonts w:hint="eastAsia" w:ascii="宋体" w:hAnsi="宋体" w:cs="宋体"/>
          <w:sz w:val="24"/>
          <w:u w:val="none"/>
          <w:lang w:eastAsia="zh-CN"/>
        </w:rPr>
        <w:t>邹城市凫山街道巷里社区</w:t>
      </w:r>
      <w:r>
        <w:rPr>
          <w:rFonts w:hint="eastAsia" w:ascii="宋体" w:hAnsi="宋体" w:cs="宋体"/>
          <w:sz w:val="24"/>
          <w:u w:val="none"/>
        </w:rPr>
        <w:t xml:space="preserve">          </w:t>
      </w:r>
    </w:p>
    <w:p>
      <w:pPr>
        <w:spacing w:line="360" w:lineRule="auto"/>
        <w:ind w:firstLine="480" w:firstLineChars="200"/>
        <w:rPr>
          <w:rFonts w:ascii="宋体" w:hAnsi="宋体" w:cs="宋体"/>
          <w:sz w:val="24"/>
          <w:u w:val="none"/>
        </w:rPr>
      </w:pPr>
      <w:r>
        <w:rPr>
          <w:rFonts w:hint="eastAsia" w:ascii="宋体" w:hAnsi="宋体" w:cs="宋体"/>
          <w:sz w:val="24"/>
          <w:u w:val="none"/>
        </w:rPr>
        <w:t>地址：</w:t>
      </w:r>
      <w:r>
        <w:rPr>
          <w:rFonts w:hint="eastAsia" w:ascii="宋体" w:hAnsi="宋体" w:cs="宋体"/>
          <w:sz w:val="24"/>
          <w:u w:val="none"/>
          <w:lang w:val="en-US" w:eastAsia="zh-CN"/>
        </w:rPr>
        <w:t>邹城市西外环路对过</w:t>
      </w:r>
      <w:r>
        <w:rPr>
          <w:rFonts w:hint="eastAsia" w:ascii="宋体" w:hAnsi="宋体" w:cs="宋体"/>
          <w:sz w:val="24"/>
          <w:u w:val="none"/>
        </w:rPr>
        <w:t xml:space="preserve">                </w:t>
      </w:r>
    </w:p>
    <w:p>
      <w:pPr>
        <w:spacing w:line="360" w:lineRule="auto"/>
        <w:ind w:firstLine="480" w:firstLineChars="200"/>
        <w:rPr>
          <w:rFonts w:ascii="宋体" w:hAnsi="宋体" w:cs="宋体"/>
          <w:sz w:val="24"/>
          <w:u w:val="none"/>
        </w:rPr>
      </w:pPr>
      <w:r>
        <w:rPr>
          <w:rFonts w:hint="eastAsia" w:ascii="宋体" w:hAnsi="宋体" w:cs="宋体"/>
          <w:sz w:val="24"/>
          <w:u w:val="none"/>
        </w:rPr>
        <w:t>联系人：</w:t>
      </w:r>
      <w:r>
        <w:rPr>
          <w:rFonts w:hint="eastAsia" w:ascii="宋体" w:hAnsi="宋体" w:cs="宋体"/>
          <w:sz w:val="24"/>
          <w:u w:val="none"/>
          <w:lang w:eastAsia="zh-CN"/>
        </w:rPr>
        <w:t>金田峰</w:t>
      </w:r>
      <w:r>
        <w:rPr>
          <w:rFonts w:hint="eastAsia" w:ascii="宋体" w:hAnsi="宋体" w:cs="宋体"/>
          <w:sz w:val="24"/>
          <w:u w:val="none"/>
        </w:rPr>
        <w:t xml:space="preserve">                                 </w:t>
      </w:r>
    </w:p>
    <w:p>
      <w:pPr>
        <w:spacing w:line="360" w:lineRule="auto"/>
        <w:ind w:firstLine="480" w:firstLineChars="200"/>
        <w:rPr>
          <w:rFonts w:hint="eastAsia" w:ascii="宋体" w:hAnsi="宋体" w:cs="宋体"/>
          <w:sz w:val="24"/>
          <w:u w:val="none"/>
        </w:rPr>
      </w:pPr>
      <w:r>
        <w:rPr>
          <w:rFonts w:hint="eastAsia" w:ascii="宋体" w:hAnsi="宋体" w:cs="宋体"/>
          <w:sz w:val="24"/>
          <w:u w:val="none"/>
        </w:rPr>
        <w:t>电话：</w:t>
      </w:r>
      <w:r>
        <w:rPr>
          <w:rFonts w:hint="eastAsia" w:ascii="宋体" w:hAnsi="宋体" w:cs="宋体"/>
          <w:sz w:val="24"/>
          <w:u w:val="none"/>
          <w:lang w:eastAsia="zh-CN"/>
        </w:rPr>
        <w:t>15054751788</w:t>
      </w:r>
      <w:r>
        <w:rPr>
          <w:rFonts w:hint="eastAsia" w:ascii="宋体" w:hAnsi="宋体" w:cs="宋体"/>
          <w:sz w:val="24"/>
          <w:u w:val="none"/>
        </w:rPr>
        <w:t xml:space="preserve">          </w:t>
      </w:r>
    </w:p>
    <w:p>
      <w:pPr>
        <w:spacing w:line="360" w:lineRule="auto"/>
        <w:ind w:firstLine="480" w:firstLineChars="200"/>
        <w:rPr>
          <w:rFonts w:hint="eastAsia" w:ascii="宋体" w:hAnsi="宋体" w:cs="宋体"/>
          <w:sz w:val="24"/>
          <w:u w:val="none"/>
          <w:lang w:eastAsia="zh-CN"/>
        </w:rPr>
      </w:pPr>
      <w:r>
        <w:rPr>
          <w:rFonts w:hint="eastAsia" w:ascii="宋体" w:hAnsi="宋体" w:cs="宋体"/>
          <w:sz w:val="24"/>
          <w:u w:val="none"/>
        </w:rPr>
        <w:t>代理机构：</w:t>
      </w:r>
      <w:r>
        <w:rPr>
          <w:rFonts w:hint="eastAsia" w:ascii="宋体" w:hAnsi="宋体" w:cs="宋体"/>
          <w:sz w:val="24"/>
          <w:u w:val="none"/>
          <w:lang w:eastAsia="zh-CN"/>
        </w:rPr>
        <w:t>山东越甲项目管理咨询有限公司</w:t>
      </w:r>
    </w:p>
    <w:p>
      <w:pPr>
        <w:spacing w:line="360" w:lineRule="auto"/>
        <w:ind w:firstLine="480" w:firstLineChars="200"/>
        <w:rPr>
          <w:rFonts w:hint="default" w:ascii="宋体" w:hAnsi="宋体" w:cs="宋体"/>
          <w:sz w:val="24"/>
          <w:u w:val="none"/>
          <w:lang w:val="en-US"/>
        </w:rPr>
      </w:pPr>
      <w:r>
        <w:rPr>
          <w:rFonts w:hint="eastAsia" w:ascii="宋体" w:hAnsi="宋体" w:cs="宋体"/>
          <w:sz w:val="24"/>
          <w:u w:val="none"/>
        </w:rPr>
        <w:t>地址：</w:t>
      </w:r>
      <w:r>
        <w:rPr>
          <w:rFonts w:hint="eastAsia" w:ascii="宋体" w:hAnsi="宋体" w:cs="宋体"/>
          <w:sz w:val="24"/>
          <w:u w:val="none"/>
          <w:lang w:val="en-US" w:eastAsia="zh-CN"/>
        </w:rPr>
        <w:t>济宁市高新区湖滨印象A幢4层</w:t>
      </w:r>
    </w:p>
    <w:p>
      <w:pPr>
        <w:spacing w:line="360" w:lineRule="auto"/>
        <w:ind w:firstLine="480" w:firstLineChars="200"/>
        <w:rPr>
          <w:rFonts w:hint="eastAsia"/>
        </w:rPr>
      </w:pPr>
      <w:r>
        <w:rPr>
          <w:rFonts w:hint="eastAsia" w:ascii="宋体" w:hAnsi="宋体" w:cs="宋体"/>
          <w:sz w:val="24"/>
          <w:u w:val="none"/>
        </w:rPr>
        <w:t>联系人：</w:t>
      </w:r>
      <w:r>
        <w:rPr>
          <w:rFonts w:hint="eastAsia" w:ascii="宋体" w:hAnsi="宋体" w:cs="宋体"/>
          <w:sz w:val="24"/>
          <w:u w:val="none"/>
          <w:lang w:eastAsia="zh-CN"/>
        </w:rPr>
        <w:t>刘宇</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sz w:val="24"/>
          <w:u w:val="none"/>
        </w:rPr>
      </w:pPr>
      <w:r>
        <w:rPr>
          <w:rFonts w:hint="eastAsia" w:ascii="宋体" w:hAnsi="宋体" w:cs="宋体"/>
          <w:sz w:val="24"/>
          <w:u w:val="none"/>
        </w:rPr>
        <w:t>电话：</w:t>
      </w:r>
      <w:r>
        <w:rPr>
          <w:rFonts w:hint="eastAsia" w:ascii="宋体" w:hAnsi="宋体" w:cs="宋体"/>
          <w:sz w:val="24"/>
          <w:u w:val="none"/>
          <w:lang w:eastAsia="zh-CN"/>
        </w:rPr>
        <w:t>18562416008</w:t>
      </w:r>
      <w:r>
        <w:rPr>
          <w:rFonts w:hint="eastAsia" w:ascii="宋体" w:hAnsi="宋体" w:cs="宋体"/>
          <w:sz w:val="24"/>
          <w:u w:val="none"/>
        </w:rPr>
        <w:t xml:space="preserve">   </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2、竞争性</w:t>
      </w:r>
      <w:r>
        <w:rPr>
          <w:rFonts w:hint="eastAsia" w:ascii="宋体" w:hAnsi="宋体" w:cs="宋体"/>
          <w:bCs/>
          <w:kern w:val="0"/>
          <w:sz w:val="24"/>
          <w:highlight w:val="none"/>
          <w:lang w:val="en-US" w:eastAsia="zh-CN"/>
        </w:rPr>
        <w:t>谈判</w:t>
      </w:r>
      <w:r>
        <w:rPr>
          <w:rFonts w:hint="eastAsia" w:ascii="宋体" w:hAnsi="宋体" w:cs="宋体"/>
          <w:bCs/>
          <w:kern w:val="0"/>
          <w:sz w:val="24"/>
          <w:highlight w:val="none"/>
        </w:rPr>
        <w:t>文件一经在邹城市外宣网（http://w.mencius.gov.cn）发布，视作已发放给所有潜在供应商（发布时间即为发出</w:t>
      </w:r>
      <w:r>
        <w:rPr>
          <w:rFonts w:hint="eastAsia" w:ascii="宋体" w:hAnsi="宋体" w:cs="宋体"/>
          <w:bCs/>
          <w:kern w:val="0"/>
          <w:sz w:val="24"/>
          <w:highlight w:val="none"/>
          <w:lang w:eastAsia="zh-CN"/>
        </w:rPr>
        <w:t>谈判</w:t>
      </w:r>
      <w:r>
        <w:rPr>
          <w:rFonts w:hint="eastAsia" w:ascii="宋体" w:hAnsi="宋体" w:cs="宋体"/>
          <w:bCs/>
          <w:kern w:val="0"/>
          <w:sz w:val="24"/>
          <w:highlight w:val="none"/>
        </w:rPr>
        <w:t>文件的时间），各供应商应随时关注邹城市外宣网（http://w.mencius.gov.cn）下载电子版</w:t>
      </w:r>
      <w:r>
        <w:rPr>
          <w:rFonts w:hint="eastAsia" w:ascii="宋体" w:hAnsi="宋体" w:cs="宋体"/>
          <w:bCs/>
          <w:kern w:val="0"/>
          <w:sz w:val="24"/>
          <w:highlight w:val="none"/>
          <w:lang w:val="en-US" w:eastAsia="zh-CN"/>
        </w:rPr>
        <w:t>谈判</w:t>
      </w:r>
      <w:r>
        <w:rPr>
          <w:rFonts w:hint="eastAsia" w:ascii="宋体" w:hAnsi="宋体" w:cs="宋体"/>
          <w:bCs/>
          <w:kern w:val="0"/>
          <w:sz w:val="24"/>
          <w:highlight w:val="none"/>
        </w:rPr>
        <w:t>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发布人：</w:t>
      </w:r>
      <w:r>
        <w:rPr>
          <w:rFonts w:hint="eastAsia" w:ascii="宋体" w:hAnsi="宋体" w:cs="宋体"/>
          <w:bCs/>
          <w:kern w:val="0"/>
          <w:sz w:val="24"/>
          <w:highlight w:val="none"/>
          <w:lang w:eastAsia="zh-CN"/>
        </w:rPr>
        <w:t>邹城市凫山街道巷里社区</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山东</w:t>
      </w:r>
      <w:r>
        <w:rPr>
          <w:rFonts w:hint="eastAsia" w:ascii="宋体" w:hAnsi="宋体" w:cs="宋体"/>
          <w:bCs/>
          <w:kern w:val="0"/>
          <w:sz w:val="24"/>
          <w:highlight w:val="none"/>
          <w:lang w:val="en-US" w:eastAsia="zh-CN"/>
        </w:rPr>
        <w:t>越甲项目管理咨询</w:t>
      </w:r>
      <w:r>
        <w:rPr>
          <w:rFonts w:hint="eastAsia" w:ascii="宋体" w:hAnsi="宋体" w:cs="宋体"/>
          <w:bCs/>
          <w:kern w:val="0"/>
          <w:sz w:val="24"/>
          <w:highlight w:val="none"/>
        </w:rPr>
        <w:t>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 xml:space="preserve">  发布时间：2023年</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w:t>
      </w:r>
      <w:r>
        <w:rPr>
          <w:rFonts w:hint="eastAsia" w:ascii="宋体" w:hAnsi="宋体" w:cs="宋体"/>
          <w:bCs/>
          <w:kern w:val="0"/>
          <w:sz w:val="24"/>
          <w:highlight w:val="none"/>
        </w:rPr>
        <w:t>日</w:t>
      </w:r>
      <w:bookmarkEnd w:id="4"/>
    </w:p>
    <w:p>
      <w:pPr>
        <w:pStyle w:val="45"/>
        <w:spacing w:before="0" w:after="0" w:line="360" w:lineRule="auto"/>
        <w:jc w:val="right"/>
        <w:rPr>
          <w:rFonts w:ascii="宋体" w:hAnsi="宋体" w:cs="Arial"/>
          <w:sz w:val="24"/>
          <w:highlight w:val="none"/>
        </w:rPr>
      </w:pPr>
      <w:r>
        <w:rPr>
          <w:rFonts w:ascii="宋体" w:hAnsi="宋体" w:cs="Arial"/>
          <w:sz w:val="24"/>
          <w:highlight w:val="none"/>
        </w:rPr>
        <w:br w:type="page"/>
      </w:r>
    </w:p>
    <w:p>
      <w:pPr>
        <w:pStyle w:val="45"/>
        <w:spacing w:before="0" w:after="0" w:line="360" w:lineRule="auto"/>
        <w:rPr>
          <w:b w:val="0"/>
          <w:highlight w:val="none"/>
        </w:rPr>
      </w:pPr>
      <w:bookmarkStart w:id="5" w:name="_Toc40190848"/>
      <w:r>
        <w:rPr>
          <w:rStyle w:val="267"/>
          <w:rFonts w:hint="eastAsia"/>
          <w:b/>
          <w:sz w:val="44"/>
          <w:highlight w:val="none"/>
        </w:rPr>
        <w:t>第二章</w:t>
      </w:r>
      <w:r>
        <w:rPr>
          <w:rStyle w:val="267"/>
          <w:b/>
          <w:sz w:val="44"/>
          <w:highlight w:val="none"/>
        </w:rPr>
        <w:t>供应商须知</w:t>
      </w:r>
      <w:bookmarkEnd w:id="3"/>
      <w:bookmarkEnd w:id="5"/>
      <w:bookmarkStart w:id="6" w:name="_Toc456970754"/>
      <w:bookmarkStart w:id="7" w:name="_Toc456970517"/>
      <w:bookmarkStart w:id="8" w:name="_Toc456970456"/>
      <w:bookmarkStart w:id="9" w:name="_Toc467665720"/>
    </w:p>
    <w:p>
      <w:pPr>
        <w:pStyle w:val="3"/>
        <w:keepNext w:val="0"/>
        <w:widowControl/>
        <w:tabs>
          <w:tab w:val="clear" w:pos="720"/>
          <w:tab w:val="clear" w:pos="1440"/>
        </w:tabs>
        <w:spacing w:line="360" w:lineRule="auto"/>
        <w:rPr>
          <w:rFonts w:hint="default" w:hAnsi="宋体"/>
          <w:sz w:val="28"/>
          <w:szCs w:val="28"/>
          <w:highlight w:val="none"/>
        </w:rPr>
      </w:pPr>
      <w:bookmarkStart w:id="10" w:name="_Toc532893058"/>
      <w:bookmarkStart w:id="11" w:name="_Toc40190849"/>
      <w:bookmarkStart w:id="12" w:name="_Toc23861"/>
      <w:bookmarkStart w:id="13" w:name="_Toc1048317"/>
      <w:r>
        <w:rPr>
          <w:rFonts w:hAnsi="宋体"/>
          <w:sz w:val="28"/>
          <w:szCs w:val="28"/>
          <w:highlight w:val="none"/>
        </w:rPr>
        <w:t>供应商须知前附表</w:t>
      </w:r>
      <w:bookmarkEnd w:id="6"/>
      <w:bookmarkEnd w:id="7"/>
      <w:bookmarkEnd w:id="8"/>
      <w:bookmarkEnd w:id="9"/>
      <w:bookmarkEnd w:id="10"/>
      <w:bookmarkEnd w:id="11"/>
      <w:bookmarkEnd w:id="12"/>
      <w:bookmarkEnd w:id="13"/>
    </w:p>
    <w:tbl>
      <w:tblPr>
        <w:tblStyle w:val="49"/>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10"/>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cs="宋体" w:asciiTheme="minorEastAsia" w:hAnsiTheme="minorEastAsia"/>
                <w:sz w:val="24"/>
                <w:highlight w:val="none"/>
              </w:rPr>
            </w:pPr>
            <w:r>
              <w:rPr>
                <w:rFonts w:hint="eastAsia" w:cs="宋体" w:asciiTheme="minorEastAsia" w:hAnsiTheme="minorEastAsia"/>
                <w:sz w:val="24"/>
                <w:highlight w:val="none"/>
              </w:rPr>
              <w:t>序号</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项   目</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firstLineChars="200"/>
              <w:jc w:val="center"/>
              <w:rPr>
                <w:rFonts w:cs="宋体" w:asciiTheme="minorEastAsia" w:hAnsiTheme="minorEastAsia"/>
                <w:sz w:val="24"/>
                <w:highlight w:val="none"/>
              </w:rPr>
            </w:pPr>
            <w:r>
              <w:rPr>
                <w:rFonts w:hint="eastAsia" w:cs="宋体" w:asciiTheme="minorEastAsia" w:hAnsiTheme="minorEastAsia"/>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rPr>
                <w:rFonts w:cs="宋体" w:asciiTheme="minorEastAsia" w:hAnsiTheme="minorEastAsia"/>
                <w:sz w:val="24"/>
                <w:highlight w:val="none"/>
              </w:rPr>
            </w:pPr>
            <w:r>
              <w:rPr>
                <w:rFonts w:hint="eastAsia" w:cs="宋体" w:asciiTheme="minorEastAsia" w:hAnsiTheme="minorEastAsia"/>
                <w:sz w:val="24"/>
                <w:highlight w:val="none"/>
              </w:rPr>
              <w:t>1</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项目名称、</w:t>
            </w:r>
          </w:p>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项目编号</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cs="宋体" w:asciiTheme="minorEastAsia" w:hAnsiTheme="minorEastAsia" w:eastAsiaTheme="minorEastAsia"/>
                <w:sz w:val="24"/>
                <w:highlight w:val="none"/>
                <w:lang w:eastAsia="zh-CN"/>
              </w:rPr>
            </w:pPr>
            <w:r>
              <w:rPr>
                <w:rFonts w:hint="eastAsia" w:cs="宋体" w:asciiTheme="minorEastAsia" w:hAnsiTheme="minorEastAsia"/>
                <w:sz w:val="24"/>
                <w:highlight w:val="none"/>
              </w:rPr>
              <w:t>项目名称：</w:t>
            </w:r>
            <w:r>
              <w:rPr>
                <w:rFonts w:hint="eastAsia" w:cs="宋体" w:asciiTheme="minorEastAsia" w:hAnsiTheme="minorEastAsia"/>
                <w:sz w:val="24"/>
                <w:highlight w:val="none"/>
                <w:lang w:eastAsia="zh-CN"/>
              </w:rPr>
              <w:t>邹城市凫山街道巷里社区沥青路面铺设及配套设施工程项目</w:t>
            </w:r>
          </w:p>
          <w:p>
            <w:pPr>
              <w:spacing w:line="460" w:lineRule="exact"/>
              <w:rPr>
                <w:rFonts w:hint="eastAsia" w:cs="宋体" w:asciiTheme="minorEastAsia" w:hAnsiTheme="minorEastAsia" w:eastAsiaTheme="minorEastAsia"/>
                <w:sz w:val="24"/>
                <w:highlight w:val="none"/>
                <w:lang w:eastAsia="zh-CN"/>
              </w:rPr>
            </w:pPr>
            <w:r>
              <w:rPr>
                <w:rFonts w:hint="eastAsia" w:cs="宋体" w:asciiTheme="minorEastAsia" w:hAnsiTheme="minorEastAsia"/>
                <w:sz w:val="24"/>
                <w:highlight w:val="none"/>
              </w:rPr>
              <w:t>项目编号：</w:t>
            </w:r>
            <w:r>
              <w:rPr>
                <w:rFonts w:hint="eastAsia" w:cs="宋体" w:asciiTheme="minorEastAsia" w:hAnsiTheme="minorEastAsia"/>
                <w:sz w:val="24"/>
                <w:highlight w:val="none"/>
                <w:lang w:eastAsia="zh-CN"/>
              </w:rPr>
              <w:t>SDYJ2023-CG-006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rPr>
                <w:rFonts w:cs="宋体" w:asciiTheme="minorEastAsia" w:hAnsiTheme="minorEastAsia"/>
                <w:sz w:val="24"/>
                <w:highlight w:val="none"/>
              </w:rPr>
            </w:pPr>
            <w:r>
              <w:rPr>
                <w:rFonts w:hint="eastAsia" w:cs="宋体" w:asciiTheme="minorEastAsia" w:hAnsiTheme="minorEastAsia"/>
                <w:sz w:val="24"/>
                <w:highlight w:val="none"/>
              </w:rPr>
              <w:t>2</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jc w:val="center"/>
              <w:rPr>
                <w:rFonts w:cs="宋体" w:asciiTheme="minorEastAsia" w:hAnsiTheme="minorEastAsia"/>
                <w:sz w:val="24"/>
                <w:highlight w:val="none"/>
              </w:rPr>
            </w:pPr>
            <w:r>
              <w:rPr>
                <w:rFonts w:hint="eastAsia" w:cs="宋体" w:asciiTheme="minorEastAsia" w:hAnsiTheme="minorEastAsia"/>
                <w:sz w:val="24"/>
                <w:highlight w:val="none"/>
              </w:rPr>
              <w:t>采购人、联系人及联系电话</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left"/>
              <w:rPr>
                <w:rFonts w:hint="eastAsia" w:cs="宋体" w:asciiTheme="minorEastAsia" w:hAnsiTheme="minorEastAsia" w:eastAsiaTheme="minorEastAsia"/>
                <w:sz w:val="24"/>
                <w:highlight w:val="none"/>
                <w:lang w:eastAsia="zh-CN"/>
              </w:rPr>
            </w:pPr>
            <w:r>
              <w:rPr>
                <w:rFonts w:hint="eastAsia" w:cs="宋体" w:asciiTheme="minorEastAsia" w:hAnsiTheme="minorEastAsia"/>
                <w:sz w:val="24"/>
                <w:highlight w:val="none"/>
              </w:rPr>
              <w:t>采购人：</w:t>
            </w:r>
            <w:r>
              <w:rPr>
                <w:rFonts w:hint="eastAsia" w:cs="宋体" w:asciiTheme="minorEastAsia" w:hAnsiTheme="minorEastAsia"/>
                <w:sz w:val="24"/>
                <w:highlight w:val="none"/>
                <w:lang w:eastAsia="zh-CN"/>
              </w:rPr>
              <w:t>邹城市凫山街道巷里社区</w:t>
            </w:r>
          </w:p>
          <w:p>
            <w:pPr>
              <w:spacing w:line="460" w:lineRule="exact"/>
              <w:rPr>
                <w:rFonts w:hint="eastAsia" w:cs="Arial" w:asciiTheme="minorEastAsia" w:hAnsiTheme="minorEastAsia" w:eastAsiaTheme="minorEastAsia"/>
                <w:sz w:val="24"/>
                <w:highlight w:val="none"/>
                <w:lang w:eastAsia="zh-CN"/>
              </w:rPr>
            </w:pPr>
            <w:r>
              <w:rPr>
                <w:rFonts w:hint="eastAsia" w:cs="宋体" w:asciiTheme="minorEastAsia" w:hAnsiTheme="minorEastAsia"/>
                <w:sz w:val="24"/>
                <w:highlight w:val="none"/>
              </w:rPr>
              <w:t>联系人：</w:t>
            </w:r>
            <w:r>
              <w:rPr>
                <w:rFonts w:hint="eastAsia" w:cs="宋体" w:asciiTheme="minorEastAsia" w:hAnsiTheme="minorEastAsia"/>
                <w:sz w:val="24"/>
                <w:highlight w:val="none"/>
                <w:lang w:val="en-US" w:eastAsia="zh-CN"/>
              </w:rPr>
              <w:t>金田峰</w:t>
            </w:r>
          </w:p>
          <w:p>
            <w:pPr>
              <w:spacing w:line="460" w:lineRule="exact"/>
              <w:rPr>
                <w:rFonts w:hint="default" w:cs="宋体" w:asciiTheme="minorEastAsia" w:hAnsiTheme="minorEastAsia" w:eastAsiaTheme="minorEastAsia"/>
                <w:sz w:val="24"/>
                <w:highlight w:val="none"/>
                <w:lang w:val="en-US" w:eastAsia="zh-CN"/>
              </w:rPr>
            </w:pPr>
            <w:r>
              <w:rPr>
                <w:rFonts w:hint="eastAsia" w:cs="Arial" w:asciiTheme="minorEastAsia" w:hAnsiTheme="minorEastAsia"/>
                <w:sz w:val="24"/>
                <w:highlight w:val="none"/>
              </w:rPr>
              <w:t>联系</w:t>
            </w:r>
            <w:r>
              <w:rPr>
                <w:rFonts w:hint="eastAsia" w:cs="宋体" w:asciiTheme="minorEastAsia" w:hAnsiTheme="minorEastAsia"/>
                <w:sz w:val="24"/>
                <w:highlight w:val="none"/>
              </w:rPr>
              <w:t>电话：</w:t>
            </w:r>
            <w:r>
              <w:rPr>
                <w:rFonts w:hint="eastAsia" w:cs="宋体" w:asciiTheme="minorEastAsia" w:hAnsiTheme="minorEastAsia"/>
                <w:sz w:val="24"/>
                <w:highlight w:val="none"/>
                <w:lang w:val="en-US" w:eastAsia="zh-CN"/>
              </w:rPr>
              <w:t>15054751788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rPr>
                <w:rFonts w:cs="宋体" w:asciiTheme="minorEastAsia" w:hAnsiTheme="minorEastAsia"/>
                <w:sz w:val="24"/>
                <w:highlight w:val="none"/>
              </w:rPr>
            </w:pPr>
            <w:r>
              <w:rPr>
                <w:rFonts w:hint="eastAsia" w:cs="宋体" w:asciiTheme="minorEastAsia" w:hAnsiTheme="minorEastAsia"/>
                <w:sz w:val="24"/>
                <w:highlight w:val="none"/>
              </w:rPr>
              <w:t>3</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代理机构、</w:t>
            </w:r>
          </w:p>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联系人及</w:t>
            </w:r>
          </w:p>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联系电话</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left"/>
              <w:rPr>
                <w:rFonts w:hint="eastAsia" w:cs="宋体" w:asciiTheme="minorEastAsia" w:hAnsiTheme="minorEastAsia" w:eastAsiaTheme="minorEastAsia"/>
                <w:sz w:val="24"/>
                <w:highlight w:val="none"/>
                <w:lang w:eastAsia="zh-CN"/>
              </w:rPr>
            </w:pPr>
            <w:r>
              <w:rPr>
                <w:rFonts w:hint="eastAsia" w:cs="宋体" w:asciiTheme="minorEastAsia" w:hAnsiTheme="minorEastAsia"/>
                <w:sz w:val="24"/>
                <w:highlight w:val="none"/>
              </w:rPr>
              <w:t>采购代理机构：</w:t>
            </w:r>
            <w:r>
              <w:rPr>
                <w:rFonts w:hint="eastAsia" w:cs="宋体" w:asciiTheme="minorEastAsia" w:hAnsiTheme="minorEastAsia"/>
                <w:sz w:val="24"/>
                <w:highlight w:val="none"/>
                <w:lang w:eastAsia="zh-CN"/>
              </w:rPr>
              <w:t>山东越甲项目管理咨询有限公司</w:t>
            </w:r>
          </w:p>
          <w:p>
            <w:pPr>
              <w:spacing w:line="460" w:lineRule="exact"/>
              <w:jc w:val="left"/>
              <w:rPr>
                <w:rFonts w:cs="Arial" w:asciiTheme="minorEastAsia" w:hAnsiTheme="minorEastAsia"/>
                <w:sz w:val="24"/>
                <w:highlight w:val="none"/>
              </w:rPr>
            </w:pPr>
            <w:r>
              <w:rPr>
                <w:rFonts w:hint="eastAsia" w:cs="Arial" w:asciiTheme="minorEastAsia" w:hAnsiTheme="minorEastAsia"/>
                <w:sz w:val="24"/>
                <w:highlight w:val="none"/>
              </w:rPr>
              <w:t>联</w:t>
            </w:r>
            <w:r>
              <w:rPr>
                <w:rFonts w:hint="eastAsia" w:cs="Arial" w:asciiTheme="minorEastAsia" w:hAnsiTheme="minorEastAsia"/>
                <w:sz w:val="24"/>
                <w:highlight w:val="none"/>
                <w:lang w:val="en-US" w:eastAsia="zh-CN"/>
              </w:rPr>
              <w:t xml:space="preserve"> </w:t>
            </w:r>
            <w:r>
              <w:rPr>
                <w:rFonts w:hint="eastAsia" w:cs="Arial" w:asciiTheme="minorEastAsia" w:hAnsiTheme="minorEastAsia"/>
                <w:sz w:val="24"/>
                <w:highlight w:val="none"/>
              </w:rPr>
              <w:t>系</w:t>
            </w:r>
            <w:r>
              <w:rPr>
                <w:rFonts w:hint="eastAsia" w:cs="Arial" w:asciiTheme="minorEastAsia" w:hAnsiTheme="minorEastAsia"/>
                <w:sz w:val="24"/>
                <w:highlight w:val="none"/>
                <w:lang w:val="en-US" w:eastAsia="zh-CN"/>
              </w:rPr>
              <w:t xml:space="preserve"> </w:t>
            </w:r>
            <w:r>
              <w:rPr>
                <w:rFonts w:hint="eastAsia" w:cs="Arial" w:asciiTheme="minorEastAsia" w:hAnsiTheme="minorEastAsia"/>
                <w:sz w:val="24"/>
                <w:highlight w:val="none"/>
              </w:rPr>
              <w:t>人：</w:t>
            </w:r>
            <w:r>
              <w:rPr>
                <w:rFonts w:hint="eastAsia" w:cs="Arial" w:asciiTheme="minorEastAsia" w:hAnsiTheme="minorEastAsia"/>
                <w:sz w:val="24"/>
                <w:highlight w:val="none"/>
                <w:lang w:eastAsia="zh-CN"/>
              </w:rPr>
              <w:t>刘宇</w:t>
            </w:r>
            <w:r>
              <w:rPr>
                <w:rFonts w:hint="eastAsia" w:cs="Arial" w:asciiTheme="minorEastAsia" w:hAnsiTheme="minorEastAsia"/>
                <w:sz w:val="24"/>
                <w:highlight w:val="none"/>
              </w:rPr>
              <w:t xml:space="preserve">          </w:t>
            </w:r>
          </w:p>
          <w:p>
            <w:pPr>
              <w:spacing w:line="460" w:lineRule="exact"/>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cstheme="minorEastAsia"/>
                <w:sz w:val="24"/>
                <w:highlight w:val="none"/>
              </w:rPr>
              <w:t>联系电话：</w:t>
            </w:r>
            <w:r>
              <w:rPr>
                <w:rFonts w:hint="eastAsia" w:asciiTheme="minorEastAsia" w:hAnsiTheme="minorEastAsia" w:cstheme="minorEastAsia"/>
                <w:sz w:val="24"/>
                <w:highlight w:val="none"/>
                <w:lang w:eastAsia="zh-CN"/>
              </w:rPr>
              <w:t>18562416008</w:t>
            </w:r>
            <w:r>
              <w:rPr>
                <w:rFonts w:hint="eastAsia" w:asciiTheme="minorEastAsia" w:hAnsiTheme="minorEastAsia" w:cstheme="minorEastAsia"/>
                <w:sz w:val="24"/>
                <w:highlight w:val="none"/>
                <w:lang w:val="en-US" w:eastAsia="zh-CN"/>
              </w:rPr>
              <w:t xml:space="preserve">   </w:t>
            </w:r>
            <w:r>
              <w:rPr>
                <w:rFonts w:hint="eastAsia" w:asciiTheme="minorEastAsia" w:hAnsiTheme="minorEastAsia" w:cstheme="minorEastAsia"/>
                <w:sz w:val="24"/>
                <w:highlight w:val="none"/>
                <w:lang w:eastAsia="zh-CN"/>
              </w:rPr>
              <w:t xml:space="preserve">  </w:t>
            </w:r>
          </w:p>
          <w:p>
            <w:pPr>
              <w:pStyle w:val="21"/>
              <w:spacing w:after="0" w:line="460" w:lineRule="exact"/>
              <w:rPr>
                <w:rFonts w:hint="eastAsia" w:eastAsiaTheme="minorEastAsia"/>
                <w:highlight w:val="none"/>
                <w:lang w:eastAsia="zh-CN"/>
              </w:rPr>
            </w:pPr>
            <w:r>
              <w:rPr>
                <w:rFonts w:hint="eastAsia" w:asciiTheme="minorEastAsia" w:hAnsiTheme="minorEastAsia" w:eastAsiaTheme="minorEastAsia" w:cstheme="minorEastAsia"/>
                <w:sz w:val="24"/>
                <w:highlight w:val="none"/>
              </w:rPr>
              <w:t>邮</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箱：</w:t>
            </w:r>
            <w:r>
              <w:rPr>
                <w:rFonts w:hint="eastAsia" w:asciiTheme="minorEastAsia" w:hAnsiTheme="minorEastAsia" w:eastAsiaTheme="minorEastAsia" w:cstheme="minorEastAsia"/>
                <w:sz w:val="24"/>
                <w:highlight w:val="none"/>
                <w:lang w:val="en-US" w:eastAsia="zh-CN"/>
              </w:rPr>
              <w:t>jndyfgs@163.com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rPr>
                <w:rFonts w:cs="宋体" w:asciiTheme="minorEastAsia" w:hAnsiTheme="minorEastAsia"/>
                <w:sz w:val="24"/>
                <w:highlight w:val="none"/>
              </w:rPr>
            </w:pPr>
            <w:r>
              <w:rPr>
                <w:rFonts w:hint="eastAsia" w:cs="宋体" w:asciiTheme="minorEastAsia" w:hAnsiTheme="minorEastAsia"/>
                <w:sz w:val="24"/>
                <w:highlight w:val="none"/>
              </w:rPr>
              <w:t>4</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31" w:firstLineChars="13"/>
              <w:jc w:val="center"/>
              <w:rPr>
                <w:rFonts w:cs="宋体" w:asciiTheme="minorEastAsia" w:hAnsiTheme="minorEastAsia"/>
                <w:sz w:val="24"/>
                <w:highlight w:val="none"/>
              </w:rPr>
            </w:pPr>
            <w:r>
              <w:rPr>
                <w:rFonts w:hint="eastAsia" w:cs="宋体" w:asciiTheme="minorEastAsia" w:hAnsiTheme="minorEastAsia"/>
                <w:sz w:val="24"/>
                <w:highlight w:val="none"/>
              </w:rPr>
              <w:t>采购内容</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eastAsia" w:ascii="宋体" w:hAnsi="宋体" w:cs="Arial" w:eastAsiaTheme="minorEastAsia"/>
                <w:sz w:val="24"/>
                <w:highlight w:val="none"/>
                <w:lang w:val="en-US" w:eastAsia="zh-CN"/>
              </w:rPr>
            </w:pPr>
            <w:r>
              <w:rPr>
                <w:rFonts w:hint="eastAsia" w:cs="Arial" w:asciiTheme="minorEastAsia" w:hAnsiTheme="minorEastAsia"/>
                <w:sz w:val="24"/>
                <w:highlight w:val="none"/>
              </w:rPr>
              <w:t>本项目为</w:t>
            </w:r>
            <w:r>
              <w:rPr>
                <w:rFonts w:hint="eastAsia" w:cs="Arial" w:asciiTheme="minorEastAsia" w:hAnsiTheme="minorEastAsia"/>
                <w:sz w:val="24"/>
                <w:highlight w:val="none"/>
                <w:lang w:eastAsia="zh-CN"/>
              </w:rPr>
              <w:t>邹城市凫山街道巷里社区沥青路面铺设及配套设施工程项目</w:t>
            </w:r>
            <w:r>
              <w:rPr>
                <w:rFonts w:hint="eastAsia" w:cs="Arial" w:asciiTheme="minorEastAsia" w:hAnsiTheme="minorEastAsia"/>
                <w:sz w:val="24"/>
                <w:highlight w:val="none"/>
              </w:rPr>
              <w:t>，具体详见</w:t>
            </w:r>
            <w:r>
              <w:rPr>
                <w:rFonts w:hint="eastAsia" w:cs="Arial" w:asciiTheme="minorEastAsia" w:hAnsiTheme="minorEastAsia"/>
                <w:sz w:val="24"/>
                <w:highlight w:val="none"/>
                <w:lang w:val="en-US" w:eastAsia="zh-CN"/>
              </w:rPr>
              <w:t>工程量</w:t>
            </w:r>
            <w:r>
              <w:rPr>
                <w:rFonts w:hint="eastAsia" w:cs="Arial" w:asciiTheme="minorEastAsia" w:hAnsiTheme="minorEastAsia"/>
                <w:sz w:val="24"/>
                <w:highlight w:val="none"/>
              </w:rPr>
              <w:t>清单</w:t>
            </w:r>
            <w:r>
              <w:rPr>
                <w:rFonts w:hint="eastAsia" w:cs="Arial" w:asciiTheme="minorEastAsia" w:hAnsiTheme="minorEastAsia"/>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rPr>
                <w:rFonts w:cs="宋体" w:asciiTheme="minorEastAsia" w:hAnsiTheme="minorEastAsia"/>
                <w:sz w:val="24"/>
                <w:highlight w:val="none"/>
              </w:rPr>
            </w:pPr>
            <w:r>
              <w:rPr>
                <w:rFonts w:hint="eastAsia" w:cs="宋体" w:asciiTheme="minorEastAsia" w:hAnsiTheme="minorEastAsia"/>
                <w:sz w:val="24"/>
                <w:highlight w:val="none"/>
              </w:rPr>
              <w:t>5</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31" w:firstLineChars="13"/>
              <w:jc w:val="center"/>
              <w:rPr>
                <w:rFonts w:cs="宋体" w:asciiTheme="minorEastAsia" w:hAnsiTheme="minorEastAsia"/>
                <w:sz w:val="24"/>
                <w:highlight w:val="none"/>
              </w:rPr>
            </w:pPr>
            <w:r>
              <w:rPr>
                <w:rFonts w:hint="eastAsia" w:cs="宋体" w:asciiTheme="minorEastAsia" w:hAnsiTheme="minorEastAsia"/>
                <w:sz w:val="24"/>
                <w:highlight w:val="none"/>
              </w:rPr>
              <w:t>采购方式</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cs="宋体" w:asciiTheme="minorEastAsia" w:hAnsiTheme="minorEastAsia"/>
                <w:sz w:val="24"/>
                <w:highlight w:val="none"/>
              </w:rPr>
            </w:pPr>
            <w:r>
              <w:rPr>
                <w:rFonts w:hint="eastAsia" w:cs="宋体" w:asciiTheme="minorEastAsia" w:hAnsiTheme="minorEastAsia"/>
                <w:sz w:val="24"/>
                <w:highlight w:val="none"/>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rPr>
                <w:rFonts w:cs="宋体" w:asciiTheme="minorEastAsia" w:hAnsiTheme="minorEastAsia"/>
                <w:sz w:val="24"/>
                <w:highlight w:val="none"/>
              </w:rPr>
            </w:pPr>
            <w:r>
              <w:rPr>
                <w:rFonts w:hint="eastAsia" w:cs="宋体" w:asciiTheme="minorEastAsia" w:hAnsiTheme="minorEastAsia"/>
                <w:sz w:val="24"/>
                <w:highlight w:val="none"/>
              </w:rPr>
              <w:t>6</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31" w:firstLineChars="13"/>
              <w:jc w:val="center"/>
              <w:rPr>
                <w:rFonts w:cs="宋体" w:asciiTheme="minorEastAsia" w:hAnsiTheme="minorEastAsia"/>
                <w:sz w:val="24"/>
                <w:highlight w:val="none"/>
              </w:rPr>
            </w:pPr>
            <w:r>
              <w:rPr>
                <w:rFonts w:hint="eastAsia" w:cs="宋体" w:asciiTheme="minorEastAsia" w:hAnsiTheme="minorEastAsia"/>
                <w:sz w:val="24"/>
                <w:highlight w:val="none"/>
              </w:rPr>
              <w:t>采购预算</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default" w:cs="宋体" w:asciiTheme="minorEastAsia" w:hAnsiTheme="minorEastAsia"/>
                <w:b/>
                <w:bCs/>
                <w:color w:val="auto"/>
                <w:sz w:val="24"/>
                <w:highlight w:val="none"/>
                <w:lang w:val="en-US" w:eastAsia="zh-CN"/>
              </w:rPr>
            </w:pPr>
            <w:r>
              <w:rPr>
                <w:rFonts w:hint="eastAsia" w:cs="宋体" w:asciiTheme="minorEastAsia" w:hAnsiTheme="minorEastAsia"/>
                <w:b/>
                <w:bCs/>
                <w:sz w:val="24"/>
                <w:highlight w:val="none"/>
              </w:rPr>
              <w:t>采购预算：</w:t>
            </w:r>
            <w:r>
              <w:rPr>
                <w:rFonts w:hint="eastAsia" w:cs="宋体" w:asciiTheme="minorEastAsia" w:hAnsiTheme="minorEastAsia"/>
                <w:b/>
                <w:bCs/>
                <w:color w:val="auto"/>
                <w:sz w:val="24"/>
                <w:highlight w:val="none"/>
                <w:lang w:val="en-US" w:eastAsia="zh-CN"/>
              </w:rPr>
              <w:t>大写：贰拾陆万捌仟柒佰贰拾伍元陆角捌分</w:t>
            </w:r>
          </w:p>
          <w:p>
            <w:pPr>
              <w:spacing w:line="460" w:lineRule="exact"/>
              <w:ind w:firstLine="1205" w:firstLineChars="500"/>
              <w:rPr>
                <w:rFonts w:hint="eastAsia" w:cs="宋体" w:asciiTheme="minorEastAsia" w:hAnsiTheme="minorEastAsia"/>
                <w:b/>
                <w:bCs/>
                <w:color w:val="auto"/>
                <w:sz w:val="24"/>
                <w:highlight w:val="none"/>
              </w:rPr>
            </w:pPr>
            <w:r>
              <w:rPr>
                <w:rFonts w:hint="eastAsia" w:cs="宋体" w:asciiTheme="minorEastAsia" w:hAnsiTheme="minorEastAsia"/>
                <w:b/>
                <w:bCs/>
                <w:color w:val="auto"/>
                <w:sz w:val="24"/>
                <w:highlight w:val="none"/>
                <w:lang w:val="en-US" w:eastAsia="zh-CN"/>
              </w:rPr>
              <w:t>小写：</w:t>
            </w:r>
            <w:r>
              <w:rPr>
                <w:rFonts w:hint="eastAsia" w:cs="宋体" w:asciiTheme="minorEastAsia" w:hAnsiTheme="minorEastAsia"/>
                <w:b/>
                <w:bCs/>
                <w:color w:val="auto"/>
                <w:sz w:val="24"/>
                <w:highlight w:val="none"/>
              </w:rPr>
              <w:t>¥</w:t>
            </w:r>
            <w:r>
              <w:rPr>
                <w:rFonts w:hint="eastAsia" w:cs="宋体" w:asciiTheme="minorEastAsia" w:hAnsiTheme="minorEastAsia"/>
                <w:b/>
                <w:bCs/>
                <w:color w:val="auto"/>
                <w:sz w:val="24"/>
                <w:highlight w:val="none"/>
                <w:lang w:val="en-US" w:eastAsia="zh-CN"/>
              </w:rPr>
              <w:t>268725.68</w:t>
            </w:r>
            <w:r>
              <w:rPr>
                <w:rFonts w:hint="eastAsia" w:cs="宋体" w:asciiTheme="minorEastAsia" w:hAnsiTheme="minorEastAsia"/>
                <w:b/>
                <w:bCs/>
                <w:color w:val="auto"/>
                <w:sz w:val="24"/>
                <w:highlight w:val="none"/>
              </w:rPr>
              <w:t>元</w:t>
            </w:r>
          </w:p>
          <w:p>
            <w:pPr>
              <w:spacing w:line="460" w:lineRule="exact"/>
              <w:rPr>
                <w:rFonts w:cs="宋体" w:asciiTheme="minorEastAsia" w:hAnsiTheme="minorEastAsia"/>
                <w:sz w:val="24"/>
                <w:highlight w:val="none"/>
              </w:rPr>
            </w:pPr>
            <w:r>
              <w:rPr>
                <w:rFonts w:hint="eastAsia" w:ascii="宋体" w:hAnsi="宋体" w:eastAsia="宋体"/>
                <w:b/>
                <w:bCs/>
                <w:sz w:val="24"/>
                <w:highlight w:val="none"/>
              </w:rPr>
              <w:t>供应商的报价不得超过采购预算金额，超出采购预算金额的报价按无效报价处理。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240" w:firstLineChars="100"/>
              <w:rPr>
                <w:rFonts w:cs="宋体" w:asciiTheme="minorEastAsia" w:hAnsiTheme="minorEastAsia"/>
                <w:sz w:val="24"/>
                <w:highlight w:val="none"/>
              </w:rPr>
            </w:pPr>
            <w:r>
              <w:rPr>
                <w:rFonts w:hint="eastAsia" w:cs="宋体" w:asciiTheme="minorEastAsia" w:hAnsiTheme="minorEastAsia"/>
                <w:sz w:val="24"/>
                <w:highlight w:val="none"/>
              </w:rPr>
              <w:t>7</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报价有效期</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u w:val="single"/>
              </w:rPr>
              <w:t>90</w:t>
            </w:r>
            <w:r>
              <w:rPr>
                <w:rFonts w:hint="eastAsia" w:cs="宋体" w:asciiTheme="minorEastAsia" w:hAnsiTheme="minorEastAsia" w:eastAsiaTheme="minorEastAsia"/>
                <w:sz w:val="24"/>
                <w:highlight w:val="none"/>
              </w:rPr>
              <w:t xml:space="preserve">日历天（自报价截止之日起）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纸质报价</w:t>
            </w:r>
          </w:p>
          <w:p>
            <w:pPr>
              <w:pStyle w:val="18"/>
              <w:widowControl/>
              <w:spacing w:line="460" w:lineRule="exact"/>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文件份数</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响应文件正本壹份, 副本</w:t>
            </w:r>
            <w:r>
              <w:rPr>
                <w:rFonts w:hint="eastAsia" w:cs="宋体" w:asciiTheme="minorEastAsia" w:hAnsiTheme="minorEastAsia" w:eastAsiaTheme="minorEastAsia"/>
                <w:sz w:val="24"/>
                <w:highlight w:val="none"/>
                <w:lang w:val="en-US" w:eastAsia="zh-CN"/>
              </w:rPr>
              <w:t>贰</w:t>
            </w:r>
            <w:r>
              <w:rPr>
                <w:rFonts w:hint="eastAsia" w:cs="宋体" w:asciiTheme="minorEastAsia" w:hAnsiTheme="minorEastAsia" w:eastAsiaTheme="minorEastAsia"/>
                <w:sz w:val="24"/>
                <w:highlight w:val="none"/>
              </w:rPr>
              <w:t>份，</w:t>
            </w:r>
            <w:r>
              <w:rPr>
                <w:rFonts w:hint="eastAsia" w:asciiTheme="minorEastAsia" w:hAnsiTheme="minorEastAsia" w:eastAsiaTheme="minorEastAsia"/>
                <w:sz w:val="24"/>
                <w:highlight w:val="none"/>
              </w:rPr>
              <w:t>电子版一份（电子报价文件以U盘形式单独密封递交）。</w:t>
            </w:r>
          </w:p>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正本具有法律效力。当副本与正本不一致时以正本为准。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31" w:firstLineChars="13"/>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签字或盖章要求</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报价文件应按第五章“报价文件格式”要求进行签字或盖章，否则其报价文件作废标处理。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纸质报价文件</w:t>
            </w:r>
          </w:p>
          <w:p>
            <w:pPr>
              <w:pStyle w:val="18"/>
              <w:widowControl/>
              <w:spacing w:line="460" w:lineRule="exact"/>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的密封</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cs="宋体" w:asciiTheme="minorEastAsia" w:hAnsiTheme="minorEastAsia"/>
                <w:sz w:val="24"/>
                <w:highlight w:val="none"/>
              </w:rPr>
            </w:pPr>
            <w:r>
              <w:rPr>
                <w:rFonts w:hint="eastAsia" w:cs="宋体" w:asciiTheme="minorEastAsia" w:hAnsiTheme="minorEastAsia"/>
                <w:sz w:val="24"/>
                <w:highlight w:val="none"/>
              </w:rPr>
              <w:t>1、密封套应标注项目名称、供应商名称等内容，密封套封口处应加盖供应商单位公章。</w:t>
            </w:r>
          </w:p>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2、未按照上述要求密封及在密封套标注的，其报价文件将被拒绝。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纸质报价文件</w:t>
            </w:r>
          </w:p>
          <w:p>
            <w:pPr>
              <w:spacing w:line="460" w:lineRule="exact"/>
              <w:jc w:val="center"/>
              <w:rPr>
                <w:rFonts w:cs="宋体" w:asciiTheme="minorEastAsia" w:hAnsiTheme="minorEastAsia"/>
                <w:sz w:val="24"/>
                <w:highlight w:val="none"/>
              </w:rPr>
            </w:pPr>
            <w:r>
              <w:rPr>
                <w:rFonts w:hint="eastAsia" w:cs="宋体" w:asciiTheme="minorEastAsia" w:hAnsiTheme="minorEastAsia"/>
                <w:sz w:val="24"/>
                <w:highlight w:val="none"/>
              </w:rPr>
              <w:t>装订要求</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cs="宋体" w:asciiTheme="minorEastAsia" w:hAnsiTheme="minorEastAsia"/>
                <w:sz w:val="24"/>
                <w:highlight w:val="none"/>
              </w:rPr>
            </w:pPr>
            <w:r>
              <w:rPr>
                <w:rFonts w:hint="eastAsia" w:cs="宋体" w:asciiTheme="minorEastAsia" w:hAnsiTheme="minorEastAsia"/>
                <w:sz w:val="24"/>
                <w:highlight w:val="none"/>
              </w:rPr>
              <w:t>1、报价文件的正本与副本应分别装订成册。</w:t>
            </w:r>
          </w:p>
          <w:p>
            <w:pPr>
              <w:spacing w:line="460" w:lineRule="exact"/>
              <w:rPr>
                <w:rFonts w:cs="宋体" w:asciiTheme="minorEastAsia" w:hAnsiTheme="minorEastAsia"/>
                <w:sz w:val="24"/>
                <w:highlight w:val="none"/>
              </w:rPr>
            </w:pPr>
            <w:r>
              <w:rPr>
                <w:rFonts w:hint="eastAsia" w:cs="宋体" w:asciiTheme="minorEastAsia" w:hAnsiTheme="minorEastAsia"/>
                <w:sz w:val="24"/>
                <w:highlight w:val="none"/>
              </w:rPr>
              <w:t>2、报价文件每册均须采用胶装方式在左侧装订，装订须牢固不易拆散和换页，不得采用活页方式装订。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报价文件递交截止时间及公开报价时间、地点</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t>时间：</w:t>
            </w:r>
            <w:r>
              <w:rPr>
                <w:rFonts w:hint="eastAsia" w:ascii="宋体" w:hAnsi="宋体" w:cs="Arial" w:eastAsiaTheme="minorEastAsia"/>
                <w:sz w:val="24"/>
                <w:highlight w:val="none"/>
                <w:lang w:eastAsia="zh-CN"/>
              </w:rPr>
              <w:t>202</w:t>
            </w:r>
            <w:r>
              <w:rPr>
                <w:rFonts w:hint="eastAsia" w:ascii="宋体" w:hAnsi="宋体" w:cs="Arial" w:eastAsiaTheme="minorEastAsia"/>
                <w:sz w:val="24"/>
                <w:highlight w:val="none"/>
                <w:lang w:val="en-US" w:eastAsia="zh-CN"/>
              </w:rPr>
              <w:t>3</w:t>
            </w:r>
            <w:r>
              <w:rPr>
                <w:rFonts w:hint="eastAsia" w:ascii="宋体" w:hAnsi="宋体" w:cs="Arial" w:eastAsiaTheme="minorEastAsia"/>
                <w:sz w:val="24"/>
                <w:highlight w:val="none"/>
                <w:lang w:eastAsia="zh-CN"/>
              </w:rPr>
              <w:t>年8月</w:t>
            </w:r>
            <w:r>
              <w:rPr>
                <w:rFonts w:hint="eastAsia" w:ascii="宋体" w:hAnsi="宋体" w:cs="Arial" w:eastAsiaTheme="minorEastAsia"/>
                <w:sz w:val="24"/>
                <w:highlight w:val="none"/>
                <w:lang w:val="en-US" w:eastAsia="zh-CN"/>
              </w:rPr>
              <w:t>8</w:t>
            </w:r>
            <w:r>
              <w:rPr>
                <w:rFonts w:hint="eastAsia" w:ascii="宋体" w:hAnsi="宋体" w:cs="Arial" w:eastAsiaTheme="minorEastAsia"/>
                <w:sz w:val="24"/>
                <w:highlight w:val="none"/>
                <w:lang w:eastAsia="zh-CN"/>
              </w:rPr>
              <w:t>日</w:t>
            </w:r>
            <w:r>
              <w:rPr>
                <w:rFonts w:hint="eastAsia" w:ascii="宋体" w:hAnsi="宋体" w:cs="Arial" w:eastAsiaTheme="minorEastAsia"/>
                <w:sz w:val="24"/>
                <w:highlight w:val="none"/>
                <w:lang w:val="en-US" w:eastAsia="zh-CN"/>
              </w:rPr>
              <w:t>15</w:t>
            </w:r>
            <w:r>
              <w:rPr>
                <w:rFonts w:hint="eastAsia" w:ascii="宋体" w:hAnsi="宋体" w:cs="Arial" w:eastAsiaTheme="minorEastAsia"/>
                <w:sz w:val="24"/>
                <w:highlight w:val="none"/>
                <w:lang w:eastAsia="zh-CN"/>
              </w:rPr>
              <w:t>时00分</w:t>
            </w:r>
            <w:r>
              <w:rPr>
                <w:rFonts w:hint="eastAsia" w:cs="宋体" w:asciiTheme="minorEastAsia" w:hAnsiTheme="minorEastAsia" w:eastAsiaTheme="minorEastAsia"/>
                <w:sz w:val="24"/>
                <w:highlight w:val="none"/>
              </w:rPr>
              <w:t>（北京时间）</w:t>
            </w:r>
          </w:p>
          <w:p>
            <w:pPr>
              <w:pStyle w:val="18"/>
              <w:widowControl/>
              <w:spacing w:line="460" w:lineRule="exact"/>
              <w:rPr>
                <w:rFonts w:hint="eastAsia" w:cs="宋体" w:asciiTheme="minorEastAsia" w:hAnsiTheme="minorEastAsia" w:eastAsiaTheme="minorEastAsia"/>
                <w:sz w:val="24"/>
                <w:highlight w:val="none"/>
                <w:lang w:eastAsia="zh-CN"/>
              </w:rPr>
            </w:pPr>
            <w:r>
              <w:rPr>
                <w:rFonts w:hint="eastAsia" w:cs="Arial" w:asciiTheme="minorEastAsia" w:hAnsiTheme="minorEastAsia" w:eastAsiaTheme="minorEastAsia"/>
                <w:sz w:val="24"/>
                <w:highlight w:val="none"/>
              </w:rPr>
              <w:t>地点：</w:t>
            </w:r>
            <w:r>
              <w:rPr>
                <w:rFonts w:hint="eastAsia" w:ascii="宋体" w:hAnsi="宋体" w:cs="Arial"/>
                <w:sz w:val="24"/>
                <w:highlight w:val="none"/>
                <w:lang w:eastAsia="zh-CN"/>
              </w:rPr>
              <w:t>邹城市凫山街道公共资源交易中心开标室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13</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jc w:val="center"/>
              <w:rPr>
                <w:rFonts w:cs="宋体" w:asciiTheme="minorEastAsia" w:hAnsiTheme="minorEastAsia" w:eastAsiaTheme="minorEastAsia"/>
                <w:sz w:val="24"/>
                <w:highlight w:val="none"/>
              </w:rPr>
            </w:pPr>
            <w:r>
              <w:rPr>
                <w:sz w:val="24"/>
                <w:highlight w:val="none"/>
              </w:rPr>
              <w:t>付款方式</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7"/>
              <w:spacing w:line="460" w:lineRule="exact"/>
              <w:ind w:left="106" w:firstLine="482" w:firstLineChars="200"/>
              <w:rPr>
                <w:rFonts w:hint="eastAsia" w:eastAsia="宋体"/>
                <w:b/>
                <w:bCs/>
                <w:sz w:val="24"/>
                <w:highlight w:val="none"/>
                <w:lang w:eastAsia="zh-CN"/>
              </w:rPr>
            </w:pPr>
            <w:r>
              <w:rPr>
                <w:rFonts w:hint="eastAsia"/>
                <w:b/>
                <w:bCs/>
                <w:sz w:val="24"/>
                <w:highlight w:val="none"/>
                <w:lang w:eastAsia="zh-CN"/>
              </w:rPr>
              <w:t>工程完工并经审计验收合格后付至合同价款60%，验收合格一年内付至合同价款97%，剩余3%作为质保金，质保期结束后无息付清。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14</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cs="宋体" w:asciiTheme="minorEastAsia" w:hAnsiTheme="minorEastAsia" w:eastAsiaTheme="minorEastAsia"/>
                <w:bCs/>
                <w:sz w:val="24"/>
                <w:highlight w:val="none"/>
                <w:lang w:eastAsia="zh-CN"/>
              </w:rPr>
            </w:pPr>
            <w:r>
              <w:rPr>
                <w:rFonts w:hint="eastAsia"/>
                <w:sz w:val="24"/>
                <w:highlight w:val="none"/>
                <w:lang w:val="en-US" w:eastAsia="zh-CN"/>
              </w:rPr>
              <w:t>工期</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cs="宋体" w:asciiTheme="minorEastAsia" w:hAnsiTheme="minorEastAsia"/>
                <w:b/>
                <w:bCs/>
                <w:sz w:val="24"/>
                <w:highlight w:val="none"/>
              </w:rPr>
            </w:pPr>
            <w:r>
              <w:rPr>
                <w:rFonts w:hint="eastAsia" w:ascii="宋体" w:hAnsi="宋体" w:eastAsia="宋体" w:cs="宋体"/>
                <w:b/>
                <w:bCs/>
                <w:sz w:val="24"/>
                <w:highlight w:val="none"/>
                <w:lang w:val="en-US" w:eastAsia="zh-CN"/>
              </w:rPr>
              <w:t>20</w:t>
            </w:r>
            <w:r>
              <w:rPr>
                <w:rFonts w:ascii="宋体" w:hAnsi="宋体" w:eastAsia="宋体" w:cs="宋体"/>
                <w:b/>
                <w:bCs/>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15</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8"/>
              <w:jc w:val="center"/>
              <w:rPr>
                <w:sz w:val="24"/>
                <w:highlight w:val="none"/>
              </w:rPr>
            </w:pPr>
            <w:r>
              <w:rPr>
                <w:sz w:val="24"/>
                <w:highlight w:val="none"/>
              </w:rPr>
              <w:t>质保期</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b/>
                <w:bCs/>
                <w:sz w:val="24"/>
                <w:highlight w:val="none"/>
              </w:rPr>
            </w:pPr>
            <w:r>
              <w:rPr>
                <w:rFonts w:hint="eastAsia"/>
                <w:b/>
                <w:bCs/>
                <w:sz w:val="24"/>
                <w:highlight w:val="none"/>
                <w:lang w:val="en-US" w:eastAsia="zh-CN"/>
              </w:rPr>
              <w:t>2</w:t>
            </w:r>
            <w:r>
              <w:rPr>
                <w:b/>
                <w:bCs/>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16</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firstLineChars="200"/>
              <w:rPr>
                <w:rFonts w:ascii="宋体" w:hAnsi="宋体"/>
                <w:sz w:val="24"/>
                <w:highlight w:val="none"/>
              </w:rPr>
            </w:pPr>
            <w:r>
              <w:rPr>
                <w:rFonts w:hint="eastAsia" w:ascii="宋体" w:hAnsi="宋体"/>
                <w:sz w:val="24"/>
                <w:highlight w:val="none"/>
              </w:rPr>
              <w:t>质量要求</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default" w:ascii="宋体" w:hAnsi="宋体" w:eastAsiaTheme="minorEastAsia"/>
                <w:sz w:val="24"/>
                <w:highlight w:val="none"/>
                <w:lang w:val="en-US" w:eastAsia="zh-CN"/>
              </w:rPr>
            </w:pPr>
            <w:r>
              <w:rPr>
                <w:rFonts w:hint="eastAsia"/>
                <w:sz w:val="24"/>
                <w:highlight w:val="none"/>
                <w:lang w:val="en-US" w:eastAsia="zh-CN"/>
              </w:rPr>
              <w:t>达到符合国家验收规范规定的合格标准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17</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firstLineChars="200"/>
              <w:rPr>
                <w:rFonts w:ascii="宋体" w:hAnsi="宋体"/>
                <w:sz w:val="24"/>
                <w:highlight w:val="none"/>
              </w:rPr>
            </w:pPr>
            <w:r>
              <w:rPr>
                <w:rFonts w:hint="eastAsia" w:ascii="宋体" w:hAnsi="宋体"/>
                <w:sz w:val="24"/>
                <w:highlight w:val="none"/>
              </w:rPr>
              <w:t>安全要求</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ascii="宋体" w:hAnsi="宋体"/>
                <w:sz w:val="24"/>
                <w:highlight w:val="none"/>
              </w:rPr>
            </w:pPr>
            <w:r>
              <w:rPr>
                <w:sz w:val="24"/>
                <w:highlight w:val="none"/>
              </w:rPr>
              <w:t>符合国家安全生产管理相关规定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18</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2730"/>
                <w:tab w:val="left" w:pos="2835"/>
              </w:tabs>
              <w:adjustRightInd w:val="0"/>
              <w:snapToGrid w:val="0"/>
              <w:spacing w:line="520" w:lineRule="exact"/>
              <w:jc w:val="center"/>
              <w:rPr>
                <w:sz w:val="24"/>
                <w:highlight w:val="none"/>
              </w:rPr>
            </w:pPr>
            <w:r>
              <w:rPr>
                <w:rFonts w:hint="eastAsia" w:ascii="宋体" w:hAnsi="宋体" w:cs="宋体"/>
                <w:b/>
                <w:kern w:val="0"/>
                <w:sz w:val="24"/>
                <w:highlight w:val="none"/>
              </w:rPr>
              <w:t>验收</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rPr>
                <w:sz w:val="24"/>
                <w:highlight w:val="none"/>
              </w:rPr>
            </w:pPr>
            <w:r>
              <w:rPr>
                <w:rFonts w:hint="eastAsia" w:ascii="宋体" w:hAnsi="宋体" w:cs="宋体"/>
                <w:b/>
                <w:spacing w:val="-7"/>
                <w:sz w:val="24"/>
                <w:highlight w:val="none"/>
              </w:rPr>
              <w:t>由采购人组织，供应商负责协调验收事宜。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19</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8"/>
              <w:jc w:val="center"/>
              <w:rPr>
                <w:sz w:val="24"/>
                <w:highlight w:val="none"/>
              </w:rPr>
            </w:pPr>
            <w:r>
              <w:rPr>
                <w:sz w:val="24"/>
                <w:highlight w:val="none"/>
              </w:rPr>
              <w:t>踏勘现场</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06"/>
              <w:rPr>
                <w:sz w:val="24"/>
                <w:highlight w:val="none"/>
              </w:rPr>
            </w:pPr>
            <w:r>
              <w:rPr>
                <w:sz w:val="24"/>
                <w:highlight w:val="none"/>
              </w:rPr>
              <w:t>不统一组织踏勘现场，报价单位可根据需要自行到项目现场进行踏勘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20</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ascii="宋体" w:hAnsi="宋体"/>
                <w:sz w:val="24"/>
                <w:highlight w:val="none"/>
              </w:rPr>
            </w:pPr>
            <w:r>
              <w:rPr>
                <w:rFonts w:hint="eastAsia" w:cs="宋体" w:asciiTheme="minorEastAsia" w:hAnsiTheme="minorEastAsia"/>
                <w:sz w:val="24"/>
                <w:highlight w:val="none"/>
              </w:rPr>
              <w:t>供应商资格要求</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1.满足《中华人民共和国政府采购法》第二十二条规定；</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（1）具有独立承担民事责任的能力并满足竞争性</w:t>
            </w:r>
            <w:r>
              <w:rPr>
                <w:rFonts w:hint="eastAsia" w:ascii="Times New Roman" w:hAnsi="Times New Roman" w:eastAsia="宋体" w:cs="Times New Roman"/>
                <w:sz w:val="24"/>
                <w:szCs w:val="24"/>
                <w:highlight w:val="none"/>
                <w:lang w:val="en-US" w:eastAsia="zh-CN"/>
              </w:rPr>
              <w:t>谈判</w:t>
            </w:r>
            <w:r>
              <w:rPr>
                <w:rFonts w:hint="eastAsia" w:ascii="Times New Roman" w:hAnsi="Times New Roman" w:eastAsia="宋体" w:cs="Times New Roman"/>
                <w:sz w:val="24"/>
                <w:szCs w:val="24"/>
                <w:highlight w:val="none"/>
                <w:lang w:val="en-US"/>
              </w:rPr>
              <w:t>文件要求的供应商；</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（2）须遵守《中华人民共和国政府采购法》及相关法律、法规和规章；</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3）单位负责人为同一人或者存在控股、管理关系的不同单位，不得同时参加同一项目或同一包组的报价；生产厂家的母公司、全资子公司、控股公司，只能有一家参加同一招标编号的报价；为本项目提供整体设计、规范编制或者项目管理、监理、检测等服务的供应商，不得再参加该本项目的其他活动；</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（4）供应商须具备有效的营业执照，并在人员、设备、资金、调试和维护等方面具有相应的工作能力；</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（5）供应商须具有良好的商业信誉和健全的财务会计制度、有依法缴纳税收和社会保障资金的良好记录；</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（6）供应商信用状况良好，未被列入经营异常名录或者严重违法企业名单，不得存在相关行贿犯罪记录；</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rPr>
              <w:t>2.落实政府采购政策需满足的资格要求：</w:t>
            </w:r>
            <w:r>
              <w:rPr>
                <w:rFonts w:hint="eastAsia" w:ascii="Times New Roman" w:hAnsi="Times New Roman" w:eastAsia="宋体" w:cs="Times New Roman"/>
                <w:sz w:val="24"/>
                <w:szCs w:val="24"/>
                <w:highlight w:val="none"/>
                <w:lang w:val="en-US" w:eastAsia="zh-CN"/>
              </w:rPr>
              <w:t>无</w:t>
            </w:r>
          </w:p>
          <w:p>
            <w:pPr>
              <w:spacing w:line="360" w:lineRule="auto"/>
              <w:ind w:firstLine="480" w:firstLineChars="200"/>
              <w:outlineLvl w:val="2"/>
              <w:rPr>
                <w:rFonts w:hint="eastAsia"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rPr>
              <w:t>3.本项目的特定资格要求：</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3.1供应商须为国内注册具有独立法人资格,供应商须具备建筑工程施工总承包叁级或市政公用工程施工总承包叁级及以上资质，并在人员、设备、资金等方面具有相应的施工能力，无拖欠农民工工资的不良行为。</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3.2供应商拟派项目经理须具备建筑工程专业贰级及以上注册建造师（须在本单位注册）并同时具备建造师安全生产考核合格证书（B证），且未担任其他在施建设工程项目</w:t>
            </w:r>
            <w:bookmarkStart w:id="554" w:name="_GoBack"/>
            <w:bookmarkEnd w:id="554"/>
            <w:r>
              <w:rPr>
                <w:rFonts w:hint="eastAsia" w:ascii="Times New Roman" w:hAnsi="Times New Roman" w:eastAsia="宋体" w:cs="Times New Roman"/>
                <w:sz w:val="24"/>
                <w:szCs w:val="24"/>
                <w:highlight w:val="none"/>
                <w:lang w:val="en-US" w:eastAsia="zh-CN"/>
              </w:rPr>
              <w:t>的项目经理。</w:t>
            </w:r>
          </w:p>
          <w:p>
            <w:pPr>
              <w:spacing w:line="360" w:lineRule="auto"/>
              <w:ind w:firstLine="480" w:firstLineChars="200"/>
              <w:outlineLvl w:val="2"/>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3.3供应商具备有效的安全生产许可证；</w:t>
            </w:r>
          </w:p>
          <w:p>
            <w:pPr>
              <w:spacing w:line="360" w:lineRule="auto"/>
              <w:ind w:firstLine="480" w:firstLineChars="200"/>
              <w:outlineLvl w:val="2"/>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rPr>
              <w:t>4.</w:t>
            </w:r>
            <w:r>
              <w:rPr>
                <w:rFonts w:hint="eastAsia" w:ascii="Times New Roman" w:hAnsi="Times New Roman" w:eastAsia="宋体" w:cs="Times New Roman"/>
                <w:sz w:val="24"/>
                <w:szCs w:val="24"/>
                <w:highlight w:val="none"/>
                <w:lang w:val="en-US" w:eastAsia="zh-CN"/>
              </w:rPr>
              <w:t>本项目不接受联合体投标。</w:t>
            </w:r>
          </w:p>
          <w:p>
            <w:pPr>
              <w:spacing w:line="360" w:lineRule="auto"/>
              <w:ind w:firstLine="480" w:firstLineChars="200"/>
              <w:outlineLvl w:val="2"/>
              <w:rPr>
                <w:rFonts w:ascii="宋体" w:hAnsi="宋体" w:cs="宋体"/>
                <w:kern w:val="0"/>
                <w:sz w:val="24"/>
                <w:highlight w:val="none"/>
              </w:rPr>
            </w:pPr>
            <w:r>
              <w:rPr>
                <w:rFonts w:hint="eastAsia" w:ascii="Times New Roman" w:hAnsi="Times New Roman" w:eastAsia="宋体" w:cs="Times New Roman"/>
                <w:sz w:val="24"/>
                <w:szCs w:val="24"/>
                <w:highlight w:val="none"/>
                <w:lang w:val="en-US"/>
              </w:rPr>
              <w:t>5.本项目为资格后审。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21</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ind w:firstLine="480" w:firstLineChars="200"/>
              <w:rPr>
                <w:rFonts w:asciiTheme="minorEastAsia" w:hAnsiTheme="minorEastAsia"/>
                <w:sz w:val="24"/>
                <w:highlight w:val="none"/>
              </w:rPr>
            </w:pPr>
            <w:r>
              <w:rPr>
                <w:rFonts w:hint="eastAsia" w:cs="宋体" w:asciiTheme="minorEastAsia" w:hAnsiTheme="minorEastAsia"/>
                <w:sz w:val="24"/>
                <w:highlight w:val="none"/>
              </w:rPr>
              <w:t>偏离</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ascii="宋体" w:hAnsi="宋体"/>
                <w:kern w:val="0"/>
                <w:sz w:val="24"/>
                <w:highlight w:val="none"/>
              </w:rPr>
            </w:pPr>
            <w:r>
              <w:rPr>
                <w:rFonts w:hint="eastAsia" w:cs="宋体" w:asciiTheme="minorEastAsia" w:hAnsiTheme="minorEastAsia"/>
                <w:sz w:val="24"/>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22</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w:t>
            </w:r>
          </w:p>
          <w:p>
            <w:pPr>
              <w:spacing w:line="460" w:lineRule="exact"/>
              <w:ind w:firstLine="480" w:firstLineChars="200"/>
              <w:rPr>
                <w:rFonts w:cs="宋体" w:asciiTheme="minorEastAsia" w:hAnsiTheme="minorEastAsia"/>
                <w:bCs/>
                <w:sz w:val="24"/>
                <w:highlight w:val="none"/>
              </w:rPr>
            </w:pPr>
            <w:r>
              <w:rPr>
                <w:rFonts w:hint="eastAsia" w:cs="宋体" w:asciiTheme="minorEastAsia" w:hAnsiTheme="minorEastAsia"/>
                <w:sz w:val="24"/>
                <w:highlight w:val="none"/>
              </w:rPr>
              <w:t>证件的提交</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b/>
                <w:bCs/>
                <w:sz w:val="24"/>
                <w:szCs w:val="24"/>
                <w:highlight w:val="none"/>
              </w:rPr>
            </w:pPr>
            <w:r>
              <w:rPr>
                <w:rFonts w:hint="eastAsia" w:ascii="宋体" w:hAnsi="宋体" w:eastAsia="宋体" w:cs="宋体"/>
                <w:color w:val="auto"/>
                <w:kern w:val="0"/>
                <w:sz w:val="24"/>
                <w:szCs w:val="24"/>
                <w:highlight w:val="none"/>
              </w:rPr>
              <w:t>供应商必须在资格审查时提供以下证件以备查验：</w:t>
            </w:r>
          </w:p>
          <w:p>
            <w:pPr>
              <w:spacing w:line="360" w:lineRule="auto"/>
              <w:ind w:firstLine="482" w:firstLineChars="200"/>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1、营业执照；</w:t>
            </w:r>
          </w:p>
          <w:p>
            <w:pPr>
              <w:spacing w:line="360" w:lineRule="auto"/>
              <w:ind w:firstLine="482" w:firstLineChars="200"/>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2、供应商缴纳税收和社会保障资金等证明告知承诺书；</w:t>
            </w:r>
          </w:p>
          <w:p>
            <w:pPr>
              <w:spacing w:line="360" w:lineRule="auto"/>
              <w:ind w:firstLine="482" w:firstLineChars="200"/>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cstheme="minorEastAsia"/>
                <w:b/>
                <w:bCs w:val="0"/>
                <w:kern w:val="2"/>
                <w:sz w:val="24"/>
                <w:szCs w:val="24"/>
                <w:highlight w:val="none"/>
                <w:lang w:val="en-US" w:eastAsia="zh-CN" w:bidi="ar-SA"/>
              </w:rPr>
              <w:t>3</w:t>
            </w:r>
            <w:r>
              <w:rPr>
                <w:rFonts w:hint="eastAsia" w:asciiTheme="minorEastAsia" w:hAnsiTheme="minorEastAsia" w:eastAsiaTheme="minorEastAsia" w:cstheme="minorEastAsia"/>
                <w:b/>
                <w:bCs w:val="0"/>
                <w:kern w:val="2"/>
                <w:sz w:val="24"/>
                <w:szCs w:val="24"/>
                <w:highlight w:val="none"/>
                <w:lang w:val="en-US" w:eastAsia="zh-CN" w:bidi="ar-SA"/>
              </w:rPr>
              <w:t>、资质证书</w:t>
            </w:r>
            <w:r>
              <w:rPr>
                <w:rFonts w:hint="eastAsia" w:asciiTheme="minorEastAsia" w:hAnsiTheme="minorEastAsia" w:cstheme="minorEastAsia"/>
                <w:b/>
                <w:bCs w:val="0"/>
                <w:kern w:val="2"/>
                <w:sz w:val="24"/>
                <w:szCs w:val="24"/>
                <w:highlight w:val="none"/>
                <w:lang w:val="en-US" w:eastAsia="zh-CN" w:bidi="ar-SA"/>
              </w:rPr>
              <w:t>；</w:t>
            </w:r>
          </w:p>
          <w:p>
            <w:pPr>
              <w:spacing w:line="360" w:lineRule="auto"/>
              <w:ind w:firstLine="482" w:firstLineChars="200"/>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cstheme="minorEastAsia"/>
                <w:b/>
                <w:bCs w:val="0"/>
                <w:kern w:val="2"/>
                <w:sz w:val="24"/>
                <w:szCs w:val="24"/>
                <w:highlight w:val="none"/>
                <w:lang w:val="en-US" w:eastAsia="zh-CN" w:bidi="ar-SA"/>
              </w:rPr>
              <w:t>4</w:t>
            </w:r>
            <w:r>
              <w:rPr>
                <w:rFonts w:hint="eastAsia" w:asciiTheme="minorEastAsia" w:hAnsiTheme="minorEastAsia" w:eastAsiaTheme="minorEastAsia" w:cstheme="minorEastAsia"/>
                <w:b/>
                <w:bCs w:val="0"/>
                <w:kern w:val="2"/>
                <w:sz w:val="24"/>
                <w:szCs w:val="24"/>
                <w:highlight w:val="none"/>
                <w:lang w:val="en-US" w:eastAsia="zh-CN" w:bidi="ar-SA"/>
              </w:rPr>
              <w:t>、安全生产许可证</w:t>
            </w:r>
            <w:r>
              <w:rPr>
                <w:rFonts w:hint="eastAsia" w:asciiTheme="minorEastAsia" w:hAnsiTheme="minorEastAsia" w:cstheme="minorEastAsia"/>
                <w:b/>
                <w:bCs w:val="0"/>
                <w:kern w:val="2"/>
                <w:sz w:val="24"/>
                <w:szCs w:val="24"/>
                <w:highlight w:val="none"/>
                <w:lang w:val="en-US" w:eastAsia="zh-CN" w:bidi="ar-SA"/>
              </w:rPr>
              <w:t>；</w:t>
            </w:r>
          </w:p>
          <w:p>
            <w:pPr>
              <w:spacing w:line="360" w:lineRule="auto"/>
              <w:ind w:firstLine="482" w:firstLineChars="200"/>
              <w:rPr>
                <w:rFonts w:hint="default"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cstheme="minorEastAsia"/>
                <w:b/>
                <w:bCs w:val="0"/>
                <w:kern w:val="2"/>
                <w:sz w:val="24"/>
                <w:szCs w:val="24"/>
                <w:highlight w:val="none"/>
                <w:lang w:val="en-US" w:eastAsia="zh-CN" w:bidi="ar-SA"/>
              </w:rPr>
              <w:t>5</w:t>
            </w:r>
            <w:r>
              <w:rPr>
                <w:rFonts w:hint="eastAsia" w:asciiTheme="minorEastAsia" w:hAnsiTheme="minorEastAsia" w:eastAsiaTheme="minorEastAsia" w:cstheme="minorEastAsia"/>
                <w:b/>
                <w:bCs w:val="0"/>
                <w:kern w:val="2"/>
                <w:sz w:val="24"/>
                <w:szCs w:val="24"/>
                <w:highlight w:val="none"/>
                <w:lang w:val="en-US" w:eastAsia="zh-CN" w:bidi="ar-SA"/>
              </w:rPr>
              <w:t>、拟派项目负责人建造师证书及安全生产考核合格证书（B 证）</w:t>
            </w:r>
            <w:r>
              <w:rPr>
                <w:rFonts w:hint="eastAsia" w:asciiTheme="minorEastAsia" w:hAnsiTheme="minorEastAsia" w:cstheme="minorEastAsia"/>
                <w:b/>
                <w:bCs w:val="0"/>
                <w:kern w:val="2"/>
                <w:sz w:val="24"/>
                <w:szCs w:val="24"/>
                <w:highlight w:val="none"/>
                <w:lang w:val="en-US" w:eastAsia="zh-CN" w:bidi="ar-SA"/>
              </w:rPr>
              <w:t>；</w:t>
            </w:r>
          </w:p>
          <w:p>
            <w:pPr>
              <w:spacing w:line="460" w:lineRule="exact"/>
              <w:rPr>
                <w:rFonts w:ascii="宋体" w:hAnsi="宋体" w:cs="宋体"/>
                <w:bCs/>
                <w:sz w:val="24"/>
                <w:highlight w:val="none"/>
              </w:rPr>
            </w:pPr>
            <w:r>
              <w:rPr>
                <w:rFonts w:hint="eastAsia" w:ascii="宋体" w:hAnsi="宋体" w:cs="宋体"/>
                <w:bCs/>
                <w:sz w:val="24"/>
                <w:highlight w:val="none"/>
              </w:rPr>
              <w:t>供应商应将需要评审小组验证</w:t>
            </w:r>
            <w:r>
              <w:rPr>
                <w:rFonts w:hint="eastAsia" w:ascii="宋体" w:hAnsi="宋体" w:cs="宋体"/>
                <w:bCs/>
                <w:sz w:val="24"/>
                <w:highlight w:val="none"/>
                <w:lang w:val="en-US" w:eastAsia="zh-CN"/>
              </w:rPr>
              <w:t>材料</w:t>
            </w:r>
            <w:r>
              <w:rPr>
                <w:rFonts w:hint="eastAsia"/>
                <w:b/>
                <w:spacing w:val="-2"/>
                <w:sz w:val="24"/>
                <w:highlight w:val="none"/>
              </w:rPr>
              <w:t>密封包装，在递交投标文件时一并提交。</w:t>
            </w:r>
          </w:p>
          <w:p>
            <w:pPr>
              <w:spacing w:line="460" w:lineRule="exact"/>
              <w:rPr>
                <w:rFonts w:cs="Arial" w:asciiTheme="minorEastAsia" w:hAnsiTheme="minorEastAsia"/>
                <w:sz w:val="24"/>
                <w:highlight w:val="none"/>
              </w:rPr>
            </w:pPr>
            <w:r>
              <w:rPr>
                <w:rFonts w:hint="eastAsia" w:ascii="宋体" w:hAnsi="宋体" w:cs="宋体"/>
                <w:b/>
                <w:sz w:val="24"/>
                <w:highlight w:val="none"/>
              </w:rPr>
              <w:t>注：由当地公证处出具的公证件具有同等效力。以上证件需密封包装，在递交投标文件时一并提交，投标单位所提供的所有证件资料应真实有效，否则将做废标处理。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23</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开标时供应商需要携带的证件</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ascii="宋体" w:hAnsi="宋体" w:eastAsia="宋体" w:cs="宋体"/>
                <w:sz w:val="24"/>
                <w:highlight w:val="none"/>
              </w:rPr>
            </w:pPr>
            <w:r>
              <w:rPr>
                <w:rFonts w:hint="eastAsia" w:cs="宋体" w:asciiTheme="minorEastAsia" w:hAnsiTheme="minorEastAsia"/>
                <w:sz w:val="24"/>
                <w:highlight w:val="none"/>
              </w:rPr>
              <w:t>供应商的法定代表人（或其委托代理人）应按时参加开标会议。其中，企业法定代表人参加开标会议的，需携带其身份证原件；委托代理人参加开标会议的，需携带其身份证原件及授权委托书原件。未按上述规定提交证件的供应商，其报价文件将被拒绝。（以上资料无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24</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jc w:val="center"/>
              <w:rPr>
                <w:rFonts w:asciiTheme="minorEastAsia" w:hAnsiTheme="minorEastAsia" w:eastAsiaTheme="minorEastAsia"/>
                <w:sz w:val="24"/>
                <w:highlight w:val="none"/>
              </w:rPr>
            </w:pPr>
            <w:r>
              <w:rPr>
                <w:sz w:val="24"/>
                <w:highlight w:val="none"/>
              </w:rPr>
              <w:t>符合性审查</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06"/>
              <w:rPr>
                <w:rFonts w:asciiTheme="minorEastAsia" w:hAnsiTheme="minorEastAsia"/>
                <w:sz w:val="24"/>
                <w:highlight w:val="none"/>
              </w:rPr>
            </w:pPr>
            <w:r>
              <w:rPr>
                <w:sz w:val="24"/>
                <w:highlight w:val="none"/>
              </w:rPr>
              <w:t>谈判小组应当对符合资格的供应商的响应文件进行符合性审查，以确定其是否满足谈判文件的实质性要求。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0"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ind w:left="19"/>
              <w:rPr>
                <w:rFonts w:asciiTheme="minorEastAsia" w:hAnsiTheme="minorEastAsia" w:eastAsiaTheme="minorEastAsia"/>
                <w:sz w:val="24"/>
                <w:highlight w:val="none"/>
              </w:rPr>
            </w:pPr>
            <w:r>
              <w:rPr>
                <w:sz w:val="24"/>
                <w:highlight w:val="none"/>
              </w:rPr>
              <w:t>2</w:t>
            </w:r>
            <w:r>
              <w:rPr>
                <w:rFonts w:hint="eastAsia"/>
                <w:sz w:val="24"/>
                <w:highlight w:val="none"/>
              </w:rPr>
              <w:t>5</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ind w:left="8"/>
              <w:jc w:val="center"/>
              <w:rPr>
                <w:sz w:val="24"/>
                <w:highlight w:val="none"/>
              </w:rPr>
            </w:pPr>
            <w:r>
              <w:rPr>
                <w:sz w:val="24"/>
                <w:highlight w:val="none"/>
              </w:rPr>
              <w:t>信用查询及使用</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numPr>
                <w:ilvl w:val="0"/>
                <w:numId w:val="3"/>
              </w:numPr>
              <w:tabs>
                <w:tab w:val="left" w:pos="708"/>
              </w:tabs>
              <w:spacing w:line="460" w:lineRule="exact"/>
              <w:ind w:hanging="602"/>
              <w:rPr>
                <w:sz w:val="24"/>
                <w:highlight w:val="none"/>
              </w:rPr>
            </w:pPr>
            <w:r>
              <w:rPr>
                <w:sz w:val="24"/>
                <w:highlight w:val="none"/>
              </w:rPr>
              <w:t>信用信息查询渠道：“信用中国”网站</w:t>
            </w:r>
          </w:p>
          <w:p>
            <w:pPr>
              <w:pStyle w:val="327"/>
              <w:spacing w:line="460" w:lineRule="exact"/>
              <w:ind w:right="97"/>
              <w:rPr>
                <w:sz w:val="24"/>
                <w:highlight w:val="none"/>
              </w:rPr>
            </w:pPr>
            <w:r>
              <w:rPr>
                <w:highlight w:val="none"/>
              </w:rPr>
              <w:fldChar w:fldCharType="begin"/>
            </w:r>
            <w:r>
              <w:rPr>
                <w:highlight w:val="none"/>
              </w:rPr>
              <w:instrText xml:space="preserve"> HYPERLINK "http://www.creditchina.gov.cn/" \h </w:instrText>
            </w:r>
            <w:r>
              <w:rPr>
                <w:highlight w:val="none"/>
              </w:rPr>
              <w:fldChar w:fldCharType="separate"/>
            </w:r>
            <w:r>
              <w:rPr>
                <w:spacing w:val="-1"/>
                <w:sz w:val="24"/>
                <w:highlight w:val="none"/>
              </w:rPr>
              <w:t>（www.creditchina.gov.cn</w:t>
            </w:r>
            <w:r>
              <w:rPr>
                <w:spacing w:val="-1"/>
                <w:sz w:val="24"/>
                <w:highlight w:val="none"/>
              </w:rPr>
              <w:fldChar w:fldCharType="end"/>
            </w:r>
            <w:r>
              <w:rPr>
                <w:spacing w:val="-1"/>
                <w:sz w:val="24"/>
                <w:highlight w:val="none"/>
              </w:rPr>
              <w:t>）</w:t>
            </w:r>
            <w:r>
              <w:rPr>
                <w:spacing w:val="-11"/>
                <w:sz w:val="24"/>
                <w:highlight w:val="none"/>
              </w:rPr>
              <w:t>、“信用山东”网站、“中国政府采购</w:t>
            </w:r>
            <w:r>
              <w:rPr>
                <w:sz w:val="24"/>
                <w:highlight w:val="none"/>
              </w:rPr>
              <w:t>网”网站</w:t>
            </w:r>
          </w:p>
          <w:p>
            <w:pPr>
              <w:pStyle w:val="327"/>
              <w:numPr>
                <w:ilvl w:val="0"/>
                <w:numId w:val="3"/>
              </w:numPr>
              <w:tabs>
                <w:tab w:val="left" w:pos="708"/>
              </w:tabs>
              <w:spacing w:line="460" w:lineRule="exact"/>
              <w:ind w:hanging="602"/>
              <w:rPr>
                <w:sz w:val="24"/>
                <w:highlight w:val="none"/>
              </w:rPr>
            </w:pPr>
            <w:r>
              <w:rPr>
                <w:sz w:val="24"/>
                <w:highlight w:val="none"/>
              </w:rPr>
              <w:t>信用信息查询截止时点：报价截止及公开报价时间。</w:t>
            </w:r>
          </w:p>
          <w:p>
            <w:pPr>
              <w:pStyle w:val="327"/>
              <w:numPr>
                <w:ilvl w:val="0"/>
                <w:numId w:val="3"/>
              </w:numPr>
              <w:tabs>
                <w:tab w:val="left" w:pos="708"/>
              </w:tabs>
              <w:spacing w:line="460" w:lineRule="exact"/>
              <w:ind w:left="106" w:right="359" w:firstLine="0"/>
              <w:rPr>
                <w:sz w:val="24"/>
                <w:highlight w:val="none"/>
              </w:rPr>
            </w:pPr>
            <w:r>
              <w:rPr>
                <w:spacing w:val="-1"/>
                <w:sz w:val="24"/>
                <w:highlight w:val="none"/>
              </w:rPr>
              <w:t>信用信息查询记录和证据留存方式：截屏等可实现留痕的方</w:t>
            </w:r>
            <w:r>
              <w:rPr>
                <w:sz w:val="24"/>
                <w:highlight w:val="none"/>
              </w:rPr>
              <w:t>式。</w:t>
            </w:r>
          </w:p>
          <w:p>
            <w:pPr>
              <w:pStyle w:val="327"/>
              <w:numPr>
                <w:ilvl w:val="0"/>
                <w:numId w:val="3"/>
              </w:numPr>
              <w:tabs>
                <w:tab w:val="left" w:pos="708"/>
              </w:tabs>
              <w:spacing w:line="460" w:lineRule="exact"/>
              <w:ind w:left="106" w:right="359" w:firstLine="0"/>
              <w:rPr>
                <w:sz w:val="24"/>
                <w:highlight w:val="none"/>
              </w:rPr>
            </w:pPr>
            <w:r>
              <w:rPr>
                <w:spacing w:val="-1"/>
                <w:sz w:val="24"/>
                <w:highlight w:val="none"/>
              </w:rPr>
              <w:t>信用信息使用规则：对列入失信被执行人、重大税收违法案</w:t>
            </w:r>
            <w:r>
              <w:rPr>
                <w:sz w:val="24"/>
                <w:highlight w:val="none"/>
              </w:rPr>
              <w:t>件当事人名单、政府采购严重违法失信行为记录名单及其它不符</w:t>
            </w:r>
            <w:r>
              <w:rPr>
                <w:spacing w:val="-10"/>
                <w:sz w:val="24"/>
                <w:highlight w:val="none"/>
              </w:rPr>
              <w:t>合《中华人民共和国政府采购法》第二十二条规定条件的供应商，拒</w:t>
            </w:r>
            <w:r>
              <w:rPr>
                <w:sz w:val="24"/>
                <w:highlight w:val="none"/>
              </w:rPr>
              <w:t>绝其参与政府采购活动。</w:t>
            </w:r>
          </w:p>
          <w:p>
            <w:pPr>
              <w:pStyle w:val="327"/>
              <w:numPr>
                <w:ilvl w:val="0"/>
                <w:numId w:val="3"/>
              </w:numPr>
              <w:tabs>
                <w:tab w:val="left" w:pos="708"/>
              </w:tabs>
              <w:spacing w:line="460" w:lineRule="exact"/>
              <w:ind w:left="106" w:right="359" w:firstLine="0"/>
              <w:rPr>
                <w:sz w:val="24"/>
                <w:highlight w:val="none"/>
              </w:rPr>
            </w:pPr>
            <w:r>
              <w:rPr>
                <w:spacing w:val="-1"/>
                <w:sz w:val="24"/>
                <w:highlight w:val="none"/>
              </w:rPr>
              <w:t xml:space="preserve">两个以上的自然人、法人或者其他组织组成的一个联合体， </w:t>
            </w:r>
            <w:r>
              <w:rPr>
                <w:sz w:val="24"/>
                <w:highlight w:val="none"/>
              </w:rPr>
              <w:t>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6"/>
                <w:highlight w:val="none"/>
              </w:rPr>
            </w:pPr>
          </w:p>
          <w:p>
            <w:pPr>
              <w:pStyle w:val="327"/>
              <w:spacing w:line="460" w:lineRule="exact"/>
              <w:ind w:left="19"/>
              <w:rPr>
                <w:rFonts w:asciiTheme="minorEastAsia" w:hAnsiTheme="minorEastAsia" w:eastAsiaTheme="minorEastAsia"/>
                <w:sz w:val="24"/>
                <w:highlight w:val="none"/>
              </w:rPr>
            </w:pPr>
            <w:r>
              <w:rPr>
                <w:sz w:val="24"/>
                <w:highlight w:val="none"/>
              </w:rPr>
              <w:t>2</w:t>
            </w:r>
            <w:r>
              <w:rPr>
                <w:rFonts w:hint="eastAsia"/>
                <w:sz w:val="24"/>
                <w:highlight w:val="none"/>
              </w:rPr>
              <w:t>6</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ind w:left="131" w:right="121"/>
              <w:jc w:val="center"/>
              <w:rPr>
                <w:sz w:val="24"/>
                <w:highlight w:val="none"/>
              </w:rPr>
            </w:pPr>
            <w:r>
              <w:rPr>
                <w:sz w:val="24"/>
                <w:highlight w:val="none"/>
              </w:rPr>
              <w:t>报价单位提报虚假材料应承担的责任</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06" w:right="1"/>
              <w:rPr>
                <w:sz w:val="24"/>
                <w:highlight w:val="none"/>
              </w:rPr>
            </w:pPr>
            <w:r>
              <w:rPr>
                <w:spacing w:val="-5"/>
                <w:sz w:val="24"/>
                <w:highlight w:val="none"/>
              </w:rPr>
              <w:t>报价单位必须对其响应文件中提供各种资料、说明的真实性负责。在</w:t>
            </w:r>
            <w:r>
              <w:rPr>
                <w:spacing w:val="-12"/>
                <w:sz w:val="24"/>
                <w:highlight w:val="none"/>
              </w:rPr>
              <w:t>评标过程中，如有发现报价单位有为谋取成交而提供虚假资料欺骗采</w:t>
            </w:r>
            <w:r>
              <w:rPr>
                <w:spacing w:val="-13"/>
                <w:sz w:val="24"/>
                <w:highlight w:val="none"/>
              </w:rPr>
              <w:t>购人和评委的行为，将取消其成交资格，其谈判保证金将不予退还。</w:t>
            </w:r>
            <w:r>
              <w:rPr>
                <w:spacing w:val="-11"/>
                <w:sz w:val="24"/>
                <w:highlight w:val="none"/>
              </w:rPr>
              <w:t>定标后，采购人有可能对成交人响应文件中的承诺内容和证明材料进</w:t>
            </w:r>
            <w:r>
              <w:rPr>
                <w:spacing w:val="-12"/>
                <w:sz w:val="24"/>
                <w:highlight w:val="none"/>
              </w:rPr>
              <w:t>行核查，成交人应无条件配合采购人的核查工作，不得托词拒绝核查</w:t>
            </w:r>
            <w:r>
              <w:rPr>
                <w:spacing w:val="-15"/>
                <w:sz w:val="24"/>
                <w:highlight w:val="none"/>
              </w:rPr>
              <w:t>或隐瞒真实情况。若在成交后签订合同时，发现成交人是提供虚假材</w:t>
            </w:r>
            <w:r>
              <w:rPr>
                <w:spacing w:val="-17"/>
                <w:sz w:val="24"/>
                <w:highlight w:val="none"/>
              </w:rPr>
              <w:t>料谋取成交等违法违规行为，采购人将取消其成交人资格，给采购人造成损失的，还必须进行赔偿并负相关责任。</w:t>
            </w:r>
          </w:p>
          <w:p>
            <w:pPr>
              <w:pStyle w:val="327"/>
              <w:spacing w:line="460" w:lineRule="exact"/>
              <w:ind w:left="106" w:right="1"/>
              <w:rPr>
                <w:sz w:val="24"/>
                <w:highlight w:val="none"/>
              </w:rPr>
            </w:pPr>
            <w:r>
              <w:rPr>
                <w:spacing w:val="-6"/>
                <w:sz w:val="24"/>
                <w:highlight w:val="none"/>
              </w:rPr>
              <w:t>供应商提供虚假资质证书及材料谋取成交的；依据《中华人民共和国</w:t>
            </w:r>
            <w:r>
              <w:rPr>
                <w:spacing w:val="-12"/>
                <w:sz w:val="24"/>
                <w:highlight w:val="none"/>
              </w:rPr>
              <w:t>政府采购法》的规定，处以采购金额千分之五以上千分之十以下的罚</w:t>
            </w:r>
            <w:r>
              <w:rPr>
                <w:spacing w:val="-13"/>
                <w:sz w:val="24"/>
                <w:highlight w:val="none"/>
              </w:rPr>
              <w:t xml:space="preserve">款，列入不良行为记录名单，在一至三年内禁止参加政府采购活动， </w:t>
            </w:r>
            <w:r>
              <w:rPr>
                <w:spacing w:val="-9"/>
                <w:sz w:val="24"/>
                <w:highlight w:val="none"/>
              </w:rPr>
              <w:t>有违法所得的，并处没收违法所得，情节严重的，由工商行政管理机</w:t>
            </w:r>
            <w:r>
              <w:rPr>
                <w:sz w:val="24"/>
                <w:highlight w:val="none"/>
              </w:rPr>
              <w:t>关吊销营业执照；构成犯罪的，依法追究刑事责任。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27</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履约保证金</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31" w:firstLineChars="13"/>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28</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采购文件费用</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rPr>
                <w:rFonts w:hint="default" w:cs="宋体" w:asciiTheme="minorEastAsia" w:hAnsiTheme="minorEastAsia" w:eastAsiaTheme="minorEastAsia"/>
                <w:sz w:val="24"/>
                <w:highlight w:val="none"/>
                <w:lang w:val="en-US" w:eastAsia="zh-CN"/>
              </w:rPr>
            </w:pPr>
            <w:r>
              <w:rPr>
                <w:rFonts w:hint="eastAsia" w:cs="宋体" w:asciiTheme="minorEastAsia" w:hAnsiTheme="minorEastAsia"/>
                <w:sz w:val="24"/>
                <w:highlight w:val="none"/>
                <w:lang w:val="en-US" w:eastAsia="zh-CN"/>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29</w:t>
            </w:r>
          </w:p>
        </w:tc>
        <w:tc>
          <w:tcPr>
            <w:tcW w:w="93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rPr>
                <w:rFonts w:cs="宋体" w:asciiTheme="minorEastAsia" w:hAnsiTheme="minorEastAsia" w:eastAsiaTheme="minorEastAsia"/>
                <w:sz w:val="24"/>
                <w:highlight w:val="none"/>
              </w:rPr>
            </w:pPr>
            <w:r>
              <w:rPr>
                <w:rFonts w:hint="eastAsia" w:cs="宋体" w:asciiTheme="minorEastAsia" w:hAnsiTheme="minorEastAsia" w:eastAsiaTheme="minorEastAsia"/>
                <w:bCs/>
                <w:sz w:val="24"/>
                <w:highlight w:val="none"/>
              </w:rPr>
              <w:t>在任何谈判环节中，需谈判小组就某项定性的评审结论做出表决的，由谈判小组全体成员按照少数服从多数的原则，以记名投票方式表决。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both"/>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30</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spacing w:line="460" w:lineRule="exact"/>
              <w:ind w:firstLine="120" w:firstLineChars="50"/>
              <w:jc w:val="center"/>
              <w:rPr>
                <w:rFonts w:cs="宋体" w:asciiTheme="minorEastAsia" w:hAnsiTheme="minorEastAsia" w:eastAsiaTheme="minorEastAsia"/>
                <w:sz w:val="24"/>
                <w:highlight w:val="none"/>
              </w:rPr>
            </w:pPr>
            <w:r>
              <w:rPr>
                <w:rFonts w:hint="eastAsia" w:cs="宋体" w:asciiTheme="minorEastAsia" w:hAnsiTheme="minorEastAsia"/>
                <w:sz w:val="24"/>
                <w:highlight w:val="none"/>
              </w:rPr>
              <w:t>知识产权</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szCs w:val="24"/>
                <w:highlight w:val="none"/>
              </w:rPr>
            </w:pPr>
            <w:r>
              <w:rPr>
                <w:rFonts w:hint="eastAsia"/>
                <w:sz w:val="24"/>
                <w:szCs w:val="24"/>
                <w:highlight w:val="none"/>
              </w:rPr>
              <w:t>1、供应商须保证采购人在使用该服务（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spacing w:line="360" w:lineRule="auto"/>
              <w:ind w:firstLine="480" w:firstLineChars="200"/>
              <w:rPr>
                <w:sz w:val="24"/>
                <w:szCs w:val="24"/>
                <w:highlight w:val="none"/>
              </w:rPr>
            </w:pPr>
            <w:r>
              <w:rPr>
                <w:rFonts w:hint="eastAsia"/>
                <w:sz w:val="24"/>
                <w:szCs w:val="24"/>
                <w:highlight w:val="none"/>
              </w:rPr>
              <w:t>2、报价应包括所有应支付的专利权和版权或其他知识产权而需要向其他方支付的版税等各项税费。</w:t>
            </w:r>
          </w:p>
          <w:p>
            <w:pPr>
              <w:spacing w:line="460" w:lineRule="exact"/>
              <w:ind w:firstLine="480" w:firstLineChars="200"/>
              <w:rPr>
                <w:rFonts w:cs="宋体" w:asciiTheme="minorEastAsia" w:hAnsiTheme="minorEastAsia"/>
                <w:sz w:val="24"/>
                <w:highlight w:val="none"/>
              </w:rPr>
            </w:pPr>
            <w:r>
              <w:rPr>
                <w:rFonts w:hint="eastAsia"/>
                <w:sz w:val="24"/>
                <w:szCs w:val="24"/>
                <w:highlight w:val="none"/>
              </w:rPr>
              <w:t>3、采购人提供所有资料（文字、图纸、电子数据等）均受版权保护。未得授权，任何人不得将内容复制、改编、分发、发布，否则将承担法律责任。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rPr>
                <w:sz w:val="24"/>
                <w:highlight w:val="none"/>
              </w:rPr>
            </w:pPr>
          </w:p>
          <w:p>
            <w:pPr>
              <w:pStyle w:val="327"/>
              <w:spacing w:line="460" w:lineRule="exact"/>
              <w:rPr>
                <w:rFonts w:hint="default" w:asciiTheme="minorEastAsia" w:hAnsiTheme="minorEastAsia" w:eastAsiaTheme="minorEastAsia"/>
                <w:sz w:val="24"/>
                <w:highlight w:val="none"/>
                <w:lang w:val="en-US" w:eastAsia="zh-CN"/>
              </w:rPr>
            </w:pPr>
            <w:r>
              <w:rPr>
                <w:rFonts w:hint="eastAsia" w:eastAsiaTheme="minorEastAsia"/>
                <w:sz w:val="24"/>
                <w:highlight w:val="none"/>
                <w:lang w:val="en-US" w:eastAsia="zh-CN"/>
              </w:rPr>
              <w:t>31</w:t>
            </w:r>
          </w:p>
        </w:tc>
        <w:tc>
          <w:tcPr>
            <w:tcW w:w="21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sz w:val="24"/>
                <w:highlight w:val="none"/>
              </w:rPr>
            </w:pPr>
            <w:r>
              <w:rPr>
                <w:rFonts w:hint="eastAsia"/>
                <w:sz w:val="24"/>
                <w:szCs w:val="24"/>
                <w:highlight w:val="none"/>
              </w:rPr>
              <w:t>项目需要落实的政府政策</w:t>
            </w:r>
          </w:p>
        </w:tc>
        <w:tc>
          <w:tcPr>
            <w:tcW w:w="72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sz w:val="24"/>
                <w:szCs w:val="24"/>
                <w:highlight w:val="none"/>
              </w:rPr>
            </w:pPr>
            <w:r>
              <w:rPr>
                <w:rFonts w:hint="eastAsia"/>
                <w:sz w:val="24"/>
                <w:szCs w:val="24"/>
                <w:highlight w:val="none"/>
              </w:rPr>
              <w:t>1、节能环保产品；</w:t>
            </w:r>
          </w:p>
          <w:p>
            <w:pPr>
              <w:spacing w:line="360" w:lineRule="auto"/>
              <w:ind w:firstLine="480" w:firstLineChars="200"/>
              <w:rPr>
                <w:sz w:val="24"/>
                <w:szCs w:val="24"/>
                <w:highlight w:val="none"/>
              </w:rPr>
            </w:pPr>
            <w:r>
              <w:rPr>
                <w:rFonts w:hint="eastAsia"/>
                <w:sz w:val="24"/>
                <w:szCs w:val="24"/>
                <w:highlight w:val="none"/>
              </w:rPr>
              <w:t>2、《关于印发&lt;政府促进中小企业发展管理办法&gt;的通知》(财库〔2020〕46号)；</w:t>
            </w:r>
          </w:p>
          <w:p>
            <w:pPr>
              <w:spacing w:line="360" w:lineRule="auto"/>
              <w:ind w:firstLine="480" w:firstLineChars="200"/>
              <w:rPr>
                <w:sz w:val="24"/>
                <w:szCs w:val="24"/>
                <w:highlight w:val="none"/>
              </w:rPr>
            </w:pPr>
            <w:r>
              <w:rPr>
                <w:rFonts w:hint="eastAsia"/>
                <w:sz w:val="24"/>
                <w:szCs w:val="24"/>
                <w:highlight w:val="none"/>
              </w:rPr>
              <w:t>3、关于政府支持监狱企业发展有关问题的通知（财库[2014]68号）文件规定；</w:t>
            </w:r>
          </w:p>
          <w:p>
            <w:pPr>
              <w:spacing w:line="360" w:lineRule="auto"/>
              <w:ind w:firstLine="480" w:firstLineChars="200"/>
              <w:rPr>
                <w:rFonts w:asciiTheme="minorEastAsia" w:hAnsiTheme="minorEastAsia"/>
                <w:sz w:val="24"/>
                <w:highlight w:val="none"/>
              </w:rPr>
            </w:pPr>
            <w:r>
              <w:rPr>
                <w:rFonts w:hint="eastAsia"/>
                <w:sz w:val="24"/>
                <w:szCs w:val="24"/>
                <w:highlight w:val="none"/>
              </w:rPr>
              <w:t>4、财政部民政部中国残疾人联合会关于促进残疾人就业政府采购政策的通知（财库〔2017〕141号）的规定；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32"/>
                <w:highlight w:val="none"/>
              </w:rPr>
            </w:pPr>
          </w:p>
          <w:p>
            <w:pPr>
              <w:pStyle w:val="327"/>
              <w:spacing w:line="460" w:lineRule="exact"/>
              <w:ind w:left="19"/>
              <w:rPr>
                <w:rFonts w:hint="default" w:asciiTheme="minorEastAsia" w:hAnsiTheme="minorEastAsia" w:eastAsiaTheme="minorEastAsia"/>
                <w:sz w:val="24"/>
                <w:highlight w:val="none"/>
                <w:lang w:val="en-US" w:eastAsia="zh-CN"/>
              </w:rPr>
            </w:pPr>
            <w:r>
              <w:rPr>
                <w:rFonts w:hint="eastAsia" w:eastAsiaTheme="minorEastAsia"/>
                <w:sz w:val="24"/>
                <w:highlight w:val="none"/>
                <w:lang w:val="en-US" w:eastAsia="zh-CN"/>
              </w:rPr>
              <w:t>32</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rPr>
                <w:sz w:val="24"/>
                <w:highlight w:val="none"/>
              </w:rPr>
            </w:pPr>
          </w:p>
          <w:p>
            <w:pPr>
              <w:pStyle w:val="327"/>
              <w:spacing w:line="460" w:lineRule="exact"/>
              <w:ind w:left="107" w:right="241"/>
              <w:rPr>
                <w:rFonts w:asciiTheme="minorEastAsia" w:hAnsiTheme="minorEastAsia"/>
                <w:sz w:val="24"/>
                <w:highlight w:val="none"/>
              </w:rPr>
            </w:pPr>
            <w:r>
              <w:rPr>
                <w:sz w:val="24"/>
                <w:highlight w:val="none"/>
              </w:rPr>
              <w:t>强制采购和优先采购</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06" w:right="97"/>
              <w:rPr>
                <w:sz w:val="24"/>
                <w:highlight w:val="none"/>
              </w:rPr>
            </w:pPr>
            <w:r>
              <w:rPr>
                <w:sz w:val="24"/>
                <w:highlight w:val="none"/>
              </w:rPr>
              <w:t>1</w:t>
            </w:r>
            <w:r>
              <w:rPr>
                <w:spacing w:val="-9"/>
                <w:sz w:val="24"/>
                <w:highlight w:val="none"/>
              </w:rPr>
              <w:t>、属于强制节能产品的，供应商必须提供节能的产品，否则不予评</w:t>
            </w:r>
            <w:r>
              <w:rPr>
                <w:sz w:val="24"/>
                <w:highlight w:val="none"/>
              </w:rPr>
              <w:t>审。提供国家确定的认证机构出具的、处于有效期之内的节能产品认证证书，否则不予认定。</w:t>
            </w:r>
          </w:p>
          <w:p>
            <w:pPr>
              <w:pStyle w:val="327"/>
              <w:spacing w:line="460" w:lineRule="exact"/>
              <w:ind w:left="106" w:right="97"/>
              <w:rPr>
                <w:sz w:val="24"/>
                <w:highlight w:val="none"/>
              </w:rPr>
            </w:pPr>
            <w:r>
              <w:rPr>
                <w:sz w:val="24"/>
                <w:highlight w:val="none"/>
              </w:rPr>
              <w:t>2</w:t>
            </w:r>
            <w:r>
              <w:rPr>
                <w:spacing w:val="-3"/>
                <w:sz w:val="24"/>
                <w:highlight w:val="none"/>
              </w:rPr>
              <w:t>、对于优先采购产品</w:t>
            </w:r>
            <w:r>
              <w:rPr>
                <w:sz w:val="24"/>
                <w:highlight w:val="none"/>
              </w:rPr>
              <w:t>（</w:t>
            </w:r>
            <w:r>
              <w:rPr>
                <w:spacing w:val="-2"/>
                <w:sz w:val="24"/>
                <w:highlight w:val="none"/>
              </w:rPr>
              <w:t>节能</w:t>
            </w:r>
            <w:r>
              <w:rPr>
                <w:sz w:val="24"/>
                <w:highlight w:val="none"/>
              </w:rPr>
              <w:t>（非强制</w:t>
            </w:r>
            <w:r>
              <w:rPr>
                <w:spacing w:val="-3"/>
                <w:sz w:val="24"/>
                <w:highlight w:val="none"/>
              </w:rPr>
              <w:t>）</w:t>
            </w:r>
            <w:r>
              <w:rPr>
                <w:spacing w:val="-2"/>
                <w:sz w:val="24"/>
                <w:highlight w:val="none"/>
              </w:rPr>
              <w:t>、环保产品</w:t>
            </w:r>
            <w:r>
              <w:rPr>
                <w:spacing w:val="-3"/>
                <w:sz w:val="24"/>
                <w:highlight w:val="none"/>
              </w:rPr>
              <w:t>）</w:t>
            </w:r>
            <w:r>
              <w:rPr>
                <w:spacing w:val="-20"/>
                <w:sz w:val="24"/>
                <w:highlight w:val="none"/>
              </w:rPr>
              <w:t xml:space="preserve">给予 </w:t>
            </w:r>
            <w:r>
              <w:rPr>
                <w:sz w:val="24"/>
                <w:highlight w:val="none"/>
              </w:rPr>
              <w:t>10%</w:t>
            </w:r>
            <w:r>
              <w:rPr>
                <w:spacing w:val="-7"/>
                <w:sz w:val="24"/>
                <w:highlight w:val="none"/>
              </w:rPr>
              <w:t>的价</w:t>
            </w:r>
            <w:r>
              <w:rPr>
                <w:sz w:val="24"/>
                <w:highlight w:val="none"/>
              </w:rPr>
              <w:t>格扣除。供应商在报价时必须对属于优先采购产品（节能、环境标志产品）单独分项报价，并在响应文件中提供国家确定的认证机构出具的、处于有效期之内的节能产品、环境标志产品认证证书，否则不予认定。</w:t>
            </w:r>
          </w:p>
          <w:p>
            <w:pPr>
              <w:pStyle w:val="327"/>
              <w:spacing w:line="460" w:lineRule="exact"/>
              <w:ind w:left="106" w:right="-29"/>
              <w:rPr>
                <w:sz w:val="24"/>
                <w:highlight w:val="none"/>
              </w:rPr>
            </w:pPr>
            <w:r>
              <w:rPr>
                <w:sz w:val="24"/>
                <w:highlight w:val="none"/>
              </w:rPr>
              <w:t>3</w:t>
            </w:r>
            <w:r>
              <w:rPr>
                <w:spacing w:val="-14"/>
                <w:sz w:val="24"/>
                <w:highlight w:val="none"/>
              </w:rPr>
              <w:t>、根据《关于运用政府采购政策支持脱贫攻坚的通知</w:t>
            </w:r>
            <w:r>
              <w:rPr>
                <w:spacing w:val="-171"/>
                <w:sz w:val="24"/>
                <w:highlight w:val="none"/>
              </w:rPr>
              <w:t>》</w:t>
            </w:r>
            <w:r>
              <w:rPr>
                <w:spacing w:val="-5"/>
                <w:sz w:val="24"/>
                <w:highlight w:val="none"/>
              </w:rPr>
              <w:t>（</w:t>
            </w:r>
            <w:r>
              <w:rPr>
                <w:spacing w:val="-29"/>
                <w:sz w:val="24"/>
                <w:highlight w:val="none"/>
              </w:rPr>
              <w:t>财库【</w:t>
            </w:r>
            <w:r>
              <w:rPr>
                <w:sz w:val="24"/>
                <w:highlight w:val="none"/>
              </w:rPr>
              <w:t>2019】</w:t>
            </w:r>
          </w:p>
          <w:p>
            <w:pPr>
              <w:pStyle w:val="327"/>
              <w:spacing w:line="460" w:lineRule="exact"/>
              <w:ind w:left="106"/>
              <w:rPr>
                <w:rFonts w:asciiTheme="minorEastAsia" w:hAnsiTheme="minorEastAsia"/>
                <w:sz w:val="24"/>
                <w:highlight w:val="none"/>
              </w:rPr>
            </w:pPr>
            <w:r>
              <w:rPr>
                <w:sz w:val="24"/>
                <w:highlight w:val="none"/>
              </w:rPr>
              <w:t>27 号），同等条件下，优先采购贫困地区农副产品（贫困地区农副</w:t>
            </w:r>
            <w:r>
              <w:rPr>
                <w:spacing w:val="-12"/>
                <w:sz w:val="24"/>
                <w:highlight w:val="none"/>
              </w:rPr>
              <w:t xml:space="preserve">产品是指 </w:t>
            </w:r>
            <w:r>
              <w:rPr>
                <w:sz w:val="24"/>
                <w:highlight w:val="none"/>
              </w:rPr>
              <w:t>832</w:t>
            </w:r>
            <w:r>
              <w:rPr>
                <w:spacing w:val="-8"/>
                <w:sz w:val="24"/>
                <w:highlight w:val="none"/>
              </w:rPr>
              <w:t>个国家级贫困县域内注册的企业、农民专业合作社、</w:t>
            </w:r>
            <w:r>
              <w:rPr>
                <w:sz w:val="24"/>
                <w:highlight w:val="none"/>
              </w:rPr>
              <w:t>家庭农场等出产的农副产品）；</w:t>
            </w:r>
            <w:r>
              <w:rPr>
                <w:spacing w:val="-7"/>
                <w:sz w:val="24"/>
                <w:highlight w:val="none"/>
              </w:rPr>
              <w:t xml:space="preserve">优先采购注册地在 </w:t>
            </w:r>
            <w:r>
              <w:rPr>
                <w:sz w:val="24"/>
                <w:highlight w:val="none"/>
              </w:rPr>
              <w:t>832</w:t>
            </w:r>
            <w:r>
              <w:rPr>
                <w:spacing w:val="-10"/>
                <w:sz w:val="24"/>
                <w:highlight w:val="none"/>
              </w:rPr>
              <w:t>个国家级贫</w:t>
            </w:r>
            <w:r>
              <w:rPr>
                <w:sz w:val="24"/>
                <w:highlight w:val="none"/>
              </w:rPr>
              <w:t>困县域内，且聘用建档立卡贫困人员物业公司提供的物业服务。符合上述情况的物业公司，需出具公司注册所在县扶贫部门出具的聘用建档立卡贫困人员具体数量的证明。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9"/>
              <w:rPr>
                <w:rFonts w:hint="eastAsia" w:eastAsiaTheme="minorEastAsia"/>
                <w:sz w:val="24"/>
                <w:highlight w:val="none"/>
                <w:lang w:val="en-US" w:eastAsia="zh-CN"/>
              </w:rPr>
            </w:pPr>
          </w:p>
          <w:p>
            <w:pPr>
              <w:pStyle w:val="327"/>
              <w:spacing w:line="460" w:lineRule="exact"/>
              <w:ind w:left="19"/>
              <w:rPr>
                <w:rFonts w:hint="default" w:eastAsiaTheme="minorEastAsia"/>
                <w:sz w:val="24"/>
                <w:highlight w:val="none"/>
                <w:lang w:val="en-US" w:eastAsia="zh-CN"/>
              </w:rPr>
            </w:pPr>
            <w:r>
              <w:rPr>
                <w:rFonts w:hint="eastAsia" w:eastAsiaTheme="minorEastAsia"/>
                <w:sz w:val="24"/>
                <w:highlight w:val="none"/>
                <w:lang w:val="en-US" w:eastAsia="zh-CN"/>
              </w:rPr>
              <w:t>33</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rPr>
                <w:sz w:val="24"/>
                <w:highlight w:val="none"/>
              </w:rPr>
            </w:pPr>
          </w:p>
          <w:p>
            <w:pPr>
              <w:pStyle w:val="327"/>
              <w:spacing w:line="460" w:lineRule="exact"/>
              <w:ind w:left="107"/>
              <w:rPr>
                <w:rFonts w:asciiTheme="minorEastAsia" w:hAnsiTheme="minorEastAsia"/>
                <w:sz w:val="24"/>
                <w:highlight w:val="none"/>
              </w:rPr>
            </w:pPr>
            <w:r>
              <w:rPr>
                <w:sz w:val="24"/>
                <w:highlight w:val="none"/>
              </w:rPr>
              <w:t>评审标准及方法</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06" w:right="143"/>
              <w:rPr>
                <w:rFonts w:asciiTheme="minorEastAsia" w:hAnsiTheme="minorEastAsia"/>
                <w:sz w:val="24"/>
                <w:highlight w:val="none"/>
              </w:rPr>
            </w:pPr>
            <w:r>
              <w:rPr>
                <w:sz w:val="24"/>
                <w:highlight w:val="none"/>
              </w:rPr>
              <w:t>本次谈判采用最低评标价法，谈判小组从质量和服务均能满足采购文件实质性响应要求的供应商中，按照最后报价由低到高的顺序提出 3 名以上成交候选人。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9"/>
              <w:rPr>
                <w:rFonts w:hint="default" w:eastAsiaTheme="minorEastAsia"/>
                <w:sz w:val="24"/>
                <w:highlight w:val="none"/>
                <w:lang w:val="en-US" w:eastAsia="zh-CN"/>
              </w:rPr>
            </w:pPr>
            <w:r>
              <w:rPr>
                <w:rFonts w:hint="eastAsia" w:eastAsiaTheme="minorEastAsia"/>
                <w:sz w:val="24"/>
                <w:highlight w:val="none"/>
                <w:lang w:val="en-US" w:eastAsia="zh-CN"/>
              </w:rPr>
              <w:t>34</w:t>
            </w:r>
          </w:p>
        </w:tc>
        <w:tc>
          <w:tcPr>
            <w:tcW w:w="2110"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jc w:val="center"/>
              <w:rPr>
                <w:rFonts w:asciiTheme="minorEastAsia" w:hAnsiTheme="minorEastAsia"/>
                <w:sz w:val="24"/>
                <w:highlight w:val="none"/>
              </w:rPr>
            </w:pPr>
            <w:r>
              <w:rPr>
                <w:sz w:val="24"/>
                <w:highlight w:val="none"/>
              </w:rPr>
              <w:t>备注</w:t>
            </w:r>
          </w:p>
        </w:tc>
        <w:tc>
          <w:tcPr>
            <w:tcW w:w="7253"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06"/>
              <w:rPr>
                <w:rFonts w:asciiTheme="minorEastAsia" w:hAnsiTheme="minorEastAsia"/>
                <w:sz w:val="24"/>
                <w:highlight w:val="none"/>
              </w:rPr>
            </w:pPr>
            <w:r>
              <w:rPr>
                <w:sz w:val="24"/>
                <w:highlight w:val="none"/>
              </w:rPr>
              <w:t>所有要求加盖公章的地方，指的是公章，拒绝投标专用章，否则按“响应文件未按规定签署”执行。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9"/>
              <w:rPr>
                <w:rFonts w:hint="default" w:eastAsiaTheme="minorEastAsia"/>
                <w:sz w:val="24"/>
                <w:highlight w:val="none"/>
                <w:lang w:val="en-US" w:eastAsia="zh-CN"/>
              </w:rPr>
            </w:pPr>
            <w:r>
              <w:rPr>
                <w:rFonts w:hint="eastAsia" w:eastAsiaTheme="minorEastAsia"/>
                <w:sz w:val="24"/>
                <w:highlight w:val="none"/>
                <w:lang w:val="en-US" w:eastAsia="zh-CN"/>
              </w:rPr>
              <w:t>35</w:t>
            </w:r>
          </w:p>
        </w:tc>
        <w:tc>
          <w:tcPr>
            <w:tcW w:w="9363" w:type="dxa"/>
            <w:gridSpan w:val="2"/>
            <w:tcBorders>
              <w:top w:val="single" w:color="auto" w:sz="4" w:space="0"/>
              <w:left w:val="single" w:color="auto" w:sz="4" w:space="0"/>
              <w:bottom w:val="single" w:color="auto" w:sz="4" w:space="0"/>
              <w:right w:val="single" w:color="auto" w:sz="4" w:space="0"/>
            </w:tcBorders>
            <w:shd w:val="clear" w:color="auto" w:fill="auto"/>
          </w:tcPr>
          <w:p>
            <w:pPr>
              <w:pStyle w:val="327"/>
              <w:spacing w:line="460" w:lineRule="exact"/>
              <w:ind w:left="107"/>
              <w:rPr>
                <w:rFonts w:asciiTheme="minorEastAsia" w:hAnsiTheme="minorEastAsia"/>
                <w:sz w:val="24"/>
                <w:highlight w:val="none"/>
              </w:rPr>
            </w:pPr>
            <w:r>
              <w:rPr>
                <w:sz w:val="24"/>
                <w:highlight w:val="none"/>
              </w:rPr>
              <w:t>需要补充的其他内容：供应商如有疑问，可按相关规定以书面的形式向采购人或其委托的代理机构提出。</w:t>
            </w:r>
          </w:p>
        </w:tc>
      </w:tr>
    </w:tbl>
    <w:p>
      <w:pPr>
        <w:spacing w:line="460" w:lineRule="exact"/>
        <w:ind w:firstLine="482" w:firstLineChars="200"/>
        <w:rPr>
          <w:rFonts w:ascii="宋体" w:hAnsi="Times New Roman" w:eastAsia="宋体" w:cs="宋体"/>
          <w:b/>
          <w:sz w:val="24"/>
          <w:highlight w:val="none"/>
        </w:rPr>
      </w:pPr>
      <w:r>
        <w:rPr>
          <w:rFonts w:hint="eastAsia" w:ascii="宋体" w:hAnsi="Times New Roman" w:eastAsia="宋体" w:cs="宋体"/>
          <w:b/>
          <w:sz w:val="24"/>
          <w:highlight w:val="none"/>
        </w:rPr>
        <w:t>★ 注：正文内容与此表内容不一致时，以此表为准。</w:t>
      </w:r>
      <w:bookmarkStart w:id="14" w:name="_Toc467665721"/>
      <w:bookmarkStart w:id="15" w:name="_Toc456970518"/>
      <w:bookmarkStart w:id="16" w:name="_Toc456970755"/>
      <w:bookmarkStart w:id="17" w:name="_Toc456970457"/>
    </w:p>
    <w:p>
      <w:pPr>
        <w:pStyle w:val="3"/>
        <w:keepNext w:val="0"/>
        <w:widowControl/>
        <w:tabs>
          <w:tab w:val="clear" w:pos="720"/>
          <w:tab w:val="clear" w:pos="1440"/>
        </w:tabs>
        <w:spacing w:line="460" w:lineRule="exact"/>
        <w:outlineLvl w:val="9"/>
        <w:rPr>
          <w:rFonts w:hint="default"/>
          <w:highlight w:val="none"/>
        </w:rPr>
        <w:sectPr>
          <w:footerReference r:id="rId5" w:type="default"/>
          <w:type w:val="continuous"/>
          <w:pgSz w:w="11911" w:h="16838"/>
          <w:pgMar w:top="907" w:right="1021" w:bottom="907" w:left="1021" w:header="0" w:footer="1378" w:gutter="0"/>
          <w:pgNumType w:fmt="decimal"/>
          <w:cols w:space="720" w:num="1"/>
          <w:docGrid w:linePitch="286" w:charSpace="0"/>
        </w:sectPr>
      </w:pPr>
      <w:bookmarkStart w:id="18" w:name="_Toc532893059"/>
      <w:bookmarkStart w:id="19" w:name="_Toc1048318"/>
    </w:p>
    <w:p>
      <w:pPr>
        <w:pStyle w:val="3"/>
        <w:keepNext w:val="0"/>
        <w:widowControl/>
        <w:tabs>
          <w:tab w:val="clear" w:pos="720"/>
          <w:tab w:val="clear" w:pos="1440"/>
        </w:tabs>
        <w:spacing w:line="460" w:lineRule="exact"/>
        <w:rPr>
          <w:rFonts w:hint="default"/>
          <w:highlight w:val="none"/>
        </w:rPr>
      </w:pPr>
      <w:bookmarkStart w:id="20" w:name="_Toc19767"/>
      <w:bookmarkStart w:id="21" w:name="_Toc40190850"/>
      <w:r>
        <w:rPr>
          <w:highlight w:val="none"/>
        </w:rPr>
        <w:t>供应商须知正文部分</w:t>
      </w:r>
      <w:bookmarkEnd w:id="14"/>
      <w:bookmarkEnd w:id="15"/>
      <w:bookmarkEnd w:id="16"/>
      <w:bookmarkEnd w:id="17"/>
      <w:bookmarkEnd w:id="18"/>
      <w:bookmarkEnd w:id="19"/>
      <w:bookmarkEnd w:id="20"/>
      <w:bookmarkEnd w:id="21"/>
    </w:p>
    <w:p>
      <w:pPr>
        <w:pStyle w:val="98"/>
        <w:keepNext w:val="0"/>
        <w:widowControl/>
        <w:spacing w:before="120" w:after="240" w:line="360" w:lineRule="auto"/>
        <w:outlineLvl w:val="2"/>
        <w:rPr>
          <w:rFonts w:hint="default" w:asciiTheme="minorEastAsia" w:hAnsiTheme="minorEastAsia" w:eastAsiaTheme="minorEastAsia"/>
          <w:sz w:val="24"/>
          <w:szCs w:val="24"/>
          <w:highlight w:val="none"/>
        </w:rPr>
      </w:pPr>
      <w:bookmarkStart w:id="22" w:name="_Toc532893060"/>
      <w:bookmarkStart w:id="23" w:name="_Toc1048319"/>
      <w:bookmarkStart w:id="24" w:name="_Toc467665722"/>
      <w:bookmarkStart w:id="25" w:name="_Toc456970519"/>
      <w:bookmarkStart w:id="26" w:name="_Toc269310919"/>
      <w:bookmarkStart w:id="27" w:name="_Toc456970756"/>
      <w:bookmarkStart w:id="28" w:name="_Toc456970458"/>
      <w:bookmarkStart w:id="29" w:name="_Toc41983270"/>
      <w:bookmarkStart w:id="30" w:name="_Toc312072227"/>
      <w:bookmarkStart w:id="31" w:name="_Toc144974498"/>
      <w:bookmarkStart w:id="32" w:name="_Toc152042306"/>
      <w:bookmarkStart w:id="33" w:name="_Toc152045530"/>
      <w:bookmarkStart w:id="34" w:name="_Toc40190851"/>
      <w:bookmarkStart w:id="35" w:name="_Toc467665733"/>
      <w:r>
        <w:rPr>
          <w:rFonts w:asciiTheme="minorEastAsia" w:hAnsiTheme="minorEastAsia" w:eastAsiaTheme="minorEastAsia"/>
          <w:sz w:val="24"/>
          <w:szCs w:val="24"/>
          <w:highlight w:val="none"/>
        </w:rPr>
        <w:t>1. 总则</w:t>
      </w:r>
      <w:bookmarkEnd w:id="22"/>
      <w:bookmarkEnd w:id="23"/>
      <w:bookmarkEnd w:id="24"/>
      <w:bookmarkEnd w:id="25"/>
      <w:bookmarkEnd w:id="26"/>
      <w:bookmarkEnd w:id="27"/>
      <w:bookmarkEnd w:id="28"/>
      <w:bookmarkEnd w:id="29"/>
      <w:bookmarkEnd w:id="30"/>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36" w:name="_Toc269310920"/>
      <w:bookmarkStart w:id="37" w:name="_Toc41983271"/>
      <w:bookmarkStart w:id="38" w:name="_Toc312072228"/>
      <w:bookmarkStart w:id="39" w:name="_Toc1048320"/>
      <w:bookmarkStart w:id="40" w:name="_Toc532893061"/>
      <w:r>
        <w:rPr>
          <w:rFonts w:asciiTheme="minorEastAsia" w:hAnsiTheme="minorEastAsia" w:eastAsiaTheme="minorEastAsia"/>
          <w:b/>
          <w:sz w:val="24"/>
          <w:szCs w:val="24"/>
          <w:highlight w:val="none"/>
        </w:rPr>
        <w:t>1.1 项目概况</w:t>
      </w:r>
      <w:bookmarkEnd w:id="31"/>
      <w:bookmarkEnd w:id="32"/>
      <w:bookmarkEnd w:id="33"/>
      <w:bookmarkEnd w:id="36"/>
      <w:bookmarkEnd w:id="37"/>
      <w:bookmarkEnd w:id="38"/>
      <w:bookmarkEnd w:id="39"/>
      <w:bookmarkEnd w:id="40"/>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1.1.1根据有关法律、法规规定，本项目已具备采购条件，现采用竞争性谈判方式对该项目进行采购；</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1.1.2 本项目采购人：见供应商须知前附表；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1.1.3 本项目采购代理机构：见供应商须知前附表；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1.1.4 本项目名称、项目编号和标段划分：见供应商须知前附表；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1.1.5 本项目采购内容：见供应商须知前附表。</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41" w:name="_Toc144974499"/>
      <w:bookmarkStart w:id="42" w:name="_Toc269310921"/>
      <w:bookmarkStart w:id="43" w:name="_Toc152045531"/>
      <w:bookmarkStart w:id="44" w:name="_Toc312072229"/>
      <w:bookmarkStart w:id="45" w:name="_Toc152042307"/>
      <w:bookmarkStart w:id="46" w:name="_Toc532893062"/>
      <w:bookmarkStart w:id="47" w:name="_Toc41983272"/>
      <w:bookmarkStart w:id="48" w:name="_Toc1048321"/>
      <w:r>
        <w:rPr>
          <w:rFonts w:asciiTheme="minorEastAsia" w:hAnsiTheme="minorEastAsia" w:eastAsiaTheme="minorEastAsia"/>
          <w:b/>
          <w:sz w:val="24"/>
          <w:szCs w:val="24"/>
          <w:highlight w:val="none"/>
        </w:rPr>
        <w:t>1.2采购方式</w:t>
      </w:r>
      <w:bookmarkEnd w:id="41"/>
      <w:bookmarkEnd w:id="42"/>
      <w:bookmarkEnd w:id="43"/>
      <w:bookmarkEnd w:id="44"/>
      <w:bookmarkEnd w:id="45"/>
      <w:r>
        <w:rPr>
          <w:rFonts w:asciiTheme="minorEastAsia" w:hAnsiTheme="minorEastAsia" w:eastAsiaTheme="minorEastAsia"/>
          <w:b/>
          <w:sz w:val="24"/>
          <w:szCs w:val="24"/>
          <w:highlight w:val="none"/>
        </w:rPr>
        <w:t>、采购预算</w:t>
      </w:r>
      <w:bookmarkEnd w:id="46"/>
      <w:bookmarkEnd w:id="47"/>
      <w:bookmarkEnd w:id="48"/>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1.2.1本项目采购方式见供应商须知前附表；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1.2.2本项目采购预算见供应商须知前附表。</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49" w:name="_Toc152045532"/>
      <w:bookmarkStart w:id="50" w:name="_Toc312072230"/>
      <w:bookmarkStart w:id="51" w:name="_Toc152042308"/>
      <w:bookmarkStart w:id="52" w:name="_Toc269310922"/>
      <w:bookmarkStart w:id="53" w:name="_Toc144974500"/>
      <w:bookmarkStart w:id="54" w:name="_Toc1048322"/>
      <w:bookmarkStart w:id="55" w:name="_Toc532893063"/>
      <w:bookmarkStart w:id="56" w:name="_Toc41983273"/>
      <w:r>
        <w:rPr>
          <w:rFonts w:asciiTheme="minorEastAsia" w:hAnsiTheme="minorEastAsia" w:eastAsiaTheme="minorEastAsia"/>
          <w:b/>
          <w:sz w:val="24"/>
          <w:szCs w:val="24"/>
          <w:highlight w:val="none"/>
        </w:rPr>
        <w:t xml:space="preserve">1.3 </w:t>
      </w:r>
      <w:bookmarkEnd w:id="49"/>
      <w:bookmarkEnd w:id="50"/>
      <w:bookmarkEnd w:id="51"/>
      <w:bookmarkEnd w:id="52"/>
      <w:bookmarkEnd w:id="53"/>
      <w:r>
        <w:rPr>
          <w:rFonts w:asciiTheme="minorEastAsia" w:hAnsiTheme="minorEastAsia" w:eastAsiaTheme="minorEastAsia"/>
          <w:b/>
          <w:sz w:val="24"/>
          <w:szCs w:val="24"/>
          <w:highlight w:val="none"/>
        </w:rPr>
        <w:t>服务期限要求</w:t>
      </w:r>
      <w:bookmarkEnd w:id="54"/>
      <w:bookmarkEnd w:id="55"/>
      <w:bookmarkEnd w:id="56"/>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1.3.1本项目服务期限详见供应商须知前附表；</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57" w:name="_Toc41983274"/>
      <w:bookmarkStart w:id="58" w:name="_Toc312072231"/>
      <w:bookmarkStart w:id="59" w:name="_Toc269310923"/>
      <w:bookmarkStart w:id="60" w:name="_Toc532893064"/>
      <w:bookmarkStart w:id="61" w:name="_Toc1048323"/>
      <w:r>
        <w:rPr>
          <w:rFonts w:asciiTheme="minorEastAsia" w:hAnsiTheme="minorEastAsia" w:eastAsiaTheme="minorEastAsia"/>
          <w:b/>
          <w:sz w:val="24"/>
          <w:szCs w:val="24"/>
          <w:highlight w:val="none"/>
        </w:rPr>
        <w:t>1.4供应商资格要求</w:t>
      </w:r>
      <w:bookmarkEnd w:id="57"/>
      <w:bookmarkEnd w:id="58"/>
      <w:bookmarkEnd w:id="59"/>
      <w:bookmarkEnd w:id="60"/>
      <w:bookmarkEnd w:id="61"/>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1.4.1具体详见供应商须知前附表。</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62" w:name="_Toc41983275"/>
      <w:bookmarkStart w:id="63" w:name="_Toc532893065"/>
      <w:bookmarkStart w:id="64" w:name="_Toc1048324"/>
      <w:bookmarkStart w:id="65" w:name="_Toc152045535"/>
      <w:bookmarkStart w:id="66" w:name="_Toc152042311"/>
      <w:bookmarkStart w:id="67" w:name="_Toc312072232"/>
      <w:bookmarkStart w:id="68" w:name="_Toc269310924"/>
      <w:bookmarkStart w:id="69" w:name="_Toc144974503"/>
      <w:r>
        <w:rPr>
          <w:rFonts w:asciiTheme="minorEastAsia" w:hAnsiTheme="minorEastAsia" w:eastAsiaTheme="minorEastAsia"/>
          <w:b/>
          <w:sz w:val="24"/>
          <w:szCs w:val="24"/>
          <w:highlight w:val="none"/>
        </w:rPr>
        <w:t>1.5 费用承担</w:t>
      </w:r>
      <w:bookmarkEnd w:id="62"/>
      <w:bookmarkEnd w:id="63"/>
      <w:bookmarkEnd w:id="64"/>
      <w:bookmarkEnd w:id="65"/>
      <w:bookmarkEnd w:id="66"/>
      <w:bookmarkEnd w:id="67"/>
      <w:bookmarkEnd w:id="68"/>
      <w:bookmarkEnd w:id="69"/>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1.5.1供应商准备和参加报价活动发生的费用自理。</w:t>
      </w:r>
    </w:p>
    <w:p>
      <w:pPr>
        <w:spacing w:line="360" w:lineRule="auto"/>
        <w:ind w:firstLine="480" w:firstLineChars="200"/>
        <w:rPr>
          <w:rFonts w:hint="eastAsia" w:cs="宋体" w:asciiTheme="minorEastAsia" w:hAnsiTheme="minorEastAsia"/>
          <w:sz w:val="24"/>
          <w:highlight w:val="none"/>
          <w:lang w:val="en-US" w:eastAsia="zh-CN"/>
        </w:rPr>
      </w:pPr>
      <w:bookmarkStart w:id="70" w:name="_Toc152045536"/>
      <w:bookmarkStart w:id="71" w:name="_Toc144974504"/>
      <w:bookmarkStart w:id="72" w:name="_Toc152042312"/>
      <w:r>
        <w:rPr>
          <w:rFonts w:hint="eastAsia" w:cs="宋体" w:asciiTheme="minorEastAsia" w:hAnsiTheme="minorEastAsia"/>
          <w:sz w:val="24"/>
          <w:highlight w:val="none"/>
        </w:rPr>
        <w:t>1.5.2采购代理费：</w:t>
      </w:r>
      <w:r>
        <w:rPr>
          <w:rFonts w:hint="eastAsia" w:cs="宋体" w:asciiTheme="minorEastAsia" w:hAnsiTheme="minorEastAsia"/>
          <w:sz w:val="24"/>
          <w:highlight w:val="none"/>
          <w:lang w:val="en-US" w:eastAsia="zh-CN"/>
        </w:rPr>
        <w:t>清单编制费：2500元（大写：贰仟伍佰元整）；招标代理费：5000元（大写：伍仟元整）</w:t>
      </w:r>
      <w:r>
        <w:rPr>
          <w:rFonts w:hint="eastAsia" w:cs="宋体" w:asciiTheme="minorEastAsia" w:hAnsiTheme="minorEastAsia"/>
          <w:sz w:val="24"/>
          <w:highlight w:val="none"/>
          <w:lang w:eastAsia="zh-CN"/>
        </w:rPr>
        <w:t>，</w:t>
      </w:r>
      <w:r>
        <w:rPr>
          <w:rFonts w:hint="eastAsia" w:cs="宋体" w:asciiTheme="minorEastAsia" w:hAnsiTheme="minorEastAsia"/>
          <w:sz w:val="24"/>
          <w:highlight w:val="none"/>
          <w:lang w:val="en-US" w:eastAsia="zh-CN"/>
        </w:rPr>
        <w:t>由成交供应商缴纳。</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eastAsiaTheme="minorEastAsia"/>
          <w:kern w:val="2"/>
          <w:sz w:val="24"/>
          <w:szCs w:val="24"/>
          <w:highlight w:val="none"/>
          <w:lang w:val="en-US" w:eastAsia="zh-CN" w:bidi="ar-SA"/>
        </w:rPr>
        <w:t>1.5.3</w:t>
      </w:r>
      <w:r>
        <w:rPr>
          <w:rFonts w:hint="eastAsia" w:cs="宋体" w:asciiTheme="minorEastAsia" w:hAnsiTheme="minorEastAsia"/>
          <w:sz w:val="24"/>
          <w:highlight w:val="none"/>
        </w:rPr>
        <w:t>缴纳时间：成交通知书发出前缴纳采购代理费。</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73" w:name="_Toc1048325"/>
      <w:bookmarkStart w:id="74" w:name="_Toc312072233"/>
      <w:bookmarkStart w:id="75" w:name="_Toc532893066"/>
      <w:bookmarkStart w:id="76" w:name="_Toc269310925"/>
      <w:bookmarkStart w:id="77" w:name="_Toc41983276"/>
      <w:r>
        <w:rPr>
          <w:rFonts w:asciiTheme="minorEastAsia" w:hAnsiTheme="minorEastAsia" w:eastAsiaTheme="minorEastAsia"/>
          <w:b/>
          <w:sz w:val="24"/>
          <w:szCs w:val="24"/>
          <w:highlight w:val="none"/>
        </w:rPr>
        <w:t>1.6 保密</w:t>
      </w:r>
      <w:bookmarkEnd w:id="70"/>
      <w:bookmarkEnd w:id="71"/>
      <w:bookmarkEnd w:id="72"/>
      <w:bookmarkEnd w:id="73"/>
      <w:bookmarkEnd w:id="74"/>
      <w:bookmarkEnd w:id="75"/>
      <w:bookmarkEnd w:id="76"/>
      <w:bookmarkEnd w:id="77"/>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 xml:space="preserve">1.6.1参与采购活动的各方应对采购文件和报价文件中的商业和技术等秘密保密，违者应对由此造成的后果承担法律责任。 </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78" w:name="_Toc144974505"/>
      <w:bookmarkStart w:id="79" w:name="_Toc312072234"/>
      <w:bookmarkStart w:id="80" w:name="_Toc152045537"/>
      <w:bookmarkStart w:id="81" w:name="_Toc152042313"/>
      <w:bookmarkStart w:id="82" w:name="_Toc41983277"/>
      <w:bookmarkStart w:id="83" w:name="_Toc269310926"/>
      <w:bookmarkStart w:id="84" w:name="_Toc532893067"/>
      <w:bookmarkStart w:id="85" w:name="_Toc1048326"/>
      <w:r>
        <w:rPr>
          <w:rFonts w:asciiTheme="minorEastAsia" w:hAnsiTheme="minorEastAsia" w:eastAsiaTheme="minorEastAsia"/>
          <w:b/>
          <w:sz w:val="24"/>
          <w:szCs w:val="24"/>
          <w:highlight w:val="none"/>
        </w:rPr>
        <w:t>1.7 语言</w:t>
      </w:r>
      <w:bookmarkEnd w:id="78"/>
      <w:r>
        <w:rPr>
          <w:rFonts w:asciiTheme="minorEastAsia" w:hAnsiTheme="minorEastAsia" w:eastAsiaTheme="minorEastAsia"/>
          <w:b/>
          <w:sz w:val="24"/>
          <w:szCs w:val="24"/>
          <w:highlight w:val="none"/>
        </w:rPr>
        <w:t>文字</w:t>
      </w:r>
      <w:bookmarkEnd w:id="79"/>
      <w:bookmarkEnd w:id="80"/>
      <w:bookmarkEnd w:id="81"/>
      <w:bookmarkEnd w:id="82"/>
      <w:bookmarkEnd w:id="83"/>
      <w:bookmarkEnd w:id="84"/>
      <w:bookmarkEnd w:id="85"/>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1.7.1除专用术语外，与采购投标有关的语言均使用简体中文。必要时专用术语应附有简体中文注释。</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86" w:name="_Toc532893068"/>
      <w:bookmarkStart w:id="87" w:name="_Toc152042314"/>
      <w:bookmarkStart w:id="88" w:name="_Toc144974506"/>
      <w:bookmarkStart w:id="89" w:name="_Toc312072235"/>
      <w:bookmarkStart w:id="90" w:name="_Toc269310927"/>
      <w:bookmarkStart w:id="91" w:name="_Toc41983278"/>
      <w:bookmarkStart w:id="92" w:name="_Toc1048327"/>
      <w:bookmarkStart w:id="93" w:name="_Toc152045538"/>
      <w:r>
        <w:rPr>
          <w:rFonts w:asciiTheme="minorEastAsia" w:hAnsiTheme="minorEastAsia" w:eastAsiaTheme="minorEastAsia"/>
          <w:b/>
          <w:sz w:val="24"/>
          <w:szCs w:val="24"/>
          <w:highlight w:val="none"/>
        </w:rPr>
        <w:t>1.8计量单位</w:t>
      </w:r>
      <w:bookmarkEnd w:id="86"/>
      <w:bookmarkEnd w:id="87"/>
      <w:bookmarkEnd w:id="88"/>
      <w:bookmarkEnd w:id="89"/>
      <w:bookmarkEnd w:id="90"/>
      <w:bookmarkEnd w:id="91"/>
      <w:bookmarkEnd w:id="92"/>
      <w:bookmarkEnd w:id="93"/>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1.8.1所有计量均采用中华人民共和国法定计量单位。</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94" w:name="_Toc152042315"/>
      <w:bookmarkStart w:id="95" w:name="_Toc152045539"/>
      <w:bookmarkStart w:id="96" w:name="_Toc312072236"/>
      <w:bookmarkStart w:id="97" w:name="_Toc144974507"/>
      <w:bookmarkStart w:id="98" w:name="_Toc1048328"/>
      <w:bookmarkStart w:id="99" w:name="_Toc269310928"/>
      <w:bookmarkStart w:id="100" w:name="_Toc532893069"/>
      <w:bookmarkStart w:id="101" w:name="_Toc41983279"/>
      <w:r>
        <w:rPr>
          <w:rFonts w:asciiTheme="minorEastAsia" w:hAnsiTheme="minorEastAsia" w:eastAsiaTheme="minorEastAsia"/>
          <w:b/>
          <w:sz w:val="24"/>
          <w:szCs w:val="24"/>
          <w:highlight w:val="none"/>
        </w:rPr>
        <w:t>1.9 踏勘现场</w:t>
      </w:r>
      <w:bookmarkEnd w:id="94"/>
      <w:bookmarkEnd w:id="95"/>
      <w:bookmarkEnd w:id="96"/>
      <w:bookmarkEnd w:id="97"/>
      <w:bookmarkEnd w:id="98"/>
      <w:bookmarkEnd w:id="99"/>
      <w:bookmarkEnd w:id="100"/>
      <w:bookmarkEnd w:id="101"/>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1.9.1不统一组织踏勘现场，供应商可根据需要自行到项目现场进行踏勘。</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1.9.2 供应商踏勘现场发生的费用自理。</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1.9.3 采购人在踏勘现场中介绍的工程场地和相关的周边环境情况，供应商在编制报价文件时参考，采购人不对供应商据此做出的判断和决策负责。</w:t>
      </w:r>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102" w:name="_Toc41983280"/>
      <w:bookmarkStart w:id="103" w:name="_Toc532893070"/>
      <w:bookmarkStart w:id="104" w:name="_Toc312072239"/>
      <w:bookmarkStart w:id="105" w:name="_Toc1048329"/>
      <w:r>
        <w:rPr>
          <w:rFonts w:asciiTheme="minorEastAsia" w:hAnsiTheme="minorEastAsia" w:eastAsiaTheme="minorEastAsia"/>
          <w:b/>
          <w:sz w:val="24"/>
          <w:szCs w:val="24"/>
          <w:highlight w:val="none"/>
        </w:rPr>
        <w:t>1.10 偏离</w:t>
      </w:r>
      <w:bookmarkEnd w:id="102"/>
      <w:bookmarkEnd w:id="103"/>
      <w:bookmarkEnd w:id="104"/>
      <w:bookmarkEnd w:id="105"/>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不允许负偏离</w:t>
      </w:r>
    </w:p>
    <w:p>
      <w:pPr>
        <w:pStyle w:val="98"/>
        <w:keepNext w:val="0"/>
        <w:widowControl/>
        <w:spacing w:before="120" w:after="240" w:line="360" w:lineRule="auto"/>
        <w:outlineLvl w:val="2"/>
        <w:rPr>
          <w:rFonts w:hint="default" w:cs="宋体" w:asciiTheme="minorEastAsia" w:hAnsiTheme="minorEastAsia" w:eastAsiaTheme="minorEastAsia"/>
          <w:sz w:val="24"/>
          <w:szCs w:val="24"/>
          <w:highlight w:val="none"/>
        </w:rPr>
      </w:pPr>
      <w:bookmarkStart w:id="106" w:name="_Toc152042318"/>
      <w:bookmarkStart w:id="107" w:name="_Toc456970459"/>
      <w:bookmarkStart w:id="108" w:name="_Toc467665723"/>
      <w:bookmarkStart w:id="109" w:name="_Toc41983281"/>
      <w:bookmarkStart w:id="110" w:name="_Toc1048330"/>
      <w:bookmarkStart w:id="111" w:name="_Toc312072240"/>
      <w:bookmarkStart w:id="112" w:name="_Toc456970520"/>
      <w:bookmarkStart w:id="113" w:name="_Toc532893071"/>
      <w:bookmarkStart w:id="114" w:name="_Toc269310930"/>
      <w:bookmarkStart w:id="115" w:name="_Toc144974510"/>
      <w:bookmarkStart w:id="116" w:name="_Toc152045542"/>
      <w:bookmarkStart w:id="117" w:name="_Toc456970757"/>
      <w:r>
        <w:rPr>
          <w:rFonts w:cs="宋体" w:asciiTheme="minorEastAsia" w:hAnsiTheme="minorEastAsia" w:eastAsiaTheme="minorEastAsia"/>
          <w:sz w:val="24"/>
          <w:szCs w:val="24"/>
          <w:highlight w:val="none"/>
        </w:rPr>
        <w:t>2. 采购文件</w:t>
      </w:r>
      <w:bookmarkEnd w:id="106"/>
      <w:bookmarkEnd w:id="107"/>
      <w:bookmarkEnd w:id="108"/>
      <w:bookmarkEnd w:id="109"/>
      <w:bookmarkEnd w:id="110"/>
      <w:bookmarkEnd w:id="111"/>
      <w:bookmarkEnd w:id="112"/>
      <w:bookmarkEnd w:id="113"/>
      <w:bookmarkEnd w:id="114"/>
      <w:bookmarkEnd w:id="115"/>
      <w:bookmarkEnd w:id="116"/>
      <w:bookmarkEnd w:id="117"/>
    </w:p>
    <w:p>
      <w:pPr>
        <w:pStyle w:val="5"/>
        <w:keepNext w:val="0"/>
        <w:widowControl/>
        <w:numPr>
          <w:ilvl w:val="0"/>
          <w:numId w:val="0"/>
        </w:numPr>
        <w:spacing w:before="120" w:after="160"/>
        <w:ind w:left="480"/>
        <w:rPr>
          <w:rFonts w:hint="default" w:asciiTheme="minorEastAsia" w:hAnsiTheme="minorEastAsia" w:eastAsiaTheme="minorEastAsia"/>
          <w:b/>
          <w:sz w:val="24"/>
          <w:szCs w:val="24"/>
          <w:highlight w:val="none"/>
        </w:rPr>
      </w:pPr>
      <w:bookmarkStart w:id="118" w:name="_Toc312072241"/>
      <w:bookmarkStart w:id="119" w:name="_Toc144974511"/>
      <w:bookmarkStart w:id="120" w:name="_Toc269310931"/>
      <w:bookmarkStart w:id="121" w:name="_Toc532893072"/>
      <w:bookmarkStart w:id="122" w:name="_Toc1048331"/>
      <w:bookmarkStart w:id="123" w:name="_Toc152042319"/>
      <w:bookmarkStart w:id="124" w:name="_Toc152045543"/>
      <w:bookmarkStart w:id="125" w:name="_Toc41983282"/>
      <w:r>
        <w:rPr>
          <w:rFonts w:asciiTheme="minorEastAsia" w:hAnsiTheme="minorEastAsia" w:eastAsiaTheme="minorEastAsia"/>
          <w:b/>
          <w:sz w:val="24"/>
          <w:szCs w:val="24"/>
          <w:highlight w:val="none"/>
        </w:rPr>
        <w:t>2.1 采购文件的组成</w:t>
      </w:r>
      <w:bookmarkEnd w:id="118"/>
      <w:bookmarkEnd w:id="119"/>
      <w:bookmarkEnd w:id="120"/>
      <w:bookmarkEnd w:id="121"/>
      <w:bookmarkEnd w:id="122"/>
      <w:bookmarkEnd w:id="123"/>
      <w:bookmarkEnd w:id="124"/>
      <w:bookmarkEnd w:id="125"/>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本次采购项目的采购文件包含以下部分：</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w:t>
      </w:r>
      <w:r>
        <w:rPr>
          <w:rFonts w:hint="eastAsia" w:cs="宋体" w:asciiTheme="minorEastAsia" w:hAnsiTheme="minorEastAsia"/>
          <w:sz w:val="24"/>
          <w:highlight w:val="none"/>
          <w:lang w:eastAsia="zh-CN"/>
        </w:rPr>
        <w:t>竞争性谈判</w:t>
      </w:r>
      <w:r>
        <w:rPr>
          <w:rFonts w:hint="eastAsia" w:cs="宋体" w:asciiTheme="minorEastAsia" w:hAnsiTheme="minorEastAsia"/>
          <w:sz w:val="24"/>
          <w:highlight w:val="none"/>
          <w:lang w:val="en-US" w:eastAsia="zh-CN"/>
        </w:rPr>
        <w:t>公告</w:t>
      </w:r>
      <w:r>
        <w:rPr>
          <w:rFonts w:hint="eastAsia" w:cs="宋体" w:asciiTheme="minorEastAsia" w:hAnsiTheme="minorEastAsia"/>
          <w:sz w:val="24"/>
          <w:highlight w:val="none"/>
        </w:rPr>
        <w:t>；</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（2）供应商须知；</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（3）技术标准和要求；</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（4）合同条款及格式；</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（5）报价文件格式；</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（6）附件；</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（7）供应商须知前附表规定的其他材料。</w:t>
      </w:r>
    </w:p>
    <w:p>
      <w:pPr>
        <w:pStyle w:val="185"/>
        <w:ind w:firstLine="360" w:firstLineChars="150"/>
        <w:jc w:val="left"/>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本谈判文件第四章“合同条款及格式”是谈判文件的重要组成部分，供应商必须仔细阅读并充分理解。供应商一旦中标，必须按照本谈判文件第四章“合同条款及格式”已约定的内容和格式与采购人签订合同。</w:t>
      </w:r>
    </w:p>
    <w:p>
      <w:pPr>
        <w:shd w:val="clear" w:color="auto" w:fill="FFFFFF"/>
        <w:autoSpaceDE w:val="0"/>
        <w:autoSpaceDN w:val="0"/>
        <w:adjustRightInd w:val="0"/>
        <w:snapToGrid w:val="0"/>
        <w:spacing w:line="360" w:lineRule="auto"/>
        <w:ind w:firstLine="480" w:firstLineChars="200"/>
        <w:jc w:val="left"/>
        <w:rPr>
          <w:rFonts w:asciiTheme="minorEastAsia" w:hAnsiTheme="minorEastAsia"/>
          <w:sz w:val="24"/>
          <w:highlight w:val="none"/>
        </w:rPr>
      </w:pPr>
      <w:r>
        <w:rPr>
          <w:rFonts w:hint="eastAsia" w:asciiTheme="minorEastAsia" w:hAnsiTheme="minorEastAsia"/>
          <w:sz w:val="24"/>
          <w:highlight w:val="none"/>
        </w:rPr>
        <w:t>采购文件将通过现场领取的方式进行发放。对采购文件所作的澄清、修改、补充文件，同为采购文件的组成部分，其相互之间发生矛盾时，以最后发出的文件为准。</w:t>
      </w:r>
    </w:p>
    <w:p>
      <w:pPr>
        <w:pStyle w:val="5"/>
        <w:keepNext w:val="0"/>
        <w:widowControl/>
        <w:numPr>
          <w:ilvl w:val="0"/>
          <w:numId w:val="0"/>
        </w:numPr>
        <w:spacing w:before="120"/>
        <w:ind w:left="480"/>
        <w:rPr>
          <w:rFonts w:hint="default" w:asciiTheme="minorEastAsia" w:hAnsiTheme="minorEastAsia" w:eastAsiaTheme="minorEastAsia"/>
          <w:b/>
          <w:sz w:val="24"/>
          <w:szCs w:val="24"/>
          <w:highlight w:val="none"/>
        </w:rPr>
      </w:pPr>
      <w:bookmarkStart w:id="126" w:name="_Toc41983283"/>
      <w:bookmarkStart w:id="127" w:name="_Toc1048332"/>
      <w:bookmarkStart w:id="128" w:name="_Toc532893073"/>
      <w:r>
        <w:rPr>
          <w:rFonts w:asciiTheme="minorEastAsia" w:hAnsiTheme="minorEastAsia" w:eastAsiaTheme="minorEastAsia"/>
          <w:b/>
          <w:sz w:val="24"/>
          <w:szCs w:val="24"/>
          <w:highlight w:val="none"/>
        </w:rPr>
        <w:t>2.2</w:t>
      </w:r>
      <w:r>
        <w:rPr>
          <w:rFonts w:cs="黑体" w:asciiTheme="minorEastAsia" w:hAnsiTheme="minorEastAsia" w:eastAsiaTheme="minorEastAsia"/>
          <w:b/>
          <w:sz w:val="24"/>
          <w:szCs w:val="24"/>
          <w:highlight w:val="none"/>
        </w:rPr>
        <w:t>采购文件的澄清或修改</w:t>
      </w:r>
      <w:bookmarkEnd w:id="126"/>
      <w:bookmarkEnd w:id="127"/>
      <w:bookmarkEnd w:id="128"/>
    </w:p>
    <w:p>
      <w:pPr>
        <w:pStyle w:val="21"/>
        <w:spacing w:line="360" w:lineRule="auto"/>
        <w:rPr>
          <w:rFonts w:cs="宋体" w:asciiTheme="minorEastAsia" w:hAnsiTheme="minorEastAsia" w:eastAsiaTheme="minorEastAsia"/>
          <w:sz w:val="24"/>
          <w:highlight w:val="none"/>
        </w:rPr>
      </w:pPr>
      <w:bookmarkStart w:id="129" w:name="_Toc152042322"/>
      <w:bookmarkStart w:id="130" w:name="_Toc232995487"/>
      <w:bookmarkStart w:id="131" w:name="_Toc144974514"/>
      <w:bookmarkStart w:id="132" w:name="_Toc269310934"/>
      <w:bookmarkStart w:id="133" w:name="_Toc456970460"/>
      <w:bookmarkStart w:id="134" w:name="_Toc312072244"/>
      <w:bookmarkStart w:id="135" w:name="_Toc152045546"/>
      <w:bookmarkStart w:id="136" w:name="_Toc456970521"/>
      <w:bookmarkStart w:id="137" w:name="_Toc456970758"/>
      <w:bookmarkStart w:id="138" w:name="_Toc467665724"/>
      <w:bookmarkStart w:id="139" w:name="_Toc144974516"/>
      <w:bookmarkStart w:id="140" w:name="_Toc152045548"/>
      <w:bookmarkStart w:id="141" w:name="_Toc152042324"/>
      <w:r>
        <w:rPr>
          <w:rFonts w:hint="eastAsia" w:cs="宋体" w:asciiTheme="minorEastAsia" w:hAnsiTheme="minorEastAsia" w:eastAsiaTheme="minorEastAsia"/>
          <w:sz w:val="24"/>
          <w:highlight w:val="none"/>
        </w:rPr>
        <w:t>提交首次报价文件截止之日前，采购人、采购代理机构或者谈判小组可以对已发出的谈判文件进行必要的澄清或者修改，澄清或者修改的内容作为谈判文件的组成部分。澄清或者修改的内容可能影响报价文件编制的，采购人、采购代理机构或者谈判小组应当在提交首次报价文件截止之日前，发放给各</w:t>
      </w:r>
      <w:r>
        <w:rPr>
          <w:rFonts w:cs="宋体" w:asciiTheme="minorEastAsia" w:hAnsiTheme="minorEastAsia" w:eastAsiaTheme="minorEastAsia"/>
          <w:sz w:val="24"/>
          <w:highlight w:val="none"/>
        </w:rPr>
        <w:t>供应商。</w:t>
      </w:r>
    </w:p>
    <w:p>
      <w:pPr>
        <w:pStyle w:val="98"/>
        <w:keepNext w:val="0"/>
        <w:widowControl/>
        <w:spacing w:before="120" w:line="360" w:lineRule="auto"/>
        <w:outlineLvl w:val="2"/>
        <w:rPr>
          <w:rFonts w:hint="default" w:cs="宋体" w:asciiTheme="minorEastAsia" w:hAnsiTheme="minorEastAsia" w:eastAsiaTheme="minorEastAsia"/>
          <w:sz w:val="24"/>
          <w:szCs w:val="24"/>
          <w:highlight w:val="none"/>
        </w:rPr>
      </w:pPr>
      <w:bookmarkStart w:id="142" w:name="_Toc1048333"/>
      <w:bookmarkStart w:id="143" w:name="_Toc41983284"/>
      <w:bookmarkStart w:id="144" w:name="_Toc532893074"/>
      <w:r>
        <w:rPr>
          <w:rFonts w:cs="宋体" w:asciiTheme="minorEastAsia" w:hAnsiTheme="minorEastAsia" w:eastAsiaTheme="minorEastAsia"/>
          <w:sz w:val="24"/>
          <w:szCs w:val="24"/>
          <w:highlight w:val="none"/>
        </w:rPr>
        <w:t>3. 报价文件</w:t>
      </w:r>
      <w:bookmarkEnd w:id="129"/>
      <w:bookmarkEnd w:id="130"/>
      <w:bookmarkEnd w:id="131"/>
      <w:bookmarkEnd w:id="132"/>
      <w:bookmarkEnd w:id="133"/>
      <w:bookmarkEnd w:id="134"/>
      <w:bookmarkEnd w:id="135"/>
      <w:bookmarkEnd w:id="136"/>
      <w:bookmarkEnd w:id="137"/>
      <w:bookmarkEnd w:id="138"/>
      <w:bookmarkEnd w:id="142"/>
      <w:bookmarkEnd w:id="143"/>
      <w:bookmarkEnd w:id="144"/>
    </w:p>
    <w:bookmarkEnd w:id="139"/>
    <w:bookmarkEnd w:id="140"/>
    <w:bookmarkEnd w:id="141"/>
    <w:p>
      <w:pPr>
        <w:pStyle w:val="5"/>
        <w:keepNext w:val="0"/>
        <w:widowControl/>
        <w:numPr>
          <w:ilvl w:val="0"/>
          <w:numId w:val="0"/>
        </w:numPr>
        <w:spacing w:before="120" w:after="120"/>
        <w:ind w:left="480"/>
        <w:rPr>
          <w:rFonts w:asciiTheme="minorEastAsia" w:hAnsiTheme="minorEastAsia" w:eastAsiaTheme="minorEastAsia"/>
          <w:b/>
          <w:sz w:val="24"/>
          <w:szCs w:val="24"/>
          <w:highlight w:val="none"/>
        </w:rPr>
      </w:pPr>
      <w:bookmarkStart w:id="145" w:name="_Toc152045547"/>
      <w:bookmarkStart w:id="146" w:name="_Toc152042323"/>
      <w:bookmarkStart w:id="147" w:name="_Toc144974515"/>
      <w:bookmarkStart w:id="148" w:name="_Toc269310935"/>
      <w:bookmarkStart w:id="149" w:name="_Toc232995488"/>
      <w:bookmarkStart w:id="150" w:name="_Toc312072245"/>
      <w:bookmarkStart w:id="151" w:name="_Toc365292743"/>
      <w:bookmarkStart w:id="152" w:name="_Toc364956255"/>
      <w:bookmarkStart w:id="153" w:name="_Toc532893075"/>
      <w:bookmarkStart w:id="154" w:name="_Toc364956162"/>
      <w:bookmarkStart w:id="155" w:name="_Toc1048334"/>
      <w:bookmarkStart w:id="156" w:name="_Toc41983285"/>
      <w:bookmarkStart w:id="157" w:name="_Toc269310937"/>
      <w:r>
        <w:rPr>
          <w:rFonts w:asciiTheme="minorEastAsia" w:hAnsiTheme="minorEastAsia" w:eastAsiaTheme="minorEastAsia"/>
          <w:b/>
          <w:sz w:val="24"/>
          <w:szCs w:val="24"/>
          <w:highlight w:val="none"/>
        </w:rPr>
        <w:t>3.1 报价文件的组成</w:t>
      </w:r>
      <w:bookmarkEnd w:id="145"/>
      <w:bookmarkEnd w:id="146"/>
      <w:bookmarkEnd w:id="147"/>
      <w:bookmarkEnd w:id="148"/>
      <w:bookmarkEnd w:id="149"/>
      <w:bookmarkEnd w:id="150"/>
      <w:r>
        <w:rPr>
          <w:rFonts w:asciiTheme="minorEastAsia" w:hAnsiTheme="minorEastAsia" w:eastAsiaTheme="minorEastAsia"/>
          <w:b/>
          <w:sz w:val="24"/>
          <w:szCs w:val="24"/>
          <w:highlight w:val="none"/>
        </w:rPr>
        <w:t>（具体内容详见报价文件格式）</w:t>
      </w:r>
      <w:bookmarkEnd w:id="151"/>
      <w:bookmarkEnd w:id="152"/>
      <w:bookmarkEnd w:id="153"/>
      <w:bookmarkEnd w:id="154"/>
      <w:bookmarkEnd w:id="155"/>
      <w:bookmarkEnd w:id="156"/>
      <w:bookmarkStart w:id="158" w:name="_Toc232832203"/>
      <w:bookmarkStart w:id="159" w:name="_Toc232832502"/>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报价文件应包括以下内容，并按下列顺序编制。</w:t>
      </w:r>
    </w:p>
    <w:p>
      <w:pPr>
        <w:pStyle w:val="185"/>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一、报价部分</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1.1 法定代表人或授权代表签署的报价函</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1.2 法定代表人身份证明及授权委托书</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1.3 报价一览表</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1.4 已标价的工程量清单</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1.5 供应商认为需要提交的其他文件</w:t>
      </w:r>
    </w:p>
    <w:p>
      <w:pPr>
        <w:pStyle w:val="185"/>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二、投标人简介及资格证明文件</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2.1投标人企业情况表</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2.2投标人的资格声明</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2.3投标人资格证件</w:t>
      </w:r>
      <w:r>
        <w:rPr>
          <w:rFonts w:hint="eastAsia" w:cs="宋体" w:asciiTheme="minorEastAsia" w:hAnsiTheme="minorEastAsia" w:eastAsiaTheme="minorEastAsia"/>
          <w:b/>
          <w:bCs/>
          <w:sz w:val="24"/>
          <w:szCs w:val="24"/>
          <w:highlight w:val="none"/>
          <w:lang w:val="en-US" w:eastAsia="zh-CN"/>
        </w:rPr>
        <w:t>（请按前附表“资格审查证件提交”的内容编制）</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2.4投标人认为需要提交的其他文件</w:t>
      </w:r>
    </w:p>
    <w:p>
      <w:pPr>
        <w:pStyle w:val="185"/>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三、技术部分</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3.1施工组织方案</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3.2目管理班子人员配备</w:t>
      </w:r>
    </w:p>
    <w:p>
      <w:pPr>
        <w:pStyle w:val="185"/>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四、合理化建议及优惠条件</w:t>
      </w:r>
    </w:p>
    <w:p>
      <w:pPr>
        <w:pStyle w:val="185"/>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五、其他材料</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5.1 监狱企业证明文件（如有）</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5.2 残疾人福利性单位声明函（如有）</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5.3 节能产品（非强制类）、环境标志产品价格折减明细表</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5.4 节能产品（非强制类）、环境标志产品品目清单及认证证书</w:t>
      </w:r>
    </w:p>
    <w:p>
      <w:pPr>
        <w:pStyle w:val="185"/>
        <w:ind w:firstLine="360" w:firstLineChars="150"/>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5.5 投标人认为需要提交的其他文件</w:t>
      </w:r>
    </w:p>
    <w:p>
      <w:pPr>
        <w:pStyle w:val="185"/>
        <w:jc w:val="left"/>
        <w:rPr>
          <w:rFonts w:hint="eastAsia" w:cs="宋体" w:asciiTheme="minorEastAsia" w:hAnsiTheme="minorEastAsia" w:eastAsiaTheme="minorEastAsia"/>
          <w:sz w:val="24"/>
          <w:szCs w:val="24"/>
          <w:highlight w:val="none"/>
          <w:lang w:val="en-US" w:eastAsia="zh-CN"/>
        </w:rPr>
      </w:pPr>
      <w:r>
        <w:rPr>
          <w:rFonts w:hint="eastAsia" w:cs="宋体" w:asciiTheme="minorEastAsia" w:hAnsiTheme="minorEastAsia" w:eastAsiaTheme="minorEastAsia"/>
          <w:sz w:val="24"/>
          <w:szCs w:val="24"/>
          <w:highlight w:val="none"/>
          <w:lang w:val="en-US" w:eastAsia="zh-CN"/>
        </w:rPr>
        <w:t>六、投标人认为需要说明的其他问题</w:t>
      </w:r>
    </w:p>
    <w:bookmarkEnd w:id="158"/>
    <w:bookmarkEnd w:id="159"/>
    <w:p>
      <w:pPr>
        <w:pStyle w:val="5"/>
        <w:keepNext w:val="0"/>
        <w:widowControl/>
        <w:numPr>
          <w:ilvl w:val="0"/>
          <w:numId w:val="0"/>
        </w:numPr>
        <w:spacing w:before="120"/>
        <w:ind w:left="480"/>
        <w:rPr>
          <w:rFonts w:hint="default" w:asciiTheme="minorEastAsia" w:hAnsiTheme="minorEastAsia" w:eastAsiaTheme="minorEastAsia"/>
          <w:b/>
          <w:sz w:val="24"/>
          <w:szCs w:val="24"/>
          <w:highlight w:val="none"/>
        </w:rPr>
      </w:pPr>
      <w:bookmarkStart w:id="160" w:name="_Toc532893076"/>
      <w:bookmarkStart w:id="161" w:name="_Toc364956256"/>
      <w:bookmarkStart w:id="162" w:name="_Toc365292744"/>
      <w:bookmarkStart w:id="163" w:name="_Toc364956163"/>
      <w:bookmarkStart w:id="164" w:name="_Toc1048335"/>
      <w:bookmarkStart w:id="165" w:name="_Toc41983286"/>
      <w:bookmarkStart w:id="166" w:name="_Toc312072246"/>
      <w:r>
        <w:rPr>
          <w:rFonts w:asciiTheme="minorEastAsia" w:hAnsiTheme="minorEastAsia" w:eastAsiaTheme="minorEastAsia"/>
          <w:b/>
          <w:sz w:val="24"/>
          <w:szCs w:val="24"/>
          <w:highlight w:val="none"/>
        </w:rPr>
        <w:t>3.2 报价</w:t>
      </w:r>
      <w:bookmarkEnd w:id="160"/>
      <w:bookmarkEnd w:id="161"/>
      <w:bookmarkEnd w:id="162"/>
      <w:bookmarkEnd w:id="163"/>
      <w:bookmarkEnd w:id="164"/>
      <w:bookmarkEnd w:id="165"/>
      <w:bookmarkEnd w:id="166"/>
    </w:p>
    <w:p>
      <w:pPr>
        <w:spacing w:line="360" w:lineRule="auto"/>
        <w:ind w:firstLine="480" w:firstLineChars="200"/>
        <w:rPr>
          <w:rFonts w:asciiTheme="minorEastAsia" w:hAnsiTheme="minorEastAsia"/>
          <w:sz w:val="24"/>
          <w:highlight w:val="none"/>
        </w:rPr>
      </w:pPr>
      <w:bookmarkStart w:id="167" w:name="_Toc312072247"/>
      <w:r>
        <w:rPr>
          <w:rFonts w:hint="eastAsia" w:asciiTheme="minorEastAsia" w:hAnsiTheme="minorEastAsia"/>
          <w:sz w:val="24"/>
          <w:highlight w:val="none"/>
        </w:rPr>
        <w:t>（1）</w:t>
      </w:r>
      <w:r>
        <w:rPr>
          <w:rFonts w:hint="eastAsia" w:asciiTheme="minorEastAsia" w:hAnsiTheme="minorEastAsia"/>
          <w:b/>
          <w:sz w:val="24"/>
          <w:highlight w:val="none"/>
        </w:rPr>
        <w:t>本项目为两次报价，最后一次报价作为最终报价，采用经评审的最低评标价法。</w:t>
      </w:r>
    </w:p>
    <w:p>
      <w:pPr>
        <w:spacing w:line="360" w:lineRule="auto"/>
        <w:ind w:firstLine="480" w:firstLineChars="200"/>
        <w:rPr>
          <w:rFonts w:asciiTheme="minorEastAsia" w:hAnsiTheme="minorEastAsia"/>
          <w:sz w:val="24"/>
          <w:highlight w:val="none"/>
        </w:rPr>
      </w:pPr>
      <w:r>
        <w:rPr>
          <w:rFonts w:hint="eastAsia" w:asciiTheme="minorEastAsia" w:hAnsiTheme="minorEastAsia"/>
          <w:sz w:val="24"/>
          <w:highlight w:val="none"/>
        </w:rPr>
        <w:t>（2）报价币种：人民币。</w:t>
      </w:r>
    </w:p>
    <w:p>
      <w:pPr>
        <w:spacing w:line="360" w:lineRule="auto"/>
        <w:ind w:firstLine="480" w:firstLineChars="200"/>
        <w:rPr>
          <w:rFonts w:cs="宋体" w:asciiTheme="minorEastAsia" w:hAnsiTheme="minorEastAsia"/>
          <w:sz w:val="24"/>
          <w:highlight w:val="none"/>
        </w:rPr>
      </w:pPr>
      <w:r>
        <w:rPr>
          <w:rFonts w:hint="eastAsia" w:asciiTheme="minorEastAsia" w:hAnsiTheme="minorEastAsia"/>
          <w:sz w:val="24"/>
          <w:highlight w:val="none"/>
        </w:rPr>
        <w:t>（3）供应商在报价时只能提供一个方案，且此方案只允许有一个</w:t>
      </w:r>
      <w:r>
        <w:rPr>
          <w:rFonts w:hint="eastAsia" w:cs="宋体" w:asciiTheme="minorEastAsia" w:hAnsiTheme="minorEastAsia"/>
          <w:sz w:val="24"/>
          <w:highlight w:val="none"/>
        </w:rPr>
        <w:t>报价。</w:t>
      </w:r>
    </w:p>
    <w:p>
      <w:pPr>
        <w:snapToGrid w:val="0"/>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（4）单独密封的报价一览表与报价文件正本不符，以报价一览表为准。</w:t>
      </w:r>
    </w:p>
    <w:p>
      <w:pPr>
        <w:snapToGrid w:val="0"/>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（5）如果大写的金额和小写的金额不一致时，以大写的金额为准。</w:t>
      </w:r>
    </w:p>
    <w:p>
      <w:pPr>
        <w:spacing w:line="360" w:lineRule="auto"/>
        <w:ind w:firstLine="480" w:firstLineChars="200"/>
        <w:rPr>
          <w:rFonts w:cs="宋体" w:asciiTheme="minorEastAsia" w:hAnsiTheme="minorEastAsia"/>
          <w:bCs/>
          <w:sz w:val="24"/>
          <w:highlight w:val="none"/>
        </w:rPr>
      </w:pPr>
      <w:r>
        <w:rPr>
          <w:rFonts w:hint="eastAsia" w:cs="宋体" w:asciiTheme="minorEastAsia" w:hAnsiTheme="minorEastAsia"/>
          <w:sz w:val="24"/>
          <w:highlight w:val="none"/>
        </w:rPr>
        <w:t>（6）如果单价汇总金额与总价金额不一致的，以单价金额计算结果为准；单价金额小数点有明显错位的，应以总价为准，并修改单价。</w:t>
      </w:r>
      <w:r>
        <w:rPr>
          <w:rFonts w:hint="eastAsia" w:cs="宋体" w:asciiTheme="minorEastAsia" w:hAnsiTheme="minorEastAsia"/>
          <w:bCs/>
          <w:sz w:val="24"/>
          <w:highlight w:val="none"/>
        </w:rPr>
        <w:t>项目实施过程中发生的一切费用由供应商自行负责。</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（7）供应商须对报价文件中涉及到的知识产权负责，保证免受第三方提出的侵犯其知识产权的诉讼。</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（8）本工程报价为含税报价。</w:t>
      </w:r>
    </w:p>
    <w:p>
      <w:pPr>
        <w:pStyle w:val="21"/>
        <w:ind w:firstLine="480" w:firstLineChars="200"/>
        <w:rPr>
          <w:highlight w:val="none"/>
        </w:rPr>
      </w:pPr>
      <w:r>
        <w:rPr>
          <w:rFonts w:hint="eastAsia" w:cs="宋体" w:asciiTheme="minorEastAsia" w:hAnsiTheme="minorEastAsia"/>
          <w:sz w:val="24"/>
          <w:highlight w:val="none"/>
        </w:rPr>
        <w:t>（9）</w:t>
      </w:r>
      <w:r>
        <w:rPr>
          <w:rFonts w:hint="eastAsia" w:asciiTheme="minorEastAsia" w:hAnsiTheme="minorEastAsia"/>
          <w:sz w:val="24"/>
          <w:highlight w:val="none"/>
        </w:rPr>
        <w:t>结算时所报单价将按最终报价与第一次报价的差距同比例下调。</w:t>
      </w:r>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168" w:name="_Toc41983287"/>
      <w:bookmarkStart w:id="169" w:name="_Toc1048336"/>
      <w:bookmarkStart w:id="170" w:name="_Toc532893077"/>
      <w:r>
        <w:rPr>
          <w:rFonts w:asciiTheme="minorEastAsia" w:hAnsiTheme="minorEastAsia" w:eastAsiaTheme="minorEastAsia"/>
          <w:b/>
          <w:sz w:val="24"/>
          <w:szCs w:val="24"/>
          <w:highlight w:val="none"/>
        </w:rPr>
        <w:t>3.3 报价有效期</w:t>
      </w:r>
      <w:bookmarkEnd w:id="157"/>
      <w:bookmarkEnd w:id="167"/>
      <w:bookmarkEnd w:id="168"/>
      <w:bookmarkEnd w:id="169"/>
      <w:bookmarkEnd w:id="170"/>
    </w:p>
    <w:p>
      <w:pPr>
        <w:spacing w:line="360" w:lineRule="auto"/>
        <w:ind w:firstLine="480" w:firstLineChars="200"/>
        <w:rPr>
          <w:rFonts w:cs="宋体" w:asciiTheme="minorEastAsia" w:hAnsiTheme="minorEastAsia"/>
          <w:sz w:val="24"/>
          <w:highlight w:val="none"/>
        </w:rPr>
      </w:pPr>
      <w:bookmarkStart w:id="171" w:name="_Toc152042326"/>
      <w:bookmarkStart w:id="172" w:name="_Toc269310938"/>
      <w:bookmarkStart w:id="173" w:name="_Toc144974518"/>
      <w:bookmarkStart w:id="174" w:name="_Toc152045550"/>
      <w:bookmarkStart w:id="175" w:name="_Toc312072248"/>
      <w:r>
        <w:rPr>
          <w:rFonts w:hint="eastAsia" w:cs="宋体" w:asciiTheme="minorEastAsia" w:hAnsiTheme="minorEastAsia"/>
          <w:sz w:val="24"/>
          <w:highlight w:val="none"/>
        </w:rPr>
        <w:t>3.3.1 在供应商须知前附表规定的报价有效期内，供应商不得要求撤销或修改其报价文件。</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3.3.2 出现特殊情况需要延长报价有效期的，采购人将通知所有供应商延长报价有效期。供应商同意延长的，不得要求修改或撤销其报价文件；供应商拒绝延长的，其报价失效。</w:t>
      </w:r>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176" w:name="_Toc41983288"/>
      <w:bookmarkStart w:id="177" w:name="_Toc1048337"/>
      <w:bookmarkStart w:id="178" w:name="_Toc532893078"/>
      <w:r>
        <w:rPr>
          <w:rFonts w:asciiTheme="minorEastAsia" w:hAnsiTheme="minorEastAsia" w:eastAsiaTheme="minorEastAsia"/>
          <w:b/>
          <w:sz w:val="24"/>
          <w:szCs w:val="24"/>
          <w:highlight w:val="none"/>
        </w:rPr>
        <w:t>3.4资格审查资料</w:t>
      </w:r>
      <w:bookmarkEnd w:id="176"/>
    </w:p>
    <w:p>
      <w:pPr>
        <w:spacing w:line="360" w:lineRule="auto"/>
        <w:ind w:firstLine="720" w:firstLineChars="300"/>
        <w:rPr>
          <w:rFonts w:cs="宋体" w:asciiTheme="minorEastAsia" w:hAnsiTheme="minorEastAsia"/>
          <w:sz w:val="24"/>
          <w:highlight w:val="none"/>
        </w:rPr>
      </w:pPr>
      <w:r>
        <w:rPr>
          <w:rFonts w:hint="eastAsia" w:cs="宋体" w:asciiTheme="minorEastAsia" w:hAnsiTheme="minorEastAsia"/>
          <w:sz w:val="24"/>
          <w:highlight w:val="none"/>
        </w:rPr>
        <w:t>详见供应商须知前附表。</w:t>
      </w:r>
      <w:bookmarkEnd w:id="171"/>
      <w:bookmarkEnd w:id="172"/>
      <w:bookmarkEnd w:id="173"/>
      <w:bookmarkEnd w:id="174"/>
      <w:bookmarkEnd w:id="175"/>
      <w:bookmarkEnd w:id="177"/>
      <w:bookmarkEnd w:id="178"/>
      <w:bookmarkStart w:id="179" w:name="_Toc312072249"/>
      <w:bookmarkStart w:id="180" w:name="_Toc144974521"/>
      <w:bookmarkStart w:id="181" w:name="_Toc152042329"/>
      <w:bookmarkStart w:id="182" w:name="_Toc152045553"/>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183" w:name="_Toc41983289"/>
      <w:bookmarkStart w:id="184" w:name="_Toc532893079"/>
      <w:bookmarkStart w:id="185" w:name="_Toc1048338"/>
      <w:r>
        <w:rPr>
          <w:rFonts w:asciiTheme="minorEastAsia" w:hAnsiTheme="minorEastAsia" w:eastAsiaTheme="minorEastAsia"/>
          <w:b/>
          <w:sz w:val="24"/>
          <w:szCs w:val="24"/>
          <w:highlight w:val="none"/>
        </w:rPr>
        <w:t>3.5报价文件的编制</w:t>
      </w:r>
      <w:bookmarkEnd w:id="183"/>
    </w:p>
    <w:p>
      <w:pPr>
        <w:spacing w:line="360" w:lineRule="auto"/>
        <w:ind w:firstLine="480" w:firstLineChars="200"/>
        <w:rPr>
          <w:rFonts w:asciiTheme="minorEastAsia" w:hAnsiTheme="minorEastAsia"/>
          <w:sz w:val="24"/>
          <w:highlight w:val="none"/>
        </w:rPr>
      </w:pPr>
      <w:r>
        <w:rPr>
          <w:rFonts w:hint="eastAsia" w:cs="宋体" w:asciiTheme="minorEastAsia" w:hAnsiTheme="minorEastAsia"/>
          <w:sz w:val="24"/>
          <w:highlight w:val="none"/>
        </w:rPr>
        <w:t>3.5.1</w:t>
      </w:r>
      <w:r>
        <w:rPr>
          <w:rFonts w:asciiTheme="minorEastAsia" w:hAnsiTheme="minorEastAsia"/>
          <w:sz w:val="24"/>
          <w:highlight w:val="none"/>
        </w:rPr>
        <w:t xml:space="preserve"> 报价文件应当对采购文件有关</w:t>
      </w:r>
      <w:r>
        <w:rPr>
          <w:rFonts w:hint="eastAsia" w:asciiTheme="minorEastAsia" w:hAnsiTheme="minorEastAsia"/>
          <w:sz w:val="24"/>
          <w:highlight w:val="none"/>
        </w:rPr>
        <w:t>服务期限</w:t>
      </w:r>
      <w:r>
        <w:rPr>
          <w:rFonts w:asciiTheme="minorEastAsia" w:hAnsiTheme="minorEastAsia"/>
          <w:sz w:val="24"/>
          <w:highlight w:val="none"/>
        </w:rPr>
        <w:t>、质量</w:t>
      </w:r>
      <w:r>
        <w:rPr>
          <w:rFonts w:hint="eastAsia" w:asciiTheme="minorEastAsia" w:hAnsiTheme="minorEastAsia"/>
          <w:sz w:val="24"/>
          <w:highlight w:val="none"/>
        </w:rPr>
        <w:t>要求</w:t>
      </w:r>
      <w:r>
        <w:rPr>
          <w:rFonts w:asciiTheme="minorEastAsia" w:hAnsiTheme="minorEastAsia"/>
          <w:sz w:val="24"/>
          <w:highlight w:val="none"/>
        </w:rPr>
        <w:t>、报价有效期、合同、技术标准和要求等实质性内容作出响应。</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3.5.2报价文件应用不褪色的材料书写或打印，并由供应商的法定代表人或其委托代理人签字或盖章并盖单位章。委托代理人签字或盖章的，报价文件应附法定代表人签署的授权委托书。报价文件应尽量避免涂改、行间插字或删除。如果出现上述情况，改动之处应加盖单位章并由供应商的法定代表人或其授权的代理人签字或盖章确认。</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签字或盖章的具体要求见供应商须知前附表。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3.5.3 报价文件正本壹份，副本份数见供应商须知前附表。</w:t>
      </w:r>
    </w:p>
    <w:p>
      <w:pPr>
        <w:widowControl/>
        <w:spacing w:line="360" w:lineRule="auto"/>
        <w:ind w:firstLine="480" w:firstLineChars="200"/>
        <w:jc w:val="left"/>
        <w:rPr>
          <w:rFonts w:cs="宋体" w:asciiTheme="minorEastAsia" w:hAnsiTheme="minorEastAsia"/>
          <w:kern w:val="0"/>
          <w:sz w:val="24"/>
          <w:highlight w:val="none"/>
        </w:rPr>
      </w:pPr>
      <w:r>
        <w:rPr>
          <w:rFonts w:hint="eastAsia" w:cs="宋体" w:asciiTheme="minorEastAsia" w:hAnsiTheme="minorEastAsia"/>
          <w:kern w:val="0"/>
          <w:sz w:val="24"/>
          <w:highlight w:val="none"/>
        </w:rPr>
        <w:t>3.5.4报价文件的正本与副本应分别装订成册，并编制目录，具体装订要求见供应商须知前附表规定。</w:t>
      </w:r>
    </w:p>
    <w:bookmarkEnd w:id="179"/>
    <w:bookmarkEnd w:id="180"/>
    <w:bookmarkEnd w:id="181"/>
    <w:bookmarkEnd w:id="182"/>
    <w:bookmarkEnd w:id="184"/>
    <w:bookmarkEnd w:id="185"/>
    <w:p>
      <w:pPr>
        <w:pStyle w:val="98"/>
        <w:keepNext w:val="0"/>
        <w:widowControl/>
        <w:spacing w:before="120" w:after="240" w:line="360" w:lineRule="auto"/>
        <w:outlineLvl w:val="2"/>
        <w:rPr>
          <w:rFonts w:hint="default" w:cs="宋体" w:asciiTheme="minorEastAsia" w:hAnsiTheme="minorEastAsia" w:eastAsiaTheme="minorEastAsia"/>
          <w:sz w:val="24"/>
          <w:szCs w:val="24"/>
          <w:highlight w:val="none"/>
        </w:rPr>
      </w:pPr>
      <w:bookmarkStart w:id="186" w:name="_Toc269310941"/>
      <w:bookmarkStart w:id="187" w:name="_Toc144974523"/>
      <w:bookmarkStart w:id="188" w:name="_Toc312072252"/>
      <w:bookmarkStart w:id="189" w:name="_Toc152042331"/>
      <w:bookmarkStart w:id="190" w:name="_Toc152045555"/>
      <w:bookmarkStart w:id="191" w:name="_Toc41983290"/>
      <w:bookmarkStart w:id="192" w:name="_Toc467665725"/>
      <w:bookmarkStart w:id="193" w:name="_Toc532893081"/>
      <w:bookmarkStart w:id="194" w:name="_Toc456970522"/>
      <w:bookmarkStart w:id="195" w:name="_Toc456970461"/>
      <w:bookmarkStart w:id="196" w:name="_Toc456970759"/>
      <w:bookmarkStart w:id="197" w:name="_Toc1048340"/>
      <w:r>
        <w:rPr>
          <w:rFonts w:cs="宋体" w:asciiTheme="minorEastAsia" w:hAnsiTheme="minorEastAsia" w:eastAsiaTheme="minorEastAsia"/>
          <w:sz w:val="24"/>
          <w:szCs w:val="24"/>
          <w:highlight w:val="none"/>
        </w:rPr>
        <w:t xml:space="preserve">4. </w:t>
      </w:r>
      <w:bookmarkEnd w:id="186"/>
      <w:bookmarkEnd w:id="187"/>
      <w:bookmarkEnd w:id="188"/>
      <w:bookmarkEnd w:id="189"/>
      <w:bookmarkEnd w:id="190"/>
      <w:r>
        <w:rPr>
          <w:rFonts w:cs="宋体" w:asciiTheme="minorEastAsia" w:hAnsiTheme="minorEastAsia" w:eastAsiaTheme="minorEastAsia"/>
          <w:sz w:val="24"/>
          <w:szCs w:val="24"/>
          <w:highlight w:val="none"/>
        </w:rPr>
        <w:t>报价</w:t>
      </w:r>
      <w:bookmarkEnd w:id="191"/>
      <w:bookmarkEnd w:id="192"/>
      <w:bookmarkEnd w:id="193"/>
      <w:bookmarkEnd w:id="194"/>
      <w:bookmarkEnd w:id="195"/>
      <w:bookmarkEnd w:id="196"/>
      <w:bookmarkEnd w:id="197"/>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198" w:name="_Toc144974524"/>
      <w:bookmarkStart w:id="199" w:name="_Toc312072253"/>
      <w:bookmarkStart w:id="200" w:name="_Toc152045556"/>
      <w:bookmarkStart w:id="201" w:name="_Toc152042332"/>
      <w:bookmarkStart w:id="202" w:name="_Toc269310942"/>
      <w:bookmarkStart w:id="203" w:name="_Toc532893082"/>
      <w:bookmarkStart w:id="204" w:name="_Toc41983291"/>
      <w:bookmarkStart w:id="205" w:name="_Toc1048341"/>
      <w:r>
        <w:rPr>
          <w:rFonts w:asciiTheme="minorEastAsia" w:hAnsiTheme="minorEastAsia" w:eastAsiaTheme="minorEastAsia"/>
          <w:b/>
          <w:sz w:val="24"/>
          <w:szCs w:val="24"/>
          <w:highlight w:val="none"/>
        </w:rPr>
        <w:t>4.1 报价文件的密封和</w:t>
      </w:r>
      <w:bookmarkEnd w:id="198"/>
      <w:bookmarkEnd w:id="199"/>
      <w:bookmarkEnd w:id="200"/>
      <w:bookmarkEnd w:id="201"/>
      <w:bookmarkEnd w:id="202"/>
      <w:r>
        <w:rPr>
          <w:rFonts w:asciiTheme="minorEastAsia" w:hAnsiTheme="minorEastAsia" w:eastAsiaTheme="minorEastAsia"/>
          <w:b/>
          <w:sz w:val="24"/>
          <w:szCs w:val="24"/>
          <w:highlight w:val="none"/>
        </w:rPr>
        <w:t>标记</w:t>
      </w:r>
      <w:bookmarkEnd w:id="203"/>
      <w:bookmarkEnd w:id="204"/>
      <w:bookmarkEnd w:id="205"/>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4.1.1报价文件的密封和标记详见供应商须知前附表规定。</w:t>
      </w:r>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206" w:name="_Toc312072254"/>
      <w:bookmarkStart w:id="207" w:name="_Toc152042333"/>
      <w:bookmarkStart w:id="208" w:name="_Toc152045557"/>
      <w:bookmarkStart w:id="209" w:name="_Toc144974525"/>
      <w:bookmarkStart w:id="210" w:name="_Toc41983292"/>
      <w:bookmarkStart w:id="211" w:name="_Toc1048342"/>
      <w:bookmarkStart w:id="212" w:name="_Toc532893083"/>
      <w:bookmarkStart w:id="213" w:name="_Toc269310943"/>
      <w:r>
        <w:rPr>
          <w:rFonts w:asciiTheme="minorEastAsia" w:hAnsiTheme="minorEastAsia" w:eastAsiaTheme="minorEastAsia"/>
          <w:b/>
          <w:sz w:val="24"/>
          <w:szCs w:val="24"/>
          <w:highlight w:val="none"/>
        </w:rPr>
        <w:t>4.2 报价文件的递交</w:t>
      </w:r>
      <w:bookmarkEnd w:id="206"/>
      <w:bookmarkEnd w:id="207"/>
      <w:bookmarkEnd w:id="208"/>
      <w:bookmarkEnd w:id="209"/>
      <w:bookmarkEnd w:id="210"/>
      <w:bookmarkEnd w:id="211"/>
      <w:bookmarkEnd w:id="212"/>
      <w:bookmarkEnd w:id="213"/>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4.2.1供应商应在规定的报价截止时间前递交纸质报价文件。</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4.2.2 供应商递交纸质报价文件的地点：见供应商须知前附表。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4.2.3 除供应商须知前附表另有规定外，供应商所递交的纸质和电子版报价文件不予退还。</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4.2.4 采购人收到纸质报价文件后，向供应商出具签收凭证。</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4.2.5 逾期送达的或者未送达指定地点的纸质报价文件，采购人不予受理。</w:t>
      </w:r>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214" w:name="_Toc1048343"/>
      <w:bookmarkStart w:id="215" w:name="_Toc532893084"/>
      <w:bookmarkStart w:id="216" w:name="_Toc41983293"/>
      <w:r>
        <w:rPr>
          <w:rFonts w:asciiTheme="minorEastAsia" w:hAnsiTheme="minorEastAsia" w:eastAsiaTheme="minorEastAsia"/>
          <w:b/>
          <w:sz w:val="24"/>
          <w:szCs w:val="24"/>
          <w:highlight w:val="none"/>
        </w:rPr>
        <w:t>4.3 报价文件的修改与撤回</w:t>
      </w:r>
      <w:bookmarkEnd w:id="214"/>
      <w:bookmarkEnd w:id="215"/>
      <w:bookmarkEnd w:id="216"/>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4.3.1 在供应商须知前附表中规定的报价截止时间前，供应商可以修改或撤回已递交的报价文件，但应以书面形式通知采购人。</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4.3.2 供应商修改或撤回已递交报价文件的书面通知应按照供应商须知前附表的要求签字或盖章。采购人收到书面通知后，向供应商出具签收凭证。</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4.3.3 修改的内容为报价文件的组成部分。修改的报价文件应按照供应商须知前附表规定进行编制、密封、标记和递交，并标明“修改”字样。</w:t>
      </w:r>
    </w:p>
    <w:p>
      <w:pPr>
        <w:pStyle w:val="98"/>
        <w:keepNext w:val="0"/>
        <w:widowControl/>
        <w:spacing w:before="120" w:after="240" w:line="360" w:lineRule="auto"/>
        <w:outlineLvl w:val="2"/>
        <w:rPr>
          <w:rFonts w:hint="default" w:cs="宋体" w:asciiTheme="minorEastAsia" w:hAnsiTheme="minorEastAsia" w:eastAsiaTheme="minorEastAsia"/>
          <w:sz w:val="24"/>
          <w:szCs w:val="24"/>
          <w:highlight w:val="none"/>
        </w:rPr>
      </w:pPr>
      <w:bookmarkStart w:id="217" w:name="_Toc1048344"/>
      <w:bookmarkStart w:id="218" w:name="_Toc312072256"/>
      <w:bookmarkStart w:id="219" w:name="_Toc41983294"/>
      <w:bookmarkStart w:id="220" w:name="_Toc269310946"/>
      <w:bookmarkStart w:id="221" w:name="_Toc456970760"/>
      <w:bookmarkStart w:id="222" w:name="_Toc152045559"/>
      <w:bookmarkStart w:id="223" w:name="_Toc467665726"/>
      <w:bookmarkStart w:id="224" w:name="_Toc144974527"/>
      <w:bookmarkStart w:id="225" w:name="_Toc152042335"/>
      <w:bookmarkStart w:id="226" w:name="_Toc532893085"/>
      <w:bookmarkStart w:id="227" w:name="_Toc456970462"/>
      <w:bookmarkStart w:id="228" w:name="_Toc456970523"/>
      <w:r>
        <w:rPr>
          <w:rFonts w:cs="宋体" w:asciiTheme="minorEastAsia" w:hAnsiTheme="minorEastAsia" w:eastAsiaTheme="minorEastAsia"/>
          <w:sz w:val="24"/>
          <w:szCs w:val="24"/>
          <w:highlight w:val="none"/>
        </w:rPr>
        <w:t>5. 开标</w:t>
      </w:r>
      <w:bookmarkEnd w:id="217"/>
      <w:bookmarkEnd w:id="218"/>
      <w:bookmarkEnd w:id="219"/>
      <w:bookmarkEnd w:id="220"/>
      <w:bookmarkEnd w:id="221"/>
      <w:bookmarkEnd w:id="222"/>
      <w:bookmarkEnd w:id="223"/>
      <w:bookmarkEnd w:id="224"/>
      <w:bookmarkEnd w:id="225"/>
      <w:bookmarkEnd w:id="226"/>
      <w:bookmarkEnd w:id="227"/>
      <w:bookmarkEnd w:id="228"/>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229" w:name="_Toc269310947"/>
      <w:bookmarkStart w:id="230" w:name="_Toc152045560"/>
      <w:bookmarkStart w:id="231" w:name="_Toc532893086"/>
      <w:bookmarkStart w:id="232" w:name="_Toc152042336"/>
      <w:bookmarkStart w:id="233" w:name="_Toc312072257"/>
      <w:bookmarkStart w:id="234" w:name="_Toc144974528"/>
      <w:bookmarkStart w:id="235" w:name="_Toc41983295"/>
      <w:bookmarkStart w:id="236" w:name="_Toc1048345"/>
      <w:r>
        <w:rPr>
          <w:rFonts w:asciiTheme="minorEastAsia" w:hAnsiTheme="minorEastAsia" w:eastAsiaTheme="minorEastAsia"/>
          <w:b/>
          <w:sz w:val="24"/>
          <w:szCs w:val="24"/>
          <w:highlight w:val="none"/>
        </w:rPr>
        <w:t>5.1 开标时间和地点</w:t>
      </w:r>
      <w:bookmarkEnd w:id="229"/>
      <w:bookmarkEnd w:id="230"/>
      <w:bookmarkEnd w:id="231"/>
      <w:bookmarkEnd w:id="232"/>
      <w:bookmarkEnd w:id="233"/>
      <w:bookmarkEnd w:id="234"/>
      <w:bookmarkEnd w:id="235"/>
      <w:bookmarkEnd w:id="236"/>
    </w:p>
    <w:p>
      <w:pPr>
        <w:pStyle w:val="42"/>
        <w:widowControl/>
        <w:spacing w:after="0"/>
        <w:ind w:left="0" w:leftChars="0" w:firstLine="480" w:firstLineChars="200"/>
        <w:rPr>
          <w:rFonts w:cs="宋体" w:asciiTheme="minorEastAsia" w:hAnsiTheme="minorEastAsia" w:eastAsiaTheme="minorEastAsia"/>
          <w:sz w:val="24"/>
          <w:highlight w:val="none"/>
        </w:rPr>
      </w:pPr>
      <w:bookmarkStart w:id="237" w:name="_Toc269310948"/>
      <w:bookmarkStart w:id="238" w:name="_Toc144974529"/>
      <w:bookmarkStart w:id="239" w:name="_Toc152045561"/>
      <w:bookmarkStart w:id="240" w:name="_Toc152042337"/>
      <w:r>
        <w:rPr>
          <w:rFonts w:hint="eastAsia" w:cs="宋体" w:asciiTheme="minorEastAsia" w:hAnsiTheme="minorEastAsia" w:eastAsiaTheme="minorEastAsia"/>
          <w:sz w:val="24"/>
          <w:highlight w:val="none"/>
        </w:rPr>
        <w:t>采购人在供应商须知前附表规定的报价截止时间（开标时间）和地点开标。所有供应商的法定代表人（或其委托代理人）准时参加，供应商的法定代表人（或其委托代理人）未按时参加开标会的，其报价文件将被拒绝。</w:t>
      </w:r>
    </w:p>
    <w:p>
      <w:pPr>
        <w:pStyle w:val="5"/>
        <w:keepNext w:val="0"/>
        <w:widowControl/>
        <w:numPr>
          <w:ilvl w:val="0"/>
          <w:numId w:val="0"/>
        </w:numPr>
        <w:spacing w:before="120" w:after="120"/>
        <w:ind w:left="480"/>
        <w:rPr>
          <w:rFonts w:hint="default" w:asciiTheme="minorEastAsia" w:hAnsiTheme="minorEastAsia" w:eastAsiaTheme="minorEastAsia"/>
          <w:b/>
          <w:sz w:val="24"/>
          <w:szCs w:val="24"/>
          <w:highlight w:val="none"/>
        </w:rPr>
      </w:pPr>
      <w:bookmarkStart w:id="241" w:name="_Toc41983296"/>
      <w:bookmarkStart w:id="242" w:name="_Toc312072258"/>
      <w:bookmarkStart w:id="243" w:name="_Toc532893087"/>
      <w:bookmarkStart w:id="244" w:name="_Toc1048346"/>
      <w:r>
        <w:rPr>
          <w:rFonts w:asciiTheme="minorEastAsia" w:hAnsiTheme="minorEastAsia" w:eastAsiaTheme="minorEastAsia"/>
          <w:b/>
          <w:sz w:val="24"/>
          <w:szCs w:val="24"/>
          <w:highlight w:val="none"/>
        </w:rPr>
        <w:t>5.2 开标程序</w:t>
      </w:r>
      <w:bookmarkEnd w:id="237"/>
      <w:bookmarkEnd w:id="238"/>
      <w:bookmarkEnd w:id="239"/>
      <w:bookmarkEnd w:id="240"/>
      <w:bookmarkEnd w:id="241"/>
      <w:bookmarkEnd w:id="242"/>
      <w:bookmarkEnd w:id="243"/>
      <w:bookmarkEnd w:id="244"/>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开标由采购人主持，由有关监督部门进行监督。开标时供应商需要携带的证件的提交详见供应商须知前附表。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主持人按下列程序进行开标：</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（1）采购人确认供应商相关人员是否到场。</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（2）宣布开标纪律。</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（3）供应商代表相互检查纸质报价文件密封情况，并签字确认。</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（4）根据</w:t>
      </w:r>
      <w:r>
        <w:rPr>
          <w:rFonts w:cs="宋体" w:asciiTheme="minorEastAsia" w:hAnsiTheme="minorEastAsia"/>
          <w:sz w:val="24"/>
          <w:highlight w:val="none"/>
        </w:rPr>
        <w:t>供应商递交报价文件的</w:t>
      </w:r>
      <w:r>
        <w:rPr>
          <w:rFonts w:hint="eastAsia" w:cs="宋体" w:asciiTheme="minorEastAsia" w:hAnsiTheme="minorEastAsia"/>
          <w:sz w:val="24"/>
          <w:highlight w:val="none"/>
        </w:rPr>
        <w:t>逆顺序</w:t>
      </w:r>
      <w:r>
        <w:rPr>
          <w:rFonts w:cs="宋体" w:asciiTheme="minorEastAsia" w:hAnsiTheme="minorEastAsia"/>
          <w:sz w:val="24"/>
          <w:highlight w:val="none"/>
        </w:rPr>
        <w:t>公开</w:t>
      </w:r>
      <w:r>
        <w:rPr>
          <w:rFonts w:hint="eastAsia" w:cs="宋体" w:asciiTheme="minorEastAsia" w:hAnsiTheme="minorEastAsia"/>
          <w:sz w:val="24"/>
          <w:highlight w:val="none"/>
        </w:rPr>
        <w:t>唱标</w:t>
      </w:r>
      <w:r>
        <w:rPr>
          <w:rFonts w:cs="宋体" w:asciiTheme="minorEastAsia" w:hAnsiTheme="minorEastAsia"/>
          <w:sz w:val="24"/>
          <w:highlight w:val="none"/>
        </w:rPr>
        <w:t>。</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（5）签字确认开标记录。由采购人、供应商、监标人、记录人等相关人员在开标记录上签字确认。</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（6）开标结束。</w:t>
      </w:r>
    </w:p>
    <w:p>
      <w:pPr>
        <w:pStyle w:val="98"/>
        <w:keepNext w:val="0"/>
        <w:widowControl/>
        <w:spacing w:before="120" w:after="240" w:line="360" w:lineRule="auto"/>
        <w:outlineLvl w:val="2"/>
        <w:rPr>
          <w:rFonts w:hint="default" w:cs="宋体" w:asciiTheme="minorEastAsia" w:hAnsiTheme="minorEastAsia" w:eastAsiaTheme="minorEastAsia"/>
          <w:sz w:val="24"/>
          <w:szCs w:val="24"/>
          <w:highlight w:val="none"/>
        </w:rPr>
      </w:pPr>
      <w:bookmarkStart w:id="245" w:name="_Toc269310949"/>
      <w:bookmarkStart w:id="246" w:name="_Toc152042338"/>
      <w:bookmarkStart w:id="247" w:name="_Toc41983297"/>
      <w:bookmarkStart w:id="248" w:name="_Toc1048347"/>
      <w:bookmarkStart w:id="249" w:name="_Toc456970463"/>
      <w:bookmarkStart w:id="250" w:name="_Toc532893088"/>
      <w:bookmarkStart w:id="251" w:name="_Toc312072259"/>
      <w:bookmarkStart w:id="252" w:name="_Toc456970524"/>
      <w:bookmarkStart w:id="253" w:name="_Toc144974530"/>
      <w:bookmarkStart w:id="254" w:name="_Toc456970761"/>
      <w:bookmarkStart w:id="255" w:name="_Toc152045562"/>
      <w:bookmarkStart w:id="256" w:name="_Toc467665727"/>
      <w:r>
        <w:rPr>
          <w:rFonts w:cs="宋体" w:asciiTheme="minorEastAsia" w:hAnsiTheme="minorEastAsia" w:eastAsiaTheme="minorEastAsia"/>
          <w:sz w:val="24"/>
          <w:szCs w:val="24"/>
          <w:highlight w:val="none"/>
        </w:rPr>
        <w:t>6. 谈判</w:t>
      </w:r>
      <w:bookmarkEnd w:id="245"/>
      <w:bookmarkEnd w:id="246"/>
      <w:bookmarkEnd w:id="247"/>
      <w:bookmarkEnd w:id="248"/>
      <w:bookmarkEnd w:id="249"/>
      <w:bookmarkEnd w:id="250"/>
      <w:bookmarkEnd w:id="251"/>
      <w:bookmarkEnd w:id="252"/>
      <w:bookmarkEnd w:id="253"/>
      <w:bookmarkEnd w:id="254"/>
      <w:bookmarkEnd w:id="255"/>
      <w:bookmarkEnd w:id="256"/>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谈判按下列程序进行：</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（1）组建谈判小组；</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（2）谈判准备工作。谈判小组成员熟悉采购文件等相关文件资料；</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（3）评审原则和评审方法；</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（4）向采购人提交书面谈判报告；</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（5）谈判小组解散。</w:t>
      </w:r>
    </w:p>
    <w:p>
      <w:pPr>
        <w:pStyle w:val="5"/>
        <w:keepNext w:val="0"/>
        <w:widowControl/>
        <w:numPr>
          <w:ilvl w:val="0"/>
          <w:numId w:val="0"/>
        </w:numPr>
        <w:spacing w:before="120" w:after="240"/>
        <w:ind w:left="840"/>
        <w:rPr>
          <w:rFonts w:hint="default" w:asciiTheme="minorEastAsia" w:hAnsiTheme="minorEastAsia" w:eastAsiaTheme="minorEastAsia"/>
          <w:b/>
          <w:sz w:val="24"/>
          <w:szCs w:val="24"/>
          <w:highlight w:val="none"/>
        </w:rPr>
      </w:pPr>
      <w:bookmarkStart w:id="257" w:name="_Toc152042339"/>
      <w:bookmarkStart w:id="258" w:name="_Toc41983298"/>
      <w:bookmarkStart w:id="259" w:name="_Toc144974531"/>
      <w:bookmarkStart w:id="260" w:name="_Toc1048348"/>
      <w:bookmarkStart w:id="261" w:name="_Toc152045563"/>
      <w:bookmarkStart w:id="262" w:name="_Toc269310950"/>
      <w:bookmarkStart w:id="263" w:name="_Toc312072260"/>
      <w:bookmarkStart w:id="264" w:name="_Toc532893089"/>
      <w:r>
        <w:rPr>
          <w:rFonts w:asciiTheme="minorEastAsia" w:hAnsiTheme="minorEastAsia" w:eastAsiaTheme="minorEastAsia"/>
          <w:b/>
          <w:sz w:val="24"/>
          <w:szCs w:val="24"/>
          <w:highlight w:val="none"/>
        </w:rPr>
        <w:t>6.1 组建谈判小组</w:t>
      </w:r>
      <w:bookmarkEnd w:id="257"/>
      <w:bookmarkEnd w:id="258"/>
      <w:bookmarkEnd w:id="259"/>
      <w:bookmarkEnd w:id="260"/>
      <w:bookmarkEnd w:id="261"/>
      <w:bookmarkEnd w:id="262"/>
      <w:bookmarkEnd w:id="263"/>
      <w:bookmarkEnd w:id="264"/>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6.1.1采购代理机构按照政府采购法律、法规的规定组建谈判小组。</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6.1.2谈判小组成员有下列情形之一的，应当回避：</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（1）采购人或供应商的主要负责人的近亲属；</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（2）项目主管部门或者行政监督部门的人员；</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（3）与供应商有经济利益关系，可能影响对投标公正评审的；</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（4）曾因在采购、谈判以及其他与招标采购有关活动中从事违法行为而受过行政处罚或刑事处罚的。</w:t>
      </w:r>
    </w:p>
    <w:p>
      <w:pPr>
        <w:pStyle w:val="5"/>
        <w:keepNext w:val="0"/>
        <w:widowControl/>
        <w:numPr>
          <w:ilvl w:val="0"/>
          <w:numId w:val="0"/>
        </w:numPr>
        <w:spacing w:before="120" w:after="240"/>
        <w:ind w:left="480"/>
        <w:rPr>
          <w:rFonts w:hint="default" w:asciiTheme="minorEastAsia" w:hAnsiTheme="minorEastAsia" w:eastAsiaTheme="minorEastAsia"/>
          <w:b/>
          <w:sz w:val="24"/>
          <w:szCs w:val="24"/>
          <w:highlight w:val="none"/>
        </w:rPr>
      </w:pPr>
      <w:bookmarkStart w:id="265" w:name="_Toc532893090"/>
      <w:bookmarkStart w:id="266" w:name="_Toc41983299"/>
      <w:bookmarkStart w:id="267" w:name="_Toc1048349"/>
      <w:r>
        <w:rPr>
          <w:rFonts w:asciiTheme="minorEastAsia" w:hAnsiTheme="minorEastAsia" w:eastAsiaTheme="minorEastAsia"/>
          <w:b/>
          <w:sz w:val="24"/>
          <w:szCs w:val="24"/>
          <w:highlight w:val="none"/>
        </w:rPr>
        <w:t>6.2 谈判准备</w:t>
      </w:r>
      <w:bookmarkEnd w:id="265"/>
      <w:bookmarkEnd w:id="266"/>
      <w:bookmarkEnd w:id="267"/>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6.2.1谈判小组成员签到</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谈判小组成员到达谈判现场时应在签到表上签到以证明其出席。</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6.2.2谈判小组的分工</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谈判小组应推选一名谈判小组主任，负责主持谈判会议。</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6.2.3熟悉文件资料</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（1）谈判小组成员认真研究采购文件，了解和熟悉采购目的、采购范围、主要合同条件、技术标准和要求、服务期限</w:t>
      </w:r>
      <w:r>
        <w:rPr>
          <w:rFonts w:cs="宋体" w:asciiTheme="minorEastAsia" w:hAnsiTheme="minorEastAsia"/>
          <w:sz w:val="24"/>
          <w:highlight w:val="none"/>
        </w:rPr>
        <w:t>、</w:t>
      </w:r>
      <w:r>
        <w:rPr>
          <w:rFonts w:hint="eastAsia" w:cs="宋体" w:asciiTheme="minorEastAsia" w:hAnsiTheme="minorEastAsia"/>
          <w:sz w:val="24"/>
          <w:highlight w:val="none"/>
        </w:rPr>
        <w:t>质量标准和安全标准、等，掌握谈判标准和方法，熟悉本章及附件中包括的谈判表格的使用。未在采购文件中规定的标准和方法不得作为谈判的依据。</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（2）采购人或采购代理机构应向谈判小组提供谈判所需的信息和数据，包括采购文件、报价文件、开标会记录、采购控制价以及谈判小组认为必要的其他信息和数据。</w:t>
      </w:r>
    </w:p>
    <w:p>
      <w:pPr>
        <w:pStyle w:val="5"/>
        <w:keepNext w:val="0"/>
        <w:widowControl/>
        <w:numPr>
          <w:ilvl w:val="0"/>
          <w:numId w:val="0"/>
        </w:numPr>
        <w:spacing w:before="120" w:after="240"/>
        <w:ind w:left="480"/>
        <w:rPr>
          <w:rFonts w:hint="default" w:asciiTheme="minorEastAsia" w:hAnsiTheme="minorEastAsia" w:eastAsiaTheme="minorEastAsia"/>
          <w:b/>
          <w:sz w:val="24"/>
          <w:szCs w:val="24"/>
          <w:highlight w:val="none"/>
        </w:rPr>
      </w:pPr>
      <w:bookmarkStart w:id="268" w:name="_Toc269310951"/>
      <w:bookmarkStart w:id="269" w:name="_Toc312072262"/>
      <w:bookmarkStart w:id="270" w:name="_Toc532893091"/>
      <w:bookmarkStart w:id="271" w:name="_Toc1048350"/>
      <w:bookmarkStart w:id="272" w:name="_Toc41983300"/>
      <w:r>
        <w:rPr>
          <w:rFonts w:asciiTheme="minorEastAsia" w:hAnsiTheme="minorEastAsia" w:eastAsiaTheme="minorEastAsia"/>
          <w:b/>
          <w:sz w:val="24"/>
          <w:szCs w:val="24"/>
          <w:highlight w:val="none"/>
        </w:rPr>
        <w:t xml:space="preserve">6.3 </w:t>
      </w:r>
      <w:bookmarkEnd w:id="268"/>
      <w:r>
        <w:rPr>
          <w:rFonts w:asciiTheme="minorEastAsia" w:hAnsiTheme="minorEastAsia" w:eastAsiaTheme="minorEastAsia"/>
          <w:b/>
          <w:sz w:val="24"/>
          <w:szCs w:val="24"/>
          <w:highlight w:val="none"/>
        </w:rPr>
        <w:t>评审</w:t>
      </w:r>
      <w:bookmarkEnd w:id="269"/>
      <w:r>
        <w:rPr>
          <w:rFonts w:asciiTheme="minorEastAsia" w:hAnsiTheme="minorEastAsia" w:eastAsiaTheme="minorEastAsia"/>
          <w:b/>
          <w:sz w:val="24"/>
          <w:szCs w:val="24"/>
          <w:highlight w:val="none"/>
        </w:rPr>
        <w:t>原则和评审方法</w:t>
      </w:r>
      <w:bookmarkEnd w:id="270"/>
      <w:bookmarkEnd w:id="271"/>
      <w:bookmarkEnd w:id="272"/>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6.3.1评审原则</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“公平、公正、诚实、信用”为本次竞争性谈判的基本原则，谈判小组按照这一原则的要求，公正、平等地对待各供应商。同时，在谈判过程中恪守以下原则：</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1、客观性原则：谈判小组将严格按照采购文件要求的内容，对供应商的报价文件进行认真评审；谈判小组对报价文件的评审仅依据报价文件本身，而不依靠报价文件以外的任何因素。</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2、统一性原则：谈判小组将按照统一的原则和方法，对各供应商的报价文件进行评审。</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3、独立性原则：评审工作在谈判小组内部独立进行，不受外界任何因素的干扰和影响，谈判小组成员对出具的专家意见承担个人责任。</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4、保密性原则：谈判小组成员及有关工作人员将保守供应商的商业秘密。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5、综合性原则：谈判小组将综合分析评审供应商的各项指标，而不以单项指标的优劣评定成交供应商；谈判小组成员出具的意见由个人负责，谈判结果由谈判小组共同负责。 </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6、集体决定的原则：成交候选供应商由谈判小组集体讨论决定。</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6.3.2评审方法</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由谈判小组所有成员集体与供应商分别进行谈判，根据质量和服务均能满足采购文件实质性要求且报价最低的原则确定成交供应商。</w:t>
      </w:r>
    </w:p>
    <w:p>
      <w:pPr>
        <w:numPr>
          <w:ilvl w:val="0"/>
          <w:numId w:val="4"/>
        </w:numPr>
        <w:spacing w:line="360" w:lineRule="auto"/>
        <w:rPr>
          <w:rFonts w:asciiTheme="minorEastAsia" w:hAnsiTheme="minorEastAsia" w:cstheme="minorEastAsia"/>
          <w:sz w:val="24"/>
          <w:highlight w:val="none"/>
        </w:rPr>
      </w:pPr>
      <w:r>
        <w:rPr>
          <w:rFonts w:hint="eastAsia" w:asciiTheme="minorEastAsia" w:hAnsiTheme="minorEastAsia" w:cstheme="minorEastAsia"/>
          <w:sz w:val="24"/>
          <w:highlight w:val="none"/>
        </w:rPr>
        <w:t>确定合格的供应商：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符合竞争性谈判</w:t>
      </w:r>
      <w:r>
        <w:rPr>
          <w:rFonts w:hint="eastAsia" w:asciiTheme="minorEastAsia" w:hAnsiTheme="minorEastAsia" w:cstheme="minorEastAsia"/>
          <w:sz w:val="24"/>
          <w:highlight w:val="none"/>
          <w:lang w:val="en-US" w:eastAsia="zh-CN"/>
        </w:rPr>
        <w:t>公告</w:t>
      </w:r>
      <w:r>
        <w:rPr>
          <w:rFonts w:hint="eastAsia" w:asciiTheme="minorEastAsia" w:hAnsiTheme="minorEastAsia" w:cstheme="minorEastAsia"/>
          <w:sz w:val="24"/>
          <w:highlight w:val="none"/>
        </w:rPr>
        <w:t>要求条件的供应商即为合格的供应商。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2、初步评审：</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 谈判小组将确定每一供应商是否对竞争性谈判采购文件的要求做出了实质性的响应，而没有负偏离。实质性响应的报价是指报价符合竞争性谈判采购文件的所有条款、条件和规定且没有负偏离或保留。</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 如出现下列情形之一的，视为对竞争性谈判采购文件没有做出实质性响应，按照无效报价处理。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a) 报价文件不完整；</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b) 未按规定报价；</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c) 报价有计算错误；</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d) 报价文件未按竞争性谈判采购文件要求签字或盖章；</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e) 报价文件载明的服务期限超过竞争性谈判文件规定的时间；</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f) 报价文件载明的质量、技术标准和要求、组织设计等不符合竞争性谈判采购文件的要求；</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g) 供应商未按要求不参加公开报价仪式及询标事宜；</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h)报价文件出现采购人名称、项目名称等与采购文件相关内容严重不一致的；</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i)不符合竞争性谈判采购文件中规定的其他实质性要求。</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 谈判小组允许供应商修改报价文件中不构成偏离的、微小的、非正规、不一致或不规则的地方。但是修改的内容不能改变报价文件的实质性内容，供应商修改的内容以书面文件为准。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 谈判小组将拒绝被确定为非实质性响应的报价文件，供应商不能通过修正或撤销报价文件中的不符之处而使其报价成为实质性响应的报价。</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 xml:space="preserve">（5） 谈判小组对各供应商的报价进行评审，对超出项目预算的报价或低于成本价的报价予以淘汰。谈判小组发现供应商的报价明显低于其他供应商报价的，使得其报价可能低于其个别成本的，应当要求该供应商做出书面说明并提供相关证明材料。供应商不能合理说明或者不能提供相关证明材料，由谈判小组认定该供应商以低于成本报价竞标，其报价应作为废标处理。 </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谈判小组判断供应商是否低于成本，所参考的评审依据包括：（1）采购文件；（2）采购预算价；（3）供应商已标价的分项价格表；（4）项目所在地市场价格水平；（5）供应商所附其他证明资料；（6）其他有效参考依据。</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 谈判小组通过上述评审，确定合格供应商名单，只有成为合格供应商，才能进入综合评审阶段。</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3、最终报价：</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 采购人根据谈判小组的要求及现场报价单位报价情况，确定最终报价截止时间，所有报价单位授权代表应在最终报价截止时间通知书上签字确认，既不说明原因又拒不签字的报价单位视为不参与最终报价。</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（2）采购人将拒绝接收最终报价截止时间后送达的最终报价文件，在最终报价截止时间之后，报价单位不得补充、修改最终报价文件。</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（3）工作人员当众拆启最终报价文件，唱价员宣读报价单位名称、报价等内容</w:t>
      </w:r>
    </w:p>
    <w:p>
      <w:pPr>
        <w:pStyle w:val="21"/>
        <w:spacing w:after="0" w:line="360" w:lineRule="auto"/>
        <w:ind w:firstLine="480" w:firstLineChars="200"/>
        <w:textAlignment w:val="baseline"/>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&lt;1&gt;本项目不接受低于成本报价；</w:t>
      </w:r>
    </w:p>
    <w:p>
      <w:pPr>
        <w:pStyle w:val="21"/>
        <w:spacing w:after="0" w:line="360" w:lineRule="auto"/>
        <w:ind w:firstLine="480" w:firstLineChars="200"/>
        <w:textAlignment w:val="baseline"/>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&lt;2&gt;本项目不接受不平衡报价；</w:t>
      </w:r>
    </w:p>
    <w:p>
      <w:pPr>
        <w:pStyle w:val="21"/>
        <w:spacing w:after="0" w:line="360" w:lineRule="auto"/>
        <w:ind w:firstLine="480" w:firstLineChars="200"/>
        <w:textAlignment w:val="baseline"/>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Cs/>
          <w:sz w:val="24"/>
          <w:highlight w:val="none"/>
        </w:rPr>
        <w:t>&lt;3&gt;在任何谈判环节中，需谈判小组就某项定性的评审结论做出表决的，由谈判小组全体成员按照少数服从多数的原则，以记名投票方式表决。</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4、详细评审：</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（1）由谈判小组所有成员集体与供应商分别进行谈判，根据工期</w:t>
      </w:r>
      <w:r>
        <w:rPr>
          <w:rFonts w:asciiTheme="minorEastAsia" w:hAnsiTheme="minorEastAsia" w:cstheme="minorEastAsia"/>
          <w:sz w:val="24"/>
          <w:highlight w:val="none"/>
        </w:rPr>
        <w:t>、</w:t>
      </w:r>
      <w:r>
        <w:rPr>
          <w:rFonts w:hint="eastAsia" w:asciiTheme="minorEastAsia" w:hAnsiTheme="minorEastAsia" w:cstheme="minorEastAsia"/>
          <w:sz w:val="24"/>
          <w:highlight w:val="none"/>
        </w:rPr>
        <w:t>质量均能满足采购文件实质性要求且经评审的有效最终报价最低的原则确定成交供应商。</w:t>
      </w:r>
    </w:p>
    <w:p>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为有助于对报价文件进行审查、评估和比较，谈判小组所有成员应根据情况集体与供应商分别进行谈判。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360" w:lineRule="auto"/>
        <w:ind w:firstLine="480" w:firstLineChars="200"/>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（3）各报价单位的最后报价按以下标准进行价格扣除后进行评审。</w:t>
      </w:r>
    </w:p>
    <w:p>
      <w:pPr>
        <w:wordWrap w:val="0"/>
        <w:spacing w:line="360" w:lineRule="auto"/>
        <w:ind w:firstLine="480" w:firstLineChars="200"/>
        <w:rPr>
          <w:b/>
          <w:bCs/>
          <w:sz w:val="24"/>
          <w:szCs w:val="24"/>
          <w:highlight w:val="none"/>
        </w:rPr>
      </w:pPr>
      <w:r>
        <w:rPr>
          <w:rFonts w:hint="eastAsia" w:asciiTheme="minorEastAsia" w:hAnsiTheme="minorEastAsia" w:eastAsiaTheme="minorEastAsia" w:cstheme="minorEastAsia"/>
          <w:kern w:val="2"/>
          <w:sz w:val="24"/>
          <w:szCs w:val="24"/>
          <w:highlight w:val="none"/>
          <w:lang w:val="en-US" w:eastAsia="zh-CN" w:bidi="ar-SA"/>
        </w:rPr>
        <w:t>（一）小微企业价格折减</w:t>
      </w:r>
      <w:r>
        <w:rPr>
          <w:rFonts w:hint="eastAsia"/>
          <w:b/>
          <w:bCs/>
          <w:sz w:val="24"/>
          <w:szCs w:val="24"/>
          <w:highlight w:val="none"/>
        </w:rPr>
        <w:t>（本项目只针对中小企业不进行价格折扣）</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1、根据财政部、工业和信息化部发布《关于印发&lt;政府采购促进中小企业发展管理办法&gt;的通知》 (财库〔2020〕46 号)的规定。 </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2、若参与本项目的供应商提供的货物、工程或者服务符合下列情形的，享受本办法规定的中小 企业扶持政策： </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（一）在货物采购项目中，货物由中小企业制造，即货物由中小企业生产且使用该中小企业商号 或者注册商标； </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（二）在工程采购项目中，工程由中小企业承建，即工程施工单位为中小企业； </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（三）在服务采购项目中，服务由中小企业承接，即提供服务的人员为中小企业依照《中华人民 共和国劳动合同法》订立劳动合同的从业人员。 </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对符合本办法规定的小微企业报价给予 10%（工程项目为 5%）的扣除，用扣除后的价格参加评审。</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 凡参加此次投标的小型和微型企业提供《中小企业声明函》并制作在电子投标文件中，否则不予 认可。</w:t>
      </w:r>
    </w:p>
    <w:p>
      <w:pPr>
        <w:pStyle w:val="21"/>
        <w:spacing w:after="0" w:line="500" w:lineRule="exact"/>
        <w:ind w:firstLine="720" w:firstLineChars="3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3、中小企业划分标准详见工业和信息化部、国家统计局、国家发展和改革委员会、财政部出台 的工信部联企业[2011]300 号文件。</w:t>
      </w:r>
    </w:p>
    <w:p>
      <w:pPr>
        <w:pStyle w:val="21"/>
        <w:spacing w:after="0" w:line="500" w:lineRule="exact"/>
        <w:ind w:firstLine="240" w:firstLineChars="1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（二）给予监狱企业和戒毒企业价格扣除</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1、根据《关于政府采购支持监狱企业发展有关质量问题的通知》（财库[2014]68号）文件规定：在政府采购活动中，监狱企业和戒毒企业视同小型、微型企业，评审中享受同小型、微型企业相同的价格扣除。</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   监狱企业和戒毒企业参加政府采购活动时，应当提供由省级及以上监狱管理局、戒毒管理局（含新疆生产建设兵团）出具的属于监狱企业的证明文件。</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2、政策优惠说明</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小微、监狱企业评审价格=总报价-小微企业、监狱企业价格折扣</w:t>
      </w:r>
    </w:p>
    <w:p>
      <w:pPr>
        <w:pStyle w:val="21"/>
        <w:spacing w:after="0" w:line="500" w:lineRule="exact"/>
        <w:ind w:firstLine="240" w:firstLineChars="1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（三）根据促进残疾人就业政府采购政策的通知财库〔2017〕141号的规定在政府采购活动中，残疾人视同小型、微型企业，评审中享受同小型、微型企业相同的价格扣除。</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需提供本通知规定的《残疾人福利性单位声明函》（见附件）</w:t>
      </w:r>
    </w:p>
    <w:p>
      <w:pPr>
        <w:pStyle w:val="21"/>
        <w:spacing w:after="0" w:line="500" w:lineRule="exact"/>
        <w:ind w:firstLine="240" w:firstLineChars="1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（四）节能、环保</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对于节能（非强制）、环保产品分别给予 10%的价格扣除或不超过5分的评审加分。</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供应商在报价时必须对属于节能、环境标志产品单独分项报价，并在报价文件中提供国家确定的认证机构出具的、处于有效期之内的节能产品、环境标志产品认证证书，产品品目清单否则不予认定。</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节能产品（非强制类）、环境标志产品最低评标价法评审优惠内容及幅度：根据所投产品同一合同包内的节能产品（非强制类）报价总金额占本合同包报价总金额的比例进行计算，给予 10%的评审价格折扣基准值，且最高不差过 10%。</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节能产品（非强制类）、环境标志产品综合评分法评审优惠内容及幅度：根据所投产品同一合同包内的节能产品（非强制类）报价总金额占本合同包报价总金额的比例进行计算，给予 5 分的评审基准值，且最高不超过 5 分。</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注：①同一合同包内的节能、环境标志产品部分扣除只对属于非强制类产品进行扣除，强制类产品不给予扣除；若同一合同包内的节能、环境标志产品仅是构成投报产品的部件、组件或零件的，则不给予扣除。获得上述认证的产品在评审时应提供有效证明材料 并制作在电子 报价文件 里，否则不予认定）。</w:t>
      </w:r>
    </w:p>
    <w:p>
      <w:pPr>
        <w:pStyle w:val="21"/>
        <w:spacing w:after="0" w:line="500" w:lineRule="exact"/>
        <w:ind w:firstLine="480" w:firstLineChars="2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（五）根据财库【2019 】9  号文的要求：</w:t>
      </w:r>
    </w:p>
    <w:p>
      <w:pPr>
        <w:spacing w:line="500" w:lineRule="exact"/>
        <w:ind w:firstLine="240" w:firstLineChars="1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1、财库【2018】70号文、【2018】73号文已废止。</w:t>
      </w:r>
    </w:p>
    <w:p>
      <w:pPr>
        <w:pStyle w:val="21"/>
        <w:spacing w:after="0" w:line="500" w:lineRule="exact"/>
        <w:ind w:firstLine="240" w:firstLineChars="1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（1）对政府采购节能产品、环境标志产品实施品目清单管理，根据品目清单和认证证书实施政府优先采购和强制采购。认定时以国家最新品目清单和认证证书为准，二者缺一不可，否则不予折减加分。</w:t>
      </w:r>
    </w:p>
    <w:p>
      <w:pPr>
        <w:spacing w:line="500" w:lineRule="exact"/>
        <w:ind w:firstLine="240" w:firstLineChars="1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（2）若同一合同包内的节能、环境标志产品仅是构成投标产品的部件、组件或零件的，则不给予加分。</w:t>
      </w:r>
    </w:p>
    <w:p>
      <w:pPr>
        <w:spacing w:line="500" w:lineRule="exact"/>
        <w:ind w:firstLine="240" w:firstLineChars="1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（3）其他未尽事宜以【2019】9号文及政府采购最新政策执行。</w:t>
      </w:r>
    </w:p>
    <w:p>
      <w:pPr>
        <w:spacing w:line="500" w:lineRule="exact"/>
        <w:ind w:firstLine="240" w:firstLineChars="1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2、小微企业、监狱企业、残疾人福利性单位不重复折扣。</w:t>
      </w:r>
    </w:p>
    <w:p>
      <w:pPr>
        <w:spacing w:line="500" w:lineRule="exact"/>
        <w:ind w:firstLine="240" w:firstLineChars="1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（六）根据《关于运用政府采购政策支持脱贫攻坚的通知》（财库【2019 】27  号），</w:t>
      </w:r>
    </w:p>
    <w:p>
      <w:pPr>
        <w:spacing w:line="500" w:lineRule="exac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同等条件下，优先采购贫困地区农副产品（指贫困地区农副产品是指832个国家级贫困县域内注册的企业、农民专业合作社、家庭农场等出产的农副产品）；在优先采购注册地在 832个国家级贫困县域内，且聘用建档立卡贫困人员物业公司提供的物业服务。符合上述情况的物业公司，需出具公司注册所在县扶贫部门出具的聘用建档立卡贫困人员具体数量的证明原件的扫描件。</w:t>
      </w:r>
    </w:p>
    <w:p>
      <w:pPr>
        <w:pStyle w:val="62"/>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政策优惠说明： </w:t>
      </w:r>
    </w:p>
    <w:p>
      <w:pPr>
        <w:pStyle w:val="21"/>
        <w:spacing w:after="0" w:line="500" w:lineRule="exact"/>
        <w:ind w:firstLine="240" w:firstLineChars="1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1.1小微、监狱企业评审价格=总报价-小微企业、监狱企业价格折扣。 </w:t>
      </w:r>
    </w:p>
    <w:p>
      <w:pPr>
        <w:pStyle w:val="21"/>
        <w:spacing w:after="0" w:line="500" w:lineRule="exact"/>
        <w:ind w:firstLine="240" w:firstLineChars="1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 xml:space="preserve">1.2若为联合体投标，联合体牵头人及联合体成员均为小微企业、监狱企业、残疾人福利性单位， 否则不予折减。 </w:t>
      </w:r>
    </w:p>
    <w:p>
      <w:pPr>
        <w:pStyle w:val="21"/>
        <w:spacing w:after="0" w:line="500" w:lineRule="exact"/>
        <w:ind w:firstLine="240" w:firstLineChars="10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1.3小微企业、监狱企业、残疾人福利性单位不重复折扣。</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5、特殊情况下的评审方法</w:t>
      </w:r>
    </w:p>
    <w:p>
      <w:pPr>
        <w:spacing w:line="360" w:lineRule="auto"/>
        <w:ind w:firstLine="480" w:firstLineChars="20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如出现供应商达不到法定数量、全部落标、串通报价、报价均超项目预算以及供应商互相诋毁，导致谈判小组无法评审时，谈判小组有权停止采购活动，否决所有报价，采购人依法重新组织采购。</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6、无效报价</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（1）有下列情形之一的，应当按照无效报价处理：</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1)在规定的递交响应文件截止时间之后递交的；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2)未按谈判文件规定要求密封、签署、盖章的；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3)不具备谈判文件中规定的资格要求的；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4) 报价（含第一次报价）超过采购预算的；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5)未全部响应谈判文件规定的实质性要求的；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6)法定代表人或授权代表不参加报价仪式；</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7)不符合法律、法规规定的其他情形。</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（2）有下列情形之一的，也按照无效报价处理：</w:t>
      </w:r>
      <w:bookmarkStart w:id="273" w:name="_Toc467665728"/>
      <w:bookmarkStart w:id="274" w:name="_Toc144974533"/>
      <w:bookmarkStart w:id="275" w:name="_Toc152045565"/>
      <w:bookmarkStart w:id="276" w:name="_Toc152042341"/>
      <w:bookmarkStart w:id="277" w:name="_Toc456970762"/>
      <w:bookmarkStart w:id="278" w:name="_Toc456970525"/>
      <w:bookmarkStart w:id="279" w:name="_Toc269310953"/>
      <w:bookmarkStart w:id="280" w:name="_Toc456970464"/>
      <w:bookmarkStart w:id="281" w:name="_Toc312072264"/>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1）供应商在递交最终响应文件截止时间后撤回报价的；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2）供应商在响应文件中提供虚假材料的；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3）除因不可抗力或谈判文件认可的情形以外，成交人不与采购人签订合同的；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4）供应商与采购人、其他供应商或者采购代理机构恶意串通的；</w:t>
      </w:r>
    </w:p>
    <w:p>
      <w:pPr>
        <w:spacing w:line="360" w:lineRule="auto"/>
        <w:ind w:firstLine="720" w:firstLineChars="300"/>
        <w:rPr>
          <w:rFonts w:asciiTheme="minorEastAsia" w:hAnsiTheme="minorEastAsia" w:cstheme="minorEastAsia"/>
          <w:sz w:val="24"/>
          <w:highlight w:val="none"/>
        </w:rPr>
      </w:pPr>
      <w:r>
        <w:rPr>
          <w:rFonts w:hint="eastAsia" w:asciiTheme="minorEastAsia" w:hAnsiTheme="minorEastAsia" w:cstheme="minorEastAsia"/>
          <w:sz w:val="24"/>
          <w:highlight w:val="none"/>
        </w:rPr>
        <w:t>5）谈判文件规定的其他情形。</w:t>
      </w:r>
    </w:p>
    <w:p>
      <w:pPr>
        <w:pStyle w:val="12"/>
        <w:widowControl/>
        <w:ind w:left="0" w:leftChars="0" w:firstLine="480" w:firstLineChars="200"/>
        <w:textAlignment w:val="baseline"/>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（3）供应商有下列情形之一，其报价将被视为无效报价：</w:t>
      </w:r>
    </w:p>
    <w:p>
      <w:pPr>
        <w:pStyle w:val="12"/>
        <w:widowControl/>
        <w:ind w:left="0" w:leftChars="0" w:firstLine="480" w:firstLineChars="200"/>
        <w:textAlignment w:val="baseline"/>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1)在采购活动中有恶意串通行为的；</w:t>
      </w:r>
    </w:p>
    <w:p>
      <w:pPr>
        <w:pStyle w:val="12"/>
        <w:widowControl/>
        <w:ind w:left="0" w:leftChars="0" w:firstLine="480" w:firstLineChars="200"/>
        <w:textAlignment w:val="baseline"/>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2)无正当理由不与采购人签订合同的；</w:t>
      </w:r>
    </w:p>
    <w:p>
      <w:pPr>
        <w:pStyle w:val="12"/>
        <w:widowControl/>
        <w:ind w:left="0" w:leftChars="0" w:firstLine="480" w:firstLineChars="200"/>
        <w:textAlignment w:val="baseline"/>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3)捏造事实进行虚假投诉的；</w:t>
      </w:r>
    </w:p>
    <w:p>
      <w:pPr>
        <w:pStyle w:val="12"/>
        <w:widowControl/>
        <w:ind w:left="0" w:leftChars="0" w:firstLine="480" w:firstLineChars="200"/>
        <w:textAlignment w:val="baseline"/>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4)拒绝配合监督部门处理投诉、举报事项的；</w:t>
      </w:r>
    </w:p>
    <w:p>
      <w:pPr>
        <w:pStyle w:val="12"/>
        <w:widowControl/>
        <w:ind w:left="0" w:leftChars="0" w:firstLine="480" w:firstLineChars="200"/>
        <w:textAlignment w:val="baseline"/>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5)违反法律、法规规定的其他行为。</w:t>
      </w:r>
    </w:p>
    <w:p>
      <w:pPr>
        <w:pStyle w:val="21"/>
        <w:widowControl/>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成交供应商有下列情形之一的，责令限期改正，情节严重的，列入不良行为记录名单：</w:t>
      </w:r>
    </w:p>
    <w:p>
      <w:pPr>
        <w:pStyle w:val="21"/>
        <w:widowControl/>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1）未按照谈判文件确定的事项签订采购合同，或者与采购人另行订立背离合同实质性内容的协议的；</w:t>
      </w:r>
    </w:p>
    <w:p>
      <w:pPr>
        <w:pStyle w:val="21"/>
        <w:widowControl/>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2）成交后无正当理由不与采购人签订合同的；</w:t>
      </w:r>
    </w:p>
    <w:p>
      <w:pPr>
        <w:pStyle w:val="21"/>
        <w:widowControl/>
        <w:spacing w:after="0"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3）拒绝履行合同义务的。</w:t>
      </w:r>
    </w:p>
    <w:p>
      <w:pPr>
        <w:pStyle w:val="12"/>
        <w:widowControl/>
        <w:ind w:left="98" w:leftChars="0" w:firstLine="0" w:firstLineChars="0"/>
        <w:textAlignment w:val="baseline"/>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（4）有下列情形之一的，视为串通报价，作废标处理：</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①不同供应商的响应文件由同一单位或者个人编制；</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②不同供应商委托同一单位或者个人办理报价事宜；</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③不同供应商的响应文件载明的项目管理成员或联系人员为同一人；</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④不同供应商的响应文件异常一致或者报价呈规律性差异；</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⑤不同供应商的响应文件相互混装；</w:t>
      </w:r>
    </w:p>
    <w:p>
      <w:pPr>
        <w:spacing w:line="360" w:lineRule="auto"/>
        <w:ind w:firstLine="480" w:firstLineChars="200"/>
        <w:rPr>
          <w:rFonts w:asciiTheme="minorEastAsia" w:hAnsiTheme="minorEastAsia" w:cstheme="minorEastAsia"/>
          <w:sz w:val="24"/>
          <w:highlight w:val="none"/>
        </w:rPr>
      </w:pPr>
      <w:r>
        <w:rPr>
          <w:rFonts w:hint="eastAsia" w:asciiTheme="minorEastAsia" w:hAnsiTheme="minorEastAsia" w:cstheme="minorEastAsia"/>
          <w:sz w:val="24"/>
          <w:highlight w:val="none"/>
        </w:rPr>
        <w:t>⑥法律法规文件规定的其他情形。</w:t>
      </w:r>
    </w:p>
    <w:p>
      <w:pPr>
        <w:spacing w:line="360" w:lineRule="auto"/>
        <w:rPr>
          <w:rFonts w:cs="宋体" w:asciiTheme="minorEastAsia" w:hAnsiTheme="minorEastAsia"/>
          <w:sz w:val="24"/>
          <w:highlight w:val="none"/>
        </w:rPr>
      </w:pPr>
      <w:r>
        <w:rPr>
          <w:rFonts w:hint="eastAsia" w:cs="宋体" w:asciiTheme="minorEastAsia" w:hAnsiTheme="minorEastAsia"/>
          <w:b/>
          <w:sz w:val="24"/>
          <w:highlight w:val="none"/>
        </w:rPr>
        <w:t>7.定标</w:t>
      </w:r>
      <w:bookmarkEnd w:id="273"/>
      <w:bookmarkEnd w:id="274"/>
      <w:bookmarkEnd w:id="275"/>
      <w:bookmarkEnd w:id="276"/>
      <w:bookmarkEnd w:id="277"/>
      <w:bookmarkEnd w:id="278"/>
      <w:bookmarkEnd w:id="279"/>
      <w:bookmarkEnd w:id="280"/>
      <w:bookmarkEnd w:id="281"/>
    </w:p>
    <w:p>
      <w:pPr>
        <w:pStyle w:val="5"/>
        <w:keepNext w:val="0"/>
        <w:widowControl/>
        <w:numPr>
          <w:ilvl w:val="0"/>
          <w:numId w:val="0"/>
        </w:numPr>
        <w:spacing w:before="120" w:after="240"/>
        <w:ind w:left="480"/>
        <w:rPr>
          <w:rFonts w:hint="default" w:asciiTheme="minorEastAsia" w:hAnsiTheme="minorEastAsia" w:eastAsiaTheme="minorEastAsia"/>
          <w:b/>
          <w:sz w:val="24"/>
          <w:szCs w:val="24"/>
          <w:highlight w:val="none"/>
        </w:rPr>
      </w:pPr>
      <w:bookmarkStart w:id="282" w:name="_Toc41983301"/>
      <w:bookmarkStart w:id="283" w:name="_Toc532893092"/>
      <w:bookmarkStart w:id="284" w:name="_Toc1048351"/>
      <w:bookmarkStart w:id="285" w:name="_Toc312072265"/>
      <w:bookmarkStart w:id="286" w:name="_Toc152045566"/>
      <w:bookmarkStart w:id="287" w:name="_Toc152042342"/>
      <w:bookmarkStart w:id="288" w:name="_Toc269310954"/>
      <w:bookmarkStart w:id="289" w:name="_Toc144974534"/>
      <w:r>
        <w:rPr>
          <w:rFonts w:asciiTheme="minorEastAsia" w:hAnsiTheme="minorEastAsia" w:eastAsiaTheme="minorEastAsia"/>
          <w:b/>
          <w:sz w:val="24"/>
          <w:szCs w:val="24"/>
          <w:highlight w:val="none"/>
        </w:rPr>
        <w:t>7.1定标方式</w:t>
      </w:r>
      <w:bookmarkEnd w:id="282"/>
      <w:bookmarkEnd w:id="283"/>
      <w:bookmarkEnd w:id="284"/>
      <w:bookmarkEnd w:id="285"/>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7.1.1谈判小组依据谈判原则，对报价文件进行评审和比较，向采购人提出书面谈判报告，并按经评审的有效最终报价由低到高的顺序推荐1-3名成交候选供应商。采购人在评审报告推荐的成交候选人中按顺序确定成交供应商，并按规定公告成交结果。成交候选供应商放弃成交、拒绝与采购人签订合同、因不可抗力或自身原因不能履行合同、不按照采购文件要求提交履约保证金或者被查实存在影响成交结果的违法行为等情形，不符合成交条件的，采购人按照国家、省相关规定确定下一候选人为成交供应商或重新开展采购活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7.1.2经评审的有效最终报价相同的，按技术指标优劣用记名投票的方法推荐成交候选供应商。</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7.1.3编制谈判报告</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谈判小组向采购人提交谈判报告。谈判报告应当由全体谈判小组成员签字。谈判报告应当包括以下内容：</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（1）基本情况和数据表；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（2）谈判小组成员名单；</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（3）开标记录；</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（4）符合要求的报价一览表；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（5）废标情况说明；</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（6）谈判标准、谈判方法或者谈判因素一览表；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（7）经评审的价格一览表（包括谈判小组在谈判过程中所形成的所有记载谈判结果、结论的表格、说明、记录等文件）；</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（8）经评审的供应商排序；</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（9）确定的成交供应商与签订合同前要处理的事宜；</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（10）澄清、说明、补正事项纪要。</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7.1.4谈判报告由谈判小组全体成员签字。对谈判结论持有异议的谈判小组成员可以书面方式阐述其不同意见和理由。谈判小组成员拒绝在谈判报告上签字且不陈述其不同意见和理由的，视为同意谈判结论。谈判小组应当对此做出书面说明并记录在案。</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7.1.5向采购人提交书面谈判报告后，谈判小组即告解散。</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7.1.6谈判小组经评审，认为所有投标都不符合采购文件要求的，可以否决所有投标。所有投标被否决后，采购人应当依法重新采购。</w:t>
      </w:r>
    </w:p>
    <w:p>
      <w:pPr>
        <w:spacing w:line="360" w:lineRule="auto"/>
        <w:ind w:firstLine="480" w:firstLineChars="200"/>
        <w:rPr>
          <w:rFonts w:cs="宋体" w:asciiTheme="minorEastAsia" w:hAnsiTheme="minorEastAsia"/>
          <w:b/>
          <w:sz w:val="24"/>
          <w:highlight w:val="none"/>
        </w:rPr>
      </w:pPr>
      <w:r>
        <w:rPr>
          <w:rFonts w:hint="eastAsia" w:cs="宋体" w:asciiTheme="minorEastAsia" w:hAnsiTheme="minorEastAsia"/>
          <w:sz w:val="24"/>
          <w:highlight w:val="none"/>
        </w:rPr>
        <w:t>7.1.7特殊情况的处置程序</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7.1.7.1关于谈判活动暂停</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谈判小组应当执行连续谈判的原则，按谈判办法中规定的程序、内容、方法、标准完成全部谈判工作。只有发生不可抗力导致谈判工作无法继续时，谈判活动方可暂停。</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发生谈判暂停情况时，谈判小组应当封存全部报价文件和谈判记录，待不可抗力的影响结束且具备继续谈判的条件时，由原谈判小组继续谈判。</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7.1.7.2关于谈判中途更换评委</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除非发生下列情况之一，谈判小组成员不得在谈判中途更换：</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 因不可抗拒的客观原因，不能到场或需在谈判中途退出谈判活动。</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 根据法律法规规定，某个或某几个谈判小组成员需要回避。</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退出谈判的谈判小组成员，其已完成的谈判行为无效。由采购人根据本采购文件规定的谈判小组成员产生方式另行确定替代者进行谈判。</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7.1.7.3关于记名投票表决评审结论</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在任何谈判环节中，需谈判小组就某项定性的评审结论做出表决的，由谈判小组全体成员按照少数服从多数的原则，以记名投票方式表决。</w:t>
      </w:r>
    </w:p>
    <w:p>
      <w:pPr>
        <w:pStyle w:val="5"/>
        <w:keepNext w:val="0"/>
        <w:widowControl/>
        <w:numPr>
          <w:ilvl w:val="0"/>
          <w:numId w:val="0"/>
        </w:numPr>
        <w:spacing w:before="120" w:after="240"/>
        <w:ind w:left="480"/>
        <w:rPr>
          <w:rFonts w:hint="default" w:asciiTheme="minorEastAsia" w:hAnsiTheme="minorEastAsia" w:eastAsiaTheme="minorEastAsia"/>
          <w:b/>
          <w:sz w:val="24"/>
          <w:szCs w:val="24"/>
          <w:highlight w:val="none"/>
        </w:rPr>
      </w:pPr>
      <w:bookmarkStart w:id="290" w:name="_Toc41983302"/>
      <w:bookmarkStart w:id="291" w:name="_Toc532893093"/>
      <w:bookmarkStart w:id="292" w:name="_Toc312072266"/>
      <w:bookmarkStart w:id="293" w:name="_Toc1048352"/>
      <w:r>
        <w:rPr>
          <w:rFonts w:asciiTheme="minorEastAsia" w:hAnsiTheme="minorEastAsia" w:eastAsiaTheme="minorEastAsia"/>
          <w:b/>
          <w:sz w:val="24"/>
          <w:szCs w:val="24"/>
          <w:highlight w:val="none"/>
        </w:rPr>
        <w:t>7.2成交通知</w:t>
      </w:r>
      <w:bookmarkEnd w:id="290"/>
      <w:bookmarkEnd w:id="291"/>
      <w:bookmarkEnd w:id="292"/>
      <w:bookmarkEnd w:id="293"/>
    </w:p>
    <w:p>
      <w:pPr>
        <w:spacing w:line="360" w:lineRule="auto"/>
        <w:ind w:firstLine="480" w:firstLineChars="200"/>
        <w:rPr>
          <w:rFonts w:cs="宋体" w:asciiTheme="minorEastAsia" w:hAnsiTheme="minorEastAsia"/>
          <w:sz w:val="24"/>
          <w:highlight w:val="none"/>
        </w:rPr>
      </w:pPr>
      <w:bookmarkStart w:id="294" w:name="_Toc312072267"/>
      <w:r>
        <w:rPr>
          <w:rFonts w:hint="eastAsia" w:cs="宋体" w:asciiTheme="minorEastAsia" w:hAnsiTheme="minorEastAsia"/>
          <w:sz w:val="24"/>
          <w:highlight w:val="none"/>
        </w:rPr>
        <w:t>7.2.1确定成交结果后，采购人在规定时间内发出成交通知书，并按规定公告成交结果。</w:t>
      </w:r>
    </w:p>
    <w:p>
      <w:pPr>
        <w:pStyle w:val="5"/>
        <w:keepNext w:val="0"/>
        <w:widowControl/>
        <w:numPr>
          <w:ilvl w:val="0"/>
          <w:numId w:val="0"/>
        </w:numPr>
        <w:spacing w:before="120" w:after="240"/>
        <w:ind w:left="480"/>
        <w:rPr>
          <w:rFonts w:hint="default" w:asciiTheme="minorEastAsia" w:hAnsiTheme="minorEastAsia" w:eastAsiaTheme="minorEastAsia"/>
          <w:sz w:val="24"/>
          <w:szCs w:val="24"/>
          <w:highlight w:val="none"/>
        </w:rPr>
      </w:pPr>
      <w:bookmarkStart w:id="295" w:name="_Toc532893094"/>
      <w:bookmarkStart w:id="296" w:name="_Toc1048353"/>
      <w:bookmarkStart w:id="297" w:name="_Toc41983303"/>
      <w:r>
        <w:rPr>
          <w:rFonts w:asciiTheme="minorEastAsia" w:hAnsiTheme="minorEastAsia" w:eastAsiaTheme="minorEastAsia"/>
          <w:sz w:val="24"/>
          <w:szCs w:val="24"/>
          <w:highlight w:val="none"/>
        </w:rPr>
        <w:t>7.2.2《成交通知书》将作为合同的组成部分。成交通知书发出后，采购人改变成交结果的，或者成交供应商放弃成交的，应当依法承担法律责任。</w:t>
      </w:r>
      <w:bookmarkEnd w:id="295"/>
      <w:bookmarkEnd w:id="296"/>
      <w:bookmarkEnd w:id="297"/>
    </w:p>
    <w:p>
      <w:pPr>
        <w:pStyle w:val="5"/>
        <w:keepNext w:val="0"/>
        <w:widowControl/>
        <w:numPr>
          <w:ilvl w:val="0"/>
          <w:numId w:val="0"/>
        </w:numPr>
        <w:spacing w:before="120" w:after="240"/>
        <w:ind w:left="480"/>
        <w:rPr>
          <w:rFonts w:hint="default" w:asciiTheme="minorEastAsia" w:hAnsiTheme="minorEastAsia" w:eastAsiaTheme="minorEastAsia"/>
          <w:b/>
          <w:sz w:val="24"/>
          <w:szCs w:val="24"/>
          <w:highlight w:val="none"/>
        </w:rPr>
      </w:pPr>
      <w:bookmarkStart w:id="298" w:name="_Toc532893095"/>
      <w:bookmarkStart w:id="299" w:name="_Toc1048354"/>
      <w:bookmarkStart w:id="300" w:name="_Toc41983304"/>
      <w:r>
        <w:rPr>
          <w:rFonts w:asciiTheme="minorEastAsia" w:hAnsiTheme="minorEastAsia" w:eastAsiaTheme="minorEastAsia"/>
          <w:b/>
          <w:sz w:val="24"/>
          <w:szCs w:val="24"/>
          <w:highlight w:val="none"/>
        </w:rPr>
        <w:t>7.3 履约</w:t>
      </w:r>
      <w:bookmarkEnd w:id="294"/>
      <w:r>
        <w:rPr>
          <w:rFonts w:asciiTheme="minorEastAsia" w:hAnsiTheme="minorEastAsia" w:eastAsiaTheme="minorEastAsia"/>
          <w:b/>
          <w:sz w:val="24"/>
          <w:szCs w:val="24"/>
          <w:highlight w:val="none"/>
        </w:rPr>
        <w:t>担保</w:t>
      </w:r>
      <w:bookmarkEnd w:id="298"/>
      <w:bookmarkEnd w:id="299"/>
      <w:bookmarkEnd w:id="300"/>
    </w:p>
    <w:p>
      <w:pPr>
        <w:pStyle w:val="5"/>
        <w:keepNext w:val="0"/>
        <w:widowControl/>
        <w:numPr>
          <w:ilvl w:val="0"/>
          <w:numId w:val="0"/>
        </w:numPr>
        <w:spacing w:before="120" w:after="240"/>
        <w:ind w:left="480" w:firstLine="480" w:firstLineChars="200"/>
        <w:rPr>
          <w:rFonts w:hint="default" w:asciiTheme="minorEastAsia" w:hAnsiTheme="minorEastAsia" w:eastAsiaTheme="minorEastAsia"/>
          <w:sz w:val="24"/>
          <w:szCs w:val="24"/>
          <w:highlight w:val="none"/>
        </w:rPr>
      </w:pPr>
      <w:bookmarkStart w:id="301" w:name="_Toc1048355"/>
      <w:bookmarkStart w:id="302" w:name="_Toc532893096"/>
      <w:bookmarkStart w:id="303" w:name="_Toc41983305"/>
      <w:r>
        <w:rPr>
          <w:rFonts w:asciiTheme="minorEastAsia" w:hAnsiTheme="minorEastAsia" w:eastAsiaTheme="minorEastAsia"/>
          <w:sz w:val="24"/>
          <w:szCs w:val="24"/>
          <w:highlight w:val="none"/>
        </w:rPr>
        <w:t>履约担保的金额：详见前附表。</w:t>
      </w:r>
      <w:bookmarkEnd w:id="301"/>
      <w:bookmarkEnd w:id="302"/>
      <w:bookmarkEnd w:id="303"/>
    </w:p>
    <w:p>
      <w:pPr>
        <w:pStyle w:val="5"/>
        <w:keepNext w:val="0"/>
        <w:widowControl/>
        <w:numPr>
          <w:ilvl w:val="0"/>
          <w:numId w:val="0"/>
        </w:numPr>
        <w:spacing w:before="120" w:after="240"/>
        <w:ind w:left="480"/>
        <w:rPr>
          <w:rFonts w:hint="default" w:asciiTheme="minorEastAsia" w:hAnsiTheme="minorEastAsia" w:eastAsiaTheme="minorEastAsia"/>
          <w:b/>
          <w:sz w:val="24"/>
          <w:szCs w:val="24"/>
          <w:highlight w:val="none"/>
        </w:rPr>
      </w:pPr>
      <w:bookmarkStart w:id="304" w:name="_Toc312072268"/>
      <w:bookmarkStart w:id="305" w:name="_Toc41983306"/>
      <w:bookmarkStart w:id="306" w:name="_Toc1048356"/>
      <w:bookmarkStart w:id="307" w:name="_Toc532893097"/>
      <w:r>
        <w:rPr>
          <w:rFonts w:asciiTheme="minorEastAsia" w:hAnsiTheme="minorEastAsia" w:eastAsiaTheme="minorEastAsia"/>
          <w:b/>
          <w:sz w:val="24"/>
          <w:szCs w:val="24"/>
          <w:highlight w:val="none"/>
        </w:rPr>
        <w:t>7.4 签订合同</w:t>
      </w:r>
      <w:bookmarkEnd w:id="304"/>
      <w:bookmarkEnd w:id="305"/>
      <w:bookmarkEnd w:id="306"/>
      <w:bookmarkEnd w:id="307"/>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7.4.1采购人与成交供应商应自成交通知书发出之日起10个工作日内，按照采购文件和成交供应商的报价文件订立书面合同。</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7.4.2成交供应商如不按本采购文件的规定与采购人订立合同，则采购人将取消其中标资格，给采购人造成的损失应当予以赔偿，并依法承担相应的法律责任。</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7.4.3 发出成交通知书后，采购人无正当理由拒签合同的；给成交供应商造成损失的，还应当赔偿损失。</w:t>
      </w:r>
    </w:p>
    <w:bookmarkEnd w:id="286"/>
    <w:bookmarkEnd w:id="287"/>
    <w:bookmarkEnd w:id="288"/>
    <w:bookmarkEnd w:id="289"/>
    <w:p>
      <w:pPr>
        <w:pStyle w:val="98"/>
        <w:keepNext w:val="0"/>
        <w:widowControl/>
        <w:spacing w:before="120" w:after="240" w:line="360" w:lineRule="auto"/>
        <w:outlineLvl w:val="2"/>
        <w:rPr>
          <w:rFonts w:hint="default" w:cs="宋体" w:asciiTheme="minorEastAsia" w:hAnsiTheme="minorEastAsia" w:eastAsiaTheme="minorEastAsia"/>
          <w:sz w:val="24"/>
          <w:szCs w:val="24"/>
          <w:highlight w:val="none"/>
        </w:rPr>
      </w:pPr>
      <w:bookmarkStart w:id="308" w:name="_Toc269310959"/>
      <w:bookmarkStart w:id="309" w:name="_Toc312072269"/>
      <w:bookmarkStart w:id="310" w:name="_Toc456970763"/>
      <w:bookmarkStart w:id="311" w:name="_Toc467665729"/>
      <w:bookmarkStart w:id="312" w:name="_Toc456970526"/>
      <w:bookmarkStart w:id="313" w:name="_Toc152045571"/>
      <w:bookmarkStart w:id="314" w:name="_Toc41983307"/>
      <w:bookmarkStart w:id="315" w:name="_Toc532893098"/>
      <w:bookmarkStart w:id="316" w:name="_Toc144974539"/>
      <w:bookmarkStart w:id="317" w:name="_Toc152042347"/>
      <w:bookmarkStart w:id="318" w:name="_Toc1048357"/>
      <w:bookmarkStart w:id="319" w:name="_Toc456970465"/>
      <w:r>
        <w:rPr>
          <w:rFonts w:cs="宋体" w:asciiTheme="minorEastAsia" w:hAnsiTheme="minorEastAsia" w:eastAsiaTheme="minorEastAsia"/>
          <w:sz w:val="24"/>
          <w:szCs w:val="24"/>
          <w:highlight w:val="none"/>
        </w:rPr>
        <w:t>8. 重新采购</w:t>
      </w:r>
      <w:bookmarkEnd w:id="308"/>
      <w:bookmarkEnd w:id="309"/>
      <w:bookmarkEnd w:id="310"/>
      <w:bookmarkEnd w:id="311"/>
      <w:bookmarkEnd w:id="312"/>
      <w:bookmarkEnd w:id="313"/>
      <w:bookmarkEnd w:id="314"/>
      <w:bookmarkEnd w:id="315"/>
      <w:bookmarkEnd w:id="316"/>
      <w:bookmarkEnd w:id="317"/>
      <w:bookmarkEnd w:id="318"/>
      <w:bookmarkEnd w:id="319"/>
    </w:p>
    <w:p>
      <w:pPr>
        <w:pStyle w:val="5"/>
        <w:keepNext w:val="0"/>
        <w:widowControl/>
        <w:numPr>
          <w:ilvl w:val="0"/>
          <w:numId w:val="0"/>
        </w:numPr>
        <w:spacing w:before="120" w:after="240"/>
        <w:ind w:left="480"/>
        <w:rPr>
          <w:rFonts w:hint="default" w:asciiTheme="minorEastAsia" w:hAnsiTheme="minorEastAsia" w:eastAsiaTheme="minorEastAsia"/>
          <w:b/>
          <w:sz w:val="24"/>
          <w:szCs w:val="24"/>
          <w:highlight w:val="none"/>
        </w:rPr>
      </w:pPr>
      <w:bookmarkStart w:id="320" w:name="_Toc269310960"/>
      <w:bookmarkStart w:id="321" w:name="_Toc532893099"/>
      <w:bookmarkStart w:id="322" w:name="_Toc41983308"/>
      <w:bookmarkStart w:id="323" w:name="_Toc312072270"/>
      <w:bookmarkStart w:id="324" w:name="_Toc152045572"/>
      <w:bookmarkStart w:id="325" w:name="_Toc144974540"/>
      <w:bookmarkStart w:id="326" w:name="_Toc152042348"/>
      <w:bookmarkStart w:id="327" w:name="_Toc1048358"/>
      <w:r>
        <w:rPr>
          <w:rFonts w:asciiTheme="minorEastAsia" w:hAnsiTheme="minorEastAsia" w:eastAsiaTheme="minorEastAsia"/>
          <w:b/>
          <w:sz w:val="24"/>
          <w:szCs w:val="24"/>
          <w:highlight w:val="none"/>
        </w:rPr>
        <w:t>8.1 重新采购</w:t>
      </w:r>
      <w:bookmarkEnd w:id="320"/>
      <w:bookmarkEnd w:id="321"/>
      <w:bookmarkEnd w:id="322"/>
      <w:bookmarkEnd w:id="323"/>
      <w:bookmarkEnd w:id="324"/>
      <w:bookmarkEnd w:id="325"/>
      <w:bookmarkEnd w:id="326"/>
      <w:bookmarkEnd w:id="327"/>
    </w:p>
    <w:p>
      <w:pPr>
        <w:pStyle w:val="21"/>
        <w:widowControl/>
        <w:spacing w:after="0" w:line="360" w:lineRule="auto"/>
        <w:ind w:firstLine="480" w:firstLineChars="200"/>
        <w:textAlignment w:val="baseline"/>
        <w:rPr>
          <w:rFonts w:asciiTheme="minorEastAsia" w:hAnsiTheme="minorEastAsia" w:eastAsiaTheme="minorEastAsia"/>
          <w:sz w:val="24"/>
          <w:highlight w:val="none"/>
        </w:rPr>
      </w:pPr>
      <w:bookmarkStart w:id="328" w:name="_Toc456970764"/>
      <w:bookmarkStart w:id="329" w:name="_Toc456970527"/>
      <w:bookmarkStart w:id="330" w:name="_Toc269310962"/>
      <w:bookmarkStart w:id="331" w:name="_Toc456970466"/>
      <w:bookmarkStart w:id="332" w:name="_Toc312072272"/>
      <w:bookmarkStart w:id="333" w:name="_Toc152045574"/>
      <w:bookmarkStart w:id="334" w:name="_Toc467665730"/>
      <w:bookmarkStart w:id="335" w:name="_Toc152042350"/>
      <w:bookmarkStart w:id="336" w:name="_Toc144974542"/>
      <w:r>
        <w:rPr>
          <w:rFonts w:asciiTheme="minorEastAsia" w:hAnsiTheme="minorEastAsia" w:eastAsiaTheme="minorEastAsia"/>
          <w:sz w:val="24"/>
          <w:highlight w:val="none"/>
        </w:rPr>
        <w:t xml:space="preserve">1 </w:t>
      </w:r>
      <w:r>
        <w:rPr>
          <w:rFonts w:hint="eastAsia" w:cs="宋体" w:asciiTheme="minorEastAsia" w:hAnsiTheme="minorEastAsia" w:eastAsiaTheme="minorEastAsia"/>
          <w:sz w:val="24"/>
          <w:highlight w:val="none"/>
        </w:rPr>
        <w:t>采购项目出现下列情形之一的，采购人将予以废除本次采购项目：</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（1）出现影响采购公正的违法、违规行为的；</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（2）供应商的投标报价均超出采购预算的；</w:t>
      </w:r>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（3）因重大变故，采购任务取消的。</w:t>
      </w:r>
    </w:p>
    <w:p>
      <w:pPr>
        <w:spacing w:line="360" w:lineRule="auto"/>
        <w:ind w:firstLine="480" w:firstLineChars="200"/>
        <w:rPr>
          <w:rFonts w:cs="宋体" w:asciiTheme="minorEastAsia" w:hAnsiTheme="minorEastAsia"/>
          <w:sz w:val="24"/>
          <w:highlight w:val="none"/>
        </w:rPr>
      </w:pPr>
      <w:r>
        <w:rPr>
          <w:rFonts w:cs="Times New Roman" w:asciiTheme="minorEastAsia" w:hAnsiTheme="minorEastAsia"/>
          <w:sz w:val="24"/>
          <w:highlight w:val="none"/>
        </w:rPr>
        <w:t xml:space="preserve">2  </w:t>
      </w:r>
      <w:r>
        <w:rPr>
          <w:rFonts w:hint="eastAsia" w:cs="宋体" w:asciiTheme="minorEastAsia" w:hAnsiTheme="minorEastAsia"/>
          <w:sz w:val="24"/>
          <w:highlight w:val="none"/>
        </w:rPr>
        <w:t>废除本次采购项目后，采购人将把废除本次采购项目理由通知所有供应商。</w:t>
      </w:r>
    </w:p>
    <w:p>
      <w:pPr>
        <w:spacing w:line="360" w:lineRule="auto"/>
        <w:rPr>
          <w:rFonts w:cs="宋体" w:asciiTheme="minorEastAsia" w:hAnsiTheme="minorEastAsia"/>
          <w:b/>
          <w:bCs/>
          <w:sz w:val="24"/>
          <w:highlight w:val="none"/>
        </w:rPr>
      </w:pPr>
      <w:r>
        <w:rPr>
          <w:rFonts w:hint="eastAsia" w:cs="宋体" w:asciiTheme="minorEastAsia" w:hAnsiTheme="minorEastAsia"/>
          <w:b/>
          <w:bCs/>
          <w:sz w:val="24"/>
          <w:highlight w:val="none"/>
        </w:rPr>
        <w:t>9. 纪律和监督</w:t>
      </w:r>
      <w:bookmarkEnd w:id="328"/>
      <w:bookmarkEnd w:id="329"/>
      <w:bookmarkEnd w:id="330"/>
      <w:bookmarkEnd w:id="331"/>
      <w:bookmarkEnd w:id="332"/>
      <w:bookmarkEnd w:id="333"/>
      <w:bookmarkEnd w:id="334"/>
      <w:bookmarkEnd w:id="335"/>
      <w:bookmarkEnd w:id="336"/>
    </w:p>
    <w:p>
      <w:pPr>
        <w:spacing w:line="360" w:lineRule="auto"/>
        <w:rPr>
          <w:rFonts w:cs="宋体" w:asciiTheme="minorEastAsia" w:hAnsiTheme="minorEastAsia"/>
          <w:b/>
          <w:bCs/>
          <w:sz w:val="24"/>
          <w:highlight w:val="none"/>
        </w:rPr>
      </w:pPr>
      <w:bookmarkStart w:id="337" w:name="_Toc312072273"/>
      <w:bookmarkStart w:id="338" w:name="_Toc152042357"/>
      <w:bookmarkStart w:id="339" w:name="_Toc152045580"/>
      <w:bookmarkStart w:id="340" w:name="_Toc269310968"/>
      <w:bookmarkStart w:id="341" w:name="_Toc144974547"/>
      <w:r>
        <w:rPr>
          <w:rFonts w:hint="eastAsia" w:cs="宋体" w:asciiTheme="minorEastAsia" w:hAnsiTheme="minorEastAsia"/>
          <w:b/>
          <w:bCs/>
          <w:sz w:val="24"/>
          <w:highlight w:val="none"/>
        </w:rPr>
        <w:t>9.1 对采购人的纪律要求</w:t>
      </w:r>
      <w:bookmarkEnd w:id="337"/>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采购人不得泄漏采购活动中应当保密的情况和资料，不得与供应商串通损害国家利益、社会公共利益和他人合法权益。</w:t>
      </w:r>
    </w:p>
    <w:p>
      <w:pPr>
        <w:spacing w:line="360" w:lineRule="auto"/>
        <w:rPr>
          <w:rFonts w:cs="宋体" w:asciiTheme="minorEastAsia" w:hAnsiTheme="minorEastAsia"/>
          <w:b/>
          <w:sz w:val="24"/>
          <w:highlight w:val="none"/>
        </w:rPr>
      </w:pPr>
      <w:bookmarkStart w:id="342" w:name="_Toc312072274"/>
      <w:r>
        <w:rPr>
          <w:rFonts w:hint="eastAsia" w:cs="宋体" w:asciiTheme="minorEastAsia" w:hAnsiTheme="minorEastAsia"/>
          <w:b/>
          <w:sz w:val="24"/>
          <w:highlight w:val="none"/>
        </w:rPr>
        <w:t>9.2 对供应商的纪律要求</w:t>
      </w:r>
      <w:bookmarkEnd w:id="342"/>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供应商不得相互串通报价或者与采购人串通报价，不得向采购人或者谈判小组成员行贿谋取中标，不得以他人名义递交报价文件或者以其他方式弄虚作假骗取中标；供应商不得以任何方式干扰、影响谈判工作。</w:t>
      </w:r>
    </w:p>
    <w:p>
      <w:pPr>
        <w:spacing w:line="360" w:lineRule="auto"/>
        <w:rPr>
          <w:rFonts w:cs="宋体" w:asciiTheme="minorEastAsia" w:hAnsiTheme="minorEastAsia"/>
          <w:b/>
          <w:sz w:val="24"/>
          <w:highlight w:val="none"/>
        </w:rPr>
      </w:pPr>
      <w:bookmarkStart w:id="343" w:name="_Toc312072275"/>
      <w:r>
        <w:rPr>
          <w:rFonts w:hint="eastAsia" w:cs="宋体" w:asciiTheme="minorEastAsia" w:hAnsiTheme="minorEastAsia"/>
          <w:b/>
          <w:sz w:val="24"/>
          <w:highlight w:val="none"/>
        </w:rPr>
        <w:t>9.3 对谈判小组成员的纪律要求</w:t>
      </w:r>
      <w:bookmarkEnd w:id="343"/>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谈判小组成员不得收受他人的财物或者其他好处，不得向他人透漏对报价文件的评审和比较、成交候选供应商的推荐情况以及与谈判有关的其他情况。在谈判活动中，谈判小组成员不得擅离职守，影响谈判程序正常进行，不得使用第三章“谈判办法”没有规定的评审因素和标准进行谈判。</w:t>
      </w:r>
    </w:p>
    <w:p>
      <w:pPr>
        <w:spacing w:line="360" w:lineRule="auto"/>
        <w:rPr>
          <w:rFonts w:cs="宋体" w:asciiTheme="minorEastAsia" w:hAnsiTheme="minorEastAsia"/>
          <w:b/>
          <w:sz w:val="24"/>
          <w:highlight w:val="none"/>
        </w:rPr>
      </w:pPr>
      <w:bookmarkStart w:id="344" w:name="_Toc312072276"/>
      <w:r>
        <w:rPr>
          <w:rFonts w:hint="eastAsia" w:cs="宋体" w:asciiTheme="minorEastAsia" w:hAnsiTheme="minorEastAsia"/>
          <w:b/>
          <w:sz w:val="24"/>
          <w:highlight w:val="none"/>
        </w:rPr>
        <w:t>9.4 对与谈判活动有关的工作人员的纪律要求</w:t>
      </w:r>
      <w:bookmarkEnd w:id="344"/>
    </w:p>
    <w:p>
      <w:pPr>
        <w:spacing w:line="360" w:lineRule="auto"/>
        <w:ind w:firstLine="480" w:firstLineChars="200"/>
        <w:rPr>
          <w:rFonts w:cs="宋体" w:asciiTheme="minorEastAsia" w:hAnsiTheme="minorEastAsia"/>
          <w:sz w:val="24"/>
          <w:highlight w:val="none"/>
        </w:rPr>
      </w:pPr>
      <w:r>
        <w:rPr>
          <w:rFonts w:hint="eastAsia" w:cs="宋体" w:asciiTheme="minorEastAsia" w:hAnsiTheme="minorEastAsia"/>
          <w:sz w:val="24"/>
          <w:highlight w:val="none"/>
        </w:rPr>
        <w:t>与谈判活动有关的工作人员不得收受他人的财物或者其他好处，不得向他人透漏对报价文件的评审和比较、成交候选供应商的推荐情况以及与谈判有关的其他情况。在谈判活动中，与谈判活动有关的工作人员不得擅离职守，影响谈判程序正常进行。</w:t>
      </w:r>
    </w:p>
    <w:p>
      <w:pPr>
        <w:spacing w:line="360" w:lineRule="auto"/>
        <w:rPr>
          <w:rFonts w:cs="宋体" w:asciiTheme="minorEastAsia" w:hAnsiTheme="minorEastAsia"/>
          <w:b/>
          <w:sz w:val="24"/>
          <w:highlight w:val="none"/>
        </w:rPr>
      </w:pPr>
      <w:bookmarkStart w:id="345" w:name="_Toc312072277"/>
      <w:r>
        <w:rPr>
          <w:rFonts w:hint="eastAsia" w:cs="宋体" w:asciiTheme="minorEastAsia" w:hAnsiTheme="minorEastAsia"/>
          <w:b/>
          <w:sz w:val="24"/>
          <w:highlight w:val="none"/>
        </w:rPr>
        <w:t>9.5 质疑和投诉</w:t>
      </w:r>
      <w:bookmarkEnd w:id="345"/>
    </w:p>
    <w:p>
      <w:pPr>
        <w:spacing w:line="360" w:lineRule="auto"/>
        <w:ind w:firstLine="424" w:firstLineChars="177"/>
        <w:jc w:val="left"/>
        <w:rPr>
          <w:rFonts w:asciiTheme="minorEastAsia" w:hAnsiTheme="minorEastAsia"/>
          <w:bCs/>
          <w:sz w:val="24"/>
          <w:highlight w:val="none"/>
        </w:rPr>
      </w:pPr>
      <w:bookmarkStart w:id="346" w:name="_Toc456970528"/>
      <w:bookmarkStart w:id="347" w:name="_Toc467665731"/>
      <w:bookmarkStart w:id="348" w:name="_Toc456970467"/>
      <w:bookmarkStart w:id="349" w:name="_Toc532893100"/>
      <w:bookmarkStart w:id="350" w:name="_Toc312072278"/>
      <w:bookmarkStart w:id="351" w:name="_Toc456970765"/>
      <w:bookmarkStart w:id="352" w:name="_Toc1048359"/>
      <w:r>
        <w:rPr>
          <w:rFonts w:hint="eastAsia" w:asciiTheme="minorEastAsia" w:hAnsiTheme="minorEastAsia"/>
          <w:bCs/>
          <w:sz w:val="24"/>
          <w:highlight w:val="none"/>
        </w:rPr>
        <w:t>9.5.1 供应商对谈判文件、谈判过程和成交结果使自己的权益受到损害的，可以在知道或者应当知道其权益受到损害之日起 7 个工作日内向采购人以书面形式提出质疑。</w:t>
      </w:r>
    </w:p>
    <w:p>
      <w:pPr>
        <w:pStyle w:val="98"/>
        <w:keepNext w:val="0"/>
        <w:widowControl/>
        <w:spacing w:before="120" w:after="240" w:line="360" w:lineRule="auto"/>
        <w:outlineLvl w:val="2"/>
        <w:rPr>
          <w:rFonts w:hint="default" w:cs="宋体" w:asciiTheme="minorEastAsia" w:hAnsiTheme="minorEastAsia" w:eastAsiaTheme="minorEastAsia"/>
          <w:sz w:val="24"/>
          <w:szCs w:val="24"/>
          <w:highlight w:val="none"/>
        </w:rPr>
      </w:pPr>
      <w:bookmarkStart w:id="353" w:name="_Toc41983309"/>
      <w:r>
        <w:rPr>
          <w:rFonts w:cs="宋体" w:asciiTheme="minorEastAsia" w:hAnsiTheme="minorEastAsia" w:eastAsiaTheme="minorEastAsia"/>
          <w:sz w:val="24"/>
          <w:szCs w:val="24"/>
          <w:highlight w:val="none"/>
        </w:rPr>
        <w:t>10. 需要补充的其他内容</w:t>
      </w:r>
      <w:bookmarkEnd w:id="338"/>
      <w:bookmarkEnd w:id="339"/>
      <w:bookmarkEnd w:id="340"/>
      <w:bookmarkEnd w:id="341"/>
      <w:bookmarkEnd w:id="346"/>
      <w:bookmarkEnd w:id="347"/>
      <w:bookmarkEnd w:id="348"/>
      <w:bookmarkEnd w:id="349"/>
      <w:bookmarkEnd w:id="350"/>
      <w:bookmarkEnd w:id="351"/>
      <w:bookmarkEnd w:id="352"/>
      <w:bookmarkEnd w:id="353"/>
    </w:p>
    <w:p>
      <w:pPr>
        <w:pStyle w:val="98"/>
        <w:keepNext w:val="0"/>
        <w:widowControl/>
        <w:spacing w:before="240" w:after="240" w:line="360" w:lineRule="auto"/>
        <w:ind w:firstLine="600" w:firstLineChars="250"/>
        <w:rPr>
          <w:rFonts w:hint="default" w:cs="宋体" w:asciiTheme="minorEastAsia" w:hAnsiTheme="minorEastAsia" w:eastAsiaTheme="minorEastAsia"/>
          <w:b w:val="0"/>
          <w:bCs/>
          <w:sz w:val="24"/>
          <w:szCs w:val="24"/>
          <w:highlight w:val="none"/>
        </w:rPr>
      </w:pPr>
      <w:bookmarkStart w:id="354" w:name="_Toc437418758"/>
      <w:bookmarkStart w:id="355" w:name="_Toc456970766"/>
      <w:bookmarkStart w:id="356" w:name="_Toc467665732"/>
      <w:bookmarkStart w:id="357" w:name="_Toc456970468"/>
      <w:bookmarkStart w:id="358" w:name="_Toc8239"/>
      <w:bookmarkStart w:id="359" w:name="_Toc455989734"/>
      <w:bookmarkStart w:id="360" w:name="_Toc456970529"/>
      <w:bookmarkStart w:id="361" w:name="_Toc41983310"/>
      <w:bookmarkStart w:id="362" w:name="_Toc532893101"/>
      <w:bookmarkStart w:id="363" w:name="_Toc1048360"/>
      <w:r>
        <w:rPr>
          <w:rFonts w:cs="宋体" w:asciiTheme="minorEastAsia" w:hAnsiTheme="minorEastAsia" w:eastAsiaTheme="minorEastAsia"/>
          <w:b w:val="0"/>
          <w:bCs/>
          <w:sz w:val="24"/>
          <w:szCs w:val="24"/>
          <w:highlight w:val="none"/>
        </w:rPr>
        <w:t>需要补充的其他内容：见供应商须知前附表。</w:t>
      </w:r>
      <w:bookmarkEnd w:id="354"/>
      <w:bookmarkEnd w:id="355"/>
      <w:bookmarkEnd w:id="356"/>
      <w:bookmarkEnd w:id="357"/>
      <w:bookmarkEnd w:id="358"/>
      <w:bookmarkEnd w:id="359"/>
      <w:bookmarkEnd w:id="360"/>
      <w:bookmarkEnd w:id="361"/>
      <w:bookmarkEnd w:id="362"/>
      <w:bookmarkEnd w:id="363"/>
    </w:p>
    <w:p>
      <w:pPr>
        <w:pStyle w:val="21"/>
        <w:rPr>
          <w:highlight w:val="none"/>
        </w:rPr>
        <w:sectPr>
          <w:type w:val="continuous"/>
          <w:pgSz w:w="11910" w:h="16840"/>
          <w:pgMar w:top="907" w:right="1021" w:bottom="907" w:left="1021" w:header="0" w:footer="1379" w:gutter="0"/>
          <w:pgNumType w:fmt="decimal"/>
          <w:cols w:space="720" w:num="1"/>
        </w:sectPr>
      </w:pPr>
    </w:p>
    <w:p>
      <w:pPr>
        <w:pStyle w:val="45"/>
        <w:spacing w:before="0" w:after="0" w:line="360" w:lineRule="auto"/>
        <w:rPr>
          <w:rStyle w:val="267"/>
          <w:rFonts w:hint="default" w:eastAsia="宋体"/>
          <w:b/>
          <w:sz w:val="40"/>
          <w:szCs w:val="22"/>
          <w:highlight w:val="none"/>
          <w:lang w:val="en-US" w:eastAsia="zh-CN"/>
        </w:rPr>
      </w:pPr>
      <w:r>
        <w:rPr>
          <w:rStyle w:val="267"/>
          <w:rFonts w:hint="eastAsia"/>
          <w:b/>
          <w:sz w:val="40"/>
          <w:szCs w:val="22"/>
          <w:highlight w:val="none"/>
        </w:rPr>
        <w:t>第三章</w:t>
      </w:r>
      <w:bookmarkEnd w:id="34"/>
      <w:r>
        <w:rPr>
          <w:rStyle w:val="267"/>
          <w:rFonts w:hint="eastAsia" w:eastAsia="宋体"/>
          <w:b/>
          <w:sz w:val="40"/>
          <w:szCs w:val="22"/>
          <w:highlight w:val="none"/>
          <w:lang w:eastAsia="zh-CN"/>
        </w:rPr>
        <w:t>、</w:t>
      </w:r>
      <w:r>
        <w:rPr>
          <w:rStyle w:val="267"/>
          <w:rFonts w:hint="eastAsia" w:eastAsia="宋体"/>
          <w:b/>
          <w:sz w:val="40"/>
          <w:szCs w:val="22"/>
          <w:highlight w:val="none"/>
          <w:lang w:val="en-US" w:eastAsia="zh-CN"/>
        </w:rPr>
        <w:t>工程量清单</w:t>
      </w:r>
    </w:p>
    <w:p>
      <w:pPr>
        <w:pStyle w:val="3"/>
        <w:spacing w:line="360" w:lineRule="auto"/>
        <w:jc w:val="both"/>
        <w:outlineLvl w:val="9"/>
        <w:rPr>
          <w:rFonts w:hint="eastAsia"/>
          <w:sz w:val="32"/>
          <w:szCs w:val="28"/>
          <w:highlight w:val="none"/>
          <w:lang w:val="en-US" w:eastAsia="zh-CN"/>
        </w:rPr>
      </w:pPr>
      <w:bookmarkStart w:id="364" w:name="_Toc40190852"/>
      <w:r>
        <w:rPr>
          <w:rFonts w:hint="eastAsia"/>
          <w:sz w:val="32"/>
          <w:szCs w:val="28"/>
          <w:highlight w:val="none"/>
          <w:lang w:val="en-US" w:eastAsia="zh-CN"/>
        </w:rPr>
        <w:t>一、项目说明</w:t>
      </w:r>
    </w:p>
    <w:p>
      <w:pPr>
        <w:numPr>
          <w:ilvl w:val="0"/>
          <w:numId w:val="0"/>
        </w:numPr>
        <w:spacing w:line="360" w:lineRule="auto"/>
        <w:ind w:firstLine="480" w:firstLineChars="200"/>
        <w:rPr>
          <w:rFonts w:hint="eastAsia" w:ascii="宋体" w:hAnsi="宋体" w:cs="宋体"/>
          <w:kern w:val="0"/>
          <w:sz w:val="24"/>
          <w:highlight w:val="none"/>
        </w:rPr>
      </w:pPr>
      <w:r>
        <w:rPr>
          <w:rFonts w:hint="default" w:asciiTheme="minorAscii" w:hAnsiTheme="minorAscii"/>
          <w:sz w:val="24"/>
          <w:szCs w:val="32"/>
          <w:highlight w:val="none"/>
          <w:lang w:val="en-US" w:eastAsia="zh-CN"/>
        </w:rPr>
        <w:t>本项目为</w:t>
      </w:r>
      <w:r>
        <w:rPr>
          <w:rFonts w:hint="eastAsia" w:asciiTheme="minorAscii" w:hAnsiTheme="minorAscii"/>
          <w:sz w:val="24"/>
          <w:szCs w:val="32"/>
          <w:highlight w:val="none"/>
          <w:lang w:val="en-US" w:eastAsia="zh-CN"/>
        </w:rPr>
        <w:t>邹城市凫山街道巷里社区沥青路面铺设及配套设施工程项目，本项目共划分一个标段，预算控制价为：268725.68元，</w:t>
      </w:r>
      <w:r>
        <w:rPr>
          <w:rFonts w:hint="eastAsia" w:ascii="宋体" w:hAnsi="宋体" w:cs="宋体"/>
          <w:kern w:val="0"/>
          <w:sz w:val="24"/>
          <w:highlight w:val="none"/>
        </w:rPr>
        <w:t>具体内容详见工程量清单和谈判文件。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Times New Roman" w:eastAsia="宋体" w:cs="Times New Roman"/>
          <w:b/>
          <w:kern w:val="2"/>
          <w:sz w:val="32"/>
          <w:szCs w:val="28"/>
          <w:highlight w:val="none"/>
          <w:lang w:val="en-US" w:eastAsia="zh-CN" w:bidi="ar-SA"/>
        </w:rPr>
      </w:pPr>
      <w:r>
        <w:rPr>
          <w:rFonts w:hint="eastAsia" w:ascii="宋体" w:hAnsi="Times New Roman" w:eastAsia="宋体" w:cs="Times New Roman"/>
          <w:b/>
          <w:kern w:val="2"/>
          <w:sz w:val="32"/>
          <w:szCs w:val="28"/>
          <w:highlight w:val="none"/>
          <w:lang w:val="en-US" w:eastAsia="zh-CN" w:bidi="ar-SA"/>
        </w:rPr>
        <w:t>二、工程量清单</w:t>
      </w: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2428"/>
        <w:gridCol w:w="839"/>
        <w:gridCol w:w="838"/>
        <w:gridCol w:w="851"/>
        <w:gridCol w:w="825"/>
        <w:gridCol w:w="576"/>
        <w:gridCol w:w="1387"/>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exact"/>
        </w:trPr>
        <w:tc>
          <w:tcPr>
            <w:tcW w:w="10080" w:type="dxa"/>
            <w:gridSpan w:val="9"/>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工程项目招标控制价汇总表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exact"/>
        </w:trPr>
        <w:tc>
          <w:tcPr>
            <w:tcW w:w="5044" w:type="dxa"/>
            <w:gridSpan w:val="4"/>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5036" w:type="dxa"/>
            <w:gridSpan w:val="5"/>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exact"/>
        </w:trPr>
        <w:tc>
          <w:tcPr>
            <w:tcW w:w="9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26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单项工程名称</w:t>
            </w:r>
          </w:p>
        </w:tc>
        <w:tc>
          <w:tcPr>
            <w:tcW w:w="1689"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4185"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exact"/>
        </w:trPr>
        <w:tc>
          <w:tcPr>
            <w:tcW w:w="93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26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689"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0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暂列金额及</w:t>
            </w:r>
            <w:r>
              <w:rPr>
                <w:rFonts w:hint="eastAsia" w:ascii="Arial" w:hAnsi="Arial"/>
                <w:color w:val="000000"/>
                <w:sz w:val="18"/>
                <w:szCs w:val="24"/>
              </w:rPr>
              <w:br w:type="textWrapping"/>
            </w:r>
            <w:r>
              <w:rPr>
                <w:rFonts w:hint="eastAsia" w:ascii="Arial" w:hAnsi="Arial"/>
                <w:color w:val="000000"/>
                <w:sz w:val="18"/>
                <w:szCs w:val="24"/>
              </w:rPr>
              <w:t>特殊项目暂估价</w:t>
            </w:r>
          </w:p>
        </w:tc>
        <w:tc>
          <w:tcPr>
            <w:tcW w:w="13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暂估价</w:t>
            </w:r>
          </w:p>
        </w:tc>
        <w:tc>
          <w:tcPr>
            <w:tcW w:w="13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exact"/>
        </w:trPr>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2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巷里社区沥青路面铺设及配套设施建设工</w:t>
            </w:r>
            <w:r>
              <w:rPr>
                <w:rFonts w:hint="eastAsia" w:ascii="Arial" w:hAnsi="Arial"/>
                <w:color w:val="000000"/>
                <w:sz w:val="18"/>
                <w:szCs w:val="24"/>
              </w:rPr>
              <w:br w:type="textWrapping"/>
            </w:r>
            <w:r>
              <w:rPr>
                <w:rFonts w:hint="eastAsia" w:ascii="Arial" w:hAnsi="Arial"/>
                <w:color w:val="000000"/>
                <w:sz w:val="18"/>
                <w:szCs w:val="24"/>
              </w:rPr>
              <w:t>程</w:t>
            </w:r>
          </w:p>
        </w:tc>
        <w:tc>
          <w:tcPr>
            <w:tcW w:w="16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268725.68</w:t>
            </w:r>
          </w:p>
        </w:tc>
        <w:tc>
          <w:tcPr>
            <w:tcW w:w="140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3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3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18119.32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7" w:hRule="exact"/>
        </w:trPr>
        <w:tc>
          <w:tcPr>
            <w:tcW w:w="9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2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6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40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3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3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exact"/>
        </w:trPr>
        <w:tc>
          <w:tcPr>
            <w:tcW w:w="4206"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68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268725.68</w:t>
            </w:r>
          </w:p>
        </w:tc>
        <w:tc>
          <w:tcPr>
            <w:tcW w:w="140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38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39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18119.32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exact"/>
        </w:trPr>
        <w:tc>
          <w:tcPr>
            <w:tcW w:w="336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353" w:type="dxa"/>
            <w:gridSpan w:val="4"/>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360"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4"/>
        <w:gridCol w:w="2183"/>
        <w:gridCol w:w="3070"/>
        <w:gridCol w:w="421"/>
        <w:gridCol w:w="1535"/>
        <w:gridCol w:w="1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6"/>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市政工程招标控制价汇总表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2"/>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25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汇总名称</w:t>
            </w:r>
          </w:p>
        </w:tc>
        <w:tc>
          <w:tcPr>
            <w:tcW w:w="3913"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525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其中暂估价（元）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分部分项工程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227332.36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A、土石方工程</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227332.36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措施项目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1085.64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单价措施费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总价措施费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1085.64</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其他项目</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暂列金额</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专业工程暂估价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特殊项目暂估价</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计日工</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采购保管费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其他检验试验费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总承包服务费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其他</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18119.32</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设备费</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22188.36</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合计=1+2+3+4+5+6</w:t>
            </w: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268725.68</w:t>
            </w: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0" w:hRule="exact"/>
        </w:trPr>
        <w:tc>
          <w:tcPr>
            <w:tcW w:w="132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525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195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9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2"/>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3"/>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r>
              <w:rPr>
                <w:rFonts w:hint="eastAsia" w:ascii="Arial" w:hAnsi="Arial"/>
                <w:color w:val="000000"/>
                <w:sz w:val="18"/>
                <w:szCs w:val="24"/>
              </w:rPr>
              <w:br w:type="textWrapping"/>
            </w:r>
            <w:r>
              <w:rPr>
                <w:rFonts w:hint="eastAsia" w:ascii="Arial" w:hAnsi="Arial"/>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其中：</w:t>
            </w:r>
            <w:r>
              <w:rPr>
                <w:rFonts w:hint="eastAsia" w:ascii="Arial" w:hAnsi="Arial"/>
                <w:color w:val="000000"/>
                <w:sz w:val="18"/>
                <w:szCs w:val="24"/>
              </w:rPr>
              <w:br w:type="textWrapping"/>
            </w:r>
            <w:r>
              <w:rPr>
                <w:rFonts w:hint="eastAsia" w:ascii="Arial" w:hAnsi="Arial"/>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exact"/>
        </w:trPr>
        <w:tc>
          <w:tcPr>
            <w:tcW w:w="10490" w:type="dxa"/>
            <w:gridSpan w:val="10"/>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b/>
                <w:color w:val="000000"/>
                <w:sz w:val="18"/>
                <w:szCs w:val="24"/>
              </w:rPr>
            </w:pPr>
            <w:r>
              <w:rPr>
                <w:rFonts w:hint="eastAsia" w:ascii="Arial" w:hAnsi="Arial"/>
                <w:b/>
                <w:color w:val="000000"/>
                <w:sz w:val="18"/>
                <w:szCs w:val="24"/>
              </w:rPr>
              <w:t>土石方工程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040203006001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沥青混凝土</w:t>
            </w:r>
            <w:r>
              <w:rPr>
                <w:rFonts w:hint="eastAsia" w:ascii="Arial" w:hAnsi="Arial"/>
                <w:color w:val="000000"/>
                <w:sz w:val="18"/>
                <w:szCs w:val="24"/>
              </w:rPr>
              <w:br w:type="textWrapping"/>
            </w:r>
            <w:r>
              <w:rPr>
                <w:rFonts w:hint="eastAsia" w:ascii="Arial" w:hAnsi="Arial"/>
                <w:color w:val="000000"/>
                <w:sz w:val="18"/>
                <w:szCs w:val="24"/>
              </w:rPr>
              <w:t>1.沥青品种：</w:t>
            </w:r>
            <w:r>
              <w:rPr>
                <w:rFonts w:hint="eastAsia" w:ascii="Arial" w:hAnsi="Arial"/>
                <w:color w:val="000000"/>
                <w:sz w:val="18"/>
                <w:szCs w:val="24"/>
              </w:rPr>
              <w:br w:type="textWrapping"/>
            </w:r>
            <w:r>
              <w:rPr>
                <w:rFonts w:hint="eastAsia" w:ascii="Arial" w:hAnsi="Arial"/>
                <w:color w:val="000000"/>
                <w:sz w:val="18"/>
                <w:szCs w:val="24"/>
              </w:rPr>
              <w:t>2.沥青混凝土种类：细粒式混凝土</w:t>
            </w:r>
            <w:r>
              <w:rPr>
                <w:rFonts w:hint="eastAsia" w:ascii="Arial" w:hAnsi="Arial"/>
                <w:color w:val="000000"/>
                <w:sz w:val="18"/>
                <w:szCs w:val="24"/>
              </w:rPr>
              <w:br w:type="textWrapping"/>
            </w:r>
            <w:r>
              <w:rPr>
                <w:rFonts w:hint="eastAsia" w:ascii="Arial" w:hAnsi="Arial"/>
                <w:color w:val="000000"/>
                <w:sz w:val="18"/>
                <w:szCs w:val="24"/>
              </w:rPr>
              <w:t>3.石料粒径：AC-13C</w:t>
            </w:r>
            <w:r>
              <w:rPr>
                <w:rFonts w:hint="eastAsia" w:ascii="Arial" w:hAnsi="Arial"/>
                <w:color w:val="000000"/>
                <w:sz w:val="18"/>
                <w:szCs w:val="24"/>
              </w:rPr>
              <w:br w:type="textWrapping"/>
            </w:r>
            <w:r>
              <w:rPr>
                <w:rFonts w:hint="eastAsia" w:ascii="Arial" w:hAnsi="Arial"/>
                <w:color w:val="000000"/>
                <w:sz w:val="18"/>
                <w:szCs w:val="24"/>
              </w:rPr>
              <w:t>4.掺和料</w:t>
            </w:r>
            <w:r>
              <w:rPr>
                <w:rFonts w:hint="eastAsia" w:ascii="Arial" w:hAnsi="Arial"/>
                <w:color w:val="000000"/>
                <w:sz w:val="18"/>
                <w:szCs w:val="24"/>
              </w:rPr>
              <w:br w:type="textWrapping"/>
            </w:r>
            <w:r>
              <w:rPr>
                <w:rFonts w:hint="eastAsia" w:ascii="Arial" w:hAnsi="Arial"/>
                <w:color w:val="000000"/>
                <w:sz w:val="18"/>
                <w:szCs w:val="24"/>
              </w:rPr>
              <w:t>5.厚度：5cm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3326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58.06</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193107.56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040203003001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透层、粘层</w:t>
            </w:r>
            <w:r>
              <w:rPr>
                <w:rFonts w:hint="eastAsia" w:ascii="Arial" w:hAnsi="Arial"/>
                <w:color w:val="000000"/>
                <w:sz w:val="18"/>
                <w:szCs w:val="24"/>
              </w:rPr>
              <w:br w:type="textWrapping"/>
            </w:r>
            <w:r>
              <w:rPr>
                <w:rFonts w:hint="eastAsia" w:ascii="Arial" w:hAnsi="Arial"/>
                <w:color w:val="000000"/>
                <w:sz w:val="18"/>
                <w:szCs w:val="24"/>
              </w:rPr>
              <w:t>1.材料品种：PC-3乳化沥青</w:t>
            </w:r>
            <w:r>
              <w:rPr>
                <w:rFonts w:hint="eastAsia" w:ascii="Arial" w:hAnsi="Arial"/>
                <w:color w:val="000000"/>
                <w:sz w:val="18"/>
                <w:szCs w:val="24"/>
              </w:rPr>
              <w:br w:type="textWrapping"/>
            </w:r>
            <w:r>
              <w:rPr>
                <w:rFonts w:hint="eastAsia" w:ascii="Arial" w:hAnsi="Arial"/>
                <w:color w:val="000000"/>
                <w:sz w:val="18"/>
                <w:szCs w:val="24"/>
              </w:rPr>
              <w:t>2.喷油量：1.0L/m2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3326</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10776.24</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040504001001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雨水检查井</w:t>
            </w:r>
            <w:r>
              <w:rPr>
                <w:rFonts w:hint="eastAsia" w:ascii="Arial" w:hAnsi="Arial"/>
                <w:color w:val="000000"/>
                <w:sz w:val="18"/>
                <w:szCs w:val="24"/>
              </w:rPr>
              <w:br w:type="textWrapping"/>
            </w:r>
            <w:r>
              <w:rPr>
                <w:rFonts w:hint="eastAsia" w:ascii="Arial" w:hAnsi="Arial"/>
                <w:color w:val="000000"/>
                <w:sz w:val="18"/>
                <w:szCs w:val="24"/>
              </w:rPr>
              <w:t xml:space="preserve">1.砖砌圆形雨水检查井 砖砌直筒式 </w:t>
            </w:r>
            <w:r>
              <w:rPr>
                <w:rFonts w:hint="eastAsia" w:ascii="Arial" w:hAnsi="Arial"/>
                <w:color w:val="000000"/>
                <w:sz w:val="18"/>
                <w:szCs w:val="24"/>
              </w:rPr>
              <w:br w:type="textWrapping"/>
            </w:r>
            <w:r>
              <w:rPr>
                <w:rFonts w:hint="eastAsia" w:ascii="Arial" w:hAnsi="Arial"/>
                <w:color w:val="000000"/>
                <w:sz w:val="18"/>
                <w:szCs w:val="24"/>
              </w:rPr>
              <w:t>井内径700mm,适用管径≤400mm,井深1.2m</w:t>
            </w:r>
            <w:r>
              <w:rPr>
                <w:rFonts w:hint="eastAsia" w:ascii="Arial" w:hAnsi="Arial"/>
                <w:color w:val="000000"/>
                <w:sz w:val="18"/>
                <w:szCs w:val="24"/>
              </w:rPr>
              <w:br w:type="textWrapping"/>
            </w:r>
            <w:r>
              <w:rPr>
                <w:rFonts w:hint="eastAsia" w:ascii="Arial" w:hAnsi="Arial"/>
                <w:color w:val="000000"/>
                <w:sz w:val="18"/>
                <w:szCs w:val="24"/>
              </w:rPr>
              <w:t>2.混凝土基础、垫层 木模板</w:t>
            </w:r>
            <w:r>
              <w:rPr>
                <w:rFonts w:hint="eastAsia" w:ascii="Arial" w:hAnsi="Arial"/>
                <w:color w:val="000000"/>
                <w:sz w:val="18"/>
                <w:szCs w:val="24"/>
              </w:rPr>
              <w:br w:type="textWrapping"/>
            </w:r>
            <w:r>
              <w:rPr>
                <w:rFonts w:hint="eastAsia" w:ascii="Arial" w:hAnsi="Arial"/>
                <w:color w:val="000000"/>
                <w:sz w:val="18"/>
                <w:szCs w:val="24"/>
              </w:rPr>
              <w:t>3.闭水试验</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座</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961.84</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8656.56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040204004001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安砌侧(平、缘)石</w:t>
            </w:r>
            <w:r>
              <w:rPr>
                <w:rFonts w:hint="eastAsia" w:ascii="Arial" w:hAnsi="Arial"/>
                <w:color w:val="000000"/>
                <w:sz w:val="18"/>
                <w:szCs w:val="24"/>
              </w:rPr>
              <w:br w:type="textWrapping"/>
            </w:r>
            <w:r>
              <w:rPr>
                <w:rFonts w:hint="eastAsia" w:ascii="Arial" w:hAnsi="Arial"/>
                <w:color w:val="000000"/>
                <w:sz w:val="18"/>
                <w:szCs w:val="24"/>
              </w:rPr>
              <w:t>1.侧石安砌 花岗石规格1m</w:t>
            </w:r>
            <w:r>
              <w:rPr>
                <w:rFonts w:hint="eastAsia" w:ascii="Arial" w:hAnsi="Arial"/>
                <w:color w:val="000000"/>
                <w:sz w:val="18"/>
                <w:szCs w:val="24"/>
              </w:rPr>
              <w:br w:type="textWrapping"/>
            </w:r>
            <w:r>
              <w:rPr>
                <w:rFonts w:hint="eastAsia" w:ascii="Arial" w:hAnsi="Arial"/>
                <w:color w:val="000000"/>
                <w:sz w:val="18"/>
                <w:szCs w:val="24"/>
              </w:rPr>
              <w:t>2.人工铺装垫层 砂</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92.45</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14792</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227332.36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227332.36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227332.36</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3"/>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6"/>
        <w:gridCol w:w="1731"/>
        <w:gridCol w:w="3491"/>
        <w:gridCol w:w="693"/>
        <w:gridCol w:w="2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5"/>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单价措施费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总价措施费</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0" w:hRule="exact"/>
        </w:trPr>
        <w:tc>
          <w:tcPr>
            <w:tcW w:w="17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5915"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7691" w:type="dxa"/>
            <w:gridSpan w:val="4"/>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279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2"/>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7"/>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2"/>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分部分项省价人机费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21068.81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人机费含量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(5) 工程定位复测费（H5）</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(6) 地下管线交叉处理（H6）</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0.61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0.61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0.38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0.58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0.58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工程定位复测费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其中：企业管理费和利润计算基础（E1）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计费基础×F05×H5</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企业管理费（E2）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利润（E3）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地下管线交叉处理</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其中：企业管理费和利润计算基础（F1）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计费基础×F06×H6</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企业管理费（F2）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利润（F3）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疫情防控措施费率</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计费基础×F54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3.98</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其中：人机费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A1+B1+C1+D1+E1+F1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286.33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2"/>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2"/>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A2+B2+C2+D2+E2+F2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A3+B3+C3+D3+E3+F3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2"/>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3"/>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混凝土模板及支架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脚手架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大型机械进出场及安</w:t>
            </w:r>
            <w:r>
              <w:rPr>
                <w:rFonts w:hint="eastAsia" w:ascii="Arial" w:hAnsi="Arial"/>
                <w:color w:val="000000"/>
                <w:sz w:val="18"/>
                <w:szCs w:val="24"/>
              </w:rPr>
              <w:br w:type="textWrapping"/>
            </w:r>
            <w:r>
              <w:rPr>
                <w:rFonts w:hint="eastAsia" w:ascii="Arial" w:hAnsi="Arial"/>
                <w:color w:val="000000"/>
                <w:sz w:val="18"/>
                <w:szCs w:val="24"/>
              </w:rPr>
              <w:t>拆</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筑岛、围堰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便道、便桥</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混凝土泵送</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施工围挡</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施工排水、降水</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地上、地下设施、建</w:t>
            </w:r>
            <w:r>
              <w:rPr>
                <w:rFonts w:hint="eastAsia" w:ascii="Arial" w:hAnsi="Arial"/>
                <w:color w:val="000000"/>
                <w:sz w:val="18"/>
                <w:szCs w:val="24"/>
              </w:rPr>
              <w:br w:type="textWrapping"/>
            </w:r>
            <w:r>
              <w:rPr>
                <w:rFonts w:hint="eastAsia" w:ascii="Arial" w:hAnsi="Arial"/>
                <w:color w:val="000000"/>
                <w:sz w:val="18"/>
                <w:szCs w:val="24"/>
              </w:rPr>
              <w:t>筑物临时保护设施</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3.10</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洞内临时设施</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交通维护及疏导</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3"/>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4"/>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13"/>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5"/>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00010040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综合工日（市政)</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76.6281</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117.00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8965.49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90.00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6896.53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J200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人工</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工日</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130.00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02090013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塑料薄膜</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m2</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7.4925</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13.94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13.94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04010019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普通硅酸盐水泥 42.5MPa</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442.48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442.48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5</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04030003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黄砂(过筛中砂)</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271.84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271.84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04030019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中粗砂</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48.9600</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252.43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12358.97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252.43</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12358.97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7</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04070007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石屑</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8.4813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145.63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1235.13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145.63</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1235.13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04130001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xml:space="preserve">烧结煤矸石普通砖 </w:t>
            </w:r>
            <w:r>
              <w:rPr>
                <w:rFonts w:hint="eastAsia" w:ascii="Arial" w:hAnsi="Arial"/>
                <w:color w:val="000000"/>
                <w:sz w:val="18"/>
                <w:szCs w:val="24"/>
              </w:rPr>
              <w:br w:type="textWrapping"/>
            </w:r>
            <w:r>
              <w:rPr>
                <w:rFonts w:hint="eastAsia" w:ascii="Arial" w:hAnsi="Arial"/>
                <w:color w:val="000000"/>
                <w:sz w:val="18"/>
                <w:szCs w:val="24"/>
              </w:rPr>
              <w:t>240×115×53</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千块</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1.8198</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737.86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1342.76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737.86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1342.76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04270075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钢筋混凝土盖板</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0.6453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1292.04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833.75</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1292.04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833.75</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11310001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铸铁踏步</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个</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10.8756</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32.30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351.28</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32.30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351.28</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13010071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煤焦油沥青漆 L01-17</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2.4273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16.46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6.78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16.46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13310001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乳化沥青</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2374.7640</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3.84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9119.09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3.84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9119.09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14030001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柴油</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t</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0.1663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5283.19</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878.59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5283.19</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878.59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17290001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钢筋混凝土管 d300</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1.3851</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110.32</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79.65</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110.32</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34110003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水</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7.9309</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50.44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50.44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34110009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2.3193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36010005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铸铁井盖、井座 φ700重</w:t>
            </w:r>
            <w:r>
              <w:rPr>
                <w:rFonts w:hint="eastAsia" w:ascii="Arial" w:hAnsi="Arial"/>
                <w:color w:val="000000"/>
                <w:sz w:val="18"/>
                <w:szCs w:val="24"/>
              </w:rPr>
              <w:br w:type="textWrapping"/>
            </w:r>
            <w:r>
              <w:rPr>
                <w:rFonts w:hint="eastAsia" w:ascii="Arial" w:hAnsi="Arial"/>
                <w:color w:val="000000"/>
                <w:sz w:val="18"/>
                <w:szCs w:val="24"/>
              </w:rPr>
              <w:t>型</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套</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2.7000</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648.58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1751.17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648.58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1751.17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80010027</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预拌防水水泥砂浆 1:2</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0.1643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631.07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103.68</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631.07</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103.68</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19</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80010045</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xml:space="preserve">预拌砌筑砂浆(干拌) DM </w:t>
            </w:r>
            <w:r>
              <w:rPr>
                <w:rFonts w:hint="eastAsia" w:ascii="Arial" w:hAnsi="Arial"/>
                <w:color w:val="000000"/>
                <w:sz w:val="18"/>
                <w:szCs w:val="24"/>
              </w:rPr>
              <w:br w:type="textWrapping"/>
            </w:r>
            <w:r>
              <w:rPr>
                <w:rFonts w:hint="eastAsia" w:ascii="Arial" w:hAnsi="Arial"/>
                <w:color w:val="000000"/>
                <w:sz w:val="18"/>
                <w:szCs w:val="24"/>
              </w:rPr>
              <w:t>M7.5</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1.2150</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582.52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707.76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582.52</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707.76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80010049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xml:space="preserve">预拌地面砂浆(干拌) DS </w:t>
            </w:r>
            <w:r>
              <w:rPr>
                <w:rFonts w:hint="eastAsia" w:ascii="Arial" w:hAnsi="Arial"/>
                <w:color w:val="000000"/>
                <w:sz w:val="18"/>
                <w:szCs w:val="24"/>
              </w:rPr>
              <w:br w:type="textWrapping"/>
            </w:r>
            <w:r>
              <w:rPr>
                <w:rFonts w:hint="eastAsia" w:ascii="Arial" w:hAnsi="Arial"/>
                <w:color w:val="000000"/>
                <w:sz w:val="18"/>
                <w:szCs w:val="24"/>
              </w:rPr>
              <w:t>M15</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0.3152</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425.24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134.04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425.24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134.04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21</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80050009</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水泥抹灰砂浆 1:2</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0.1164</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544.30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63.36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544.30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63.36</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22</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80210041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预拌混凝土 C10</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1.5525</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398.06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617.99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398.06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617.99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23</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80210051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预拌混凝土 C25</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1.5120</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417.48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631.23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417.48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631.23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88000053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其他材料费</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1.0000</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345.02</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345.02</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345.02</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345.02</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25</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J301</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汽油</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6.11</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6.11</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J302</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柴油</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kg</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5.28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27</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J303</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电</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kW·h</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0.80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990120020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钢轮内燃压路机 8t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0.0666</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385.06</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25.64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385.06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25.64</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29</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990121040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轮胎压路机 26t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2.1286</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864.00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1839.11</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864.00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1839.11</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990122040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钢轮振动压路机 12t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4.6897</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729.89</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3422.97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729.89</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3422.97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31</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990122050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钢轮振动压路机 15t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4.2905</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952.10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4084.99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952.10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4084.99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32</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990140010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汽车式沥青喷洒机 4000L</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0.0333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781.67</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26.03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781.67</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26.03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33</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990142030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沥青混凝土摊铺机 8t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2.1286</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1206.63</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2568.43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1206.63</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2568.43</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5"/>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
        <w:gridCol w:w="1039"/>
        <w:gridCol w:w="2047"/>
        <w:gridCol w:w="180"/>
        <w:gridCol w:w="843"/>
        <w:gridCol w:w="918"/>
        <w:gridCol w:w="722"/>
        <w:gridCol w:w="828"/>
        <w:gridCol w:w="211"/>
        <w:gridCol w:w="707"/>
        <w:gridCol w:w="1039"/>
        <w:gridCol w:w="70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3"/>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5"/>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1039"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代号</w:t>
            </w:r>
          </w:p>
        </w:tc>
        <w:tc>
          <w:tcPr>
            <w:tcW w:w="222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84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91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7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定额</w:t>
            </w:r>
          </w:p>
        </w:tc>
        <w:tc>
          <w:tcPr>
            <w:tcW w:w="174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地方</w:t>
            </w:r>
          </w:p>
        </w:tc>
        <w:tc>
          <w:tcPr>
            <w:tcW w:w="153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暂估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1039"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222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84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91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jc w:val="left"/>
              <w:rPr>
                <w:rFonts w:hint="default"/>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990304004</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汽车式起重机 8t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0.0513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724.50</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37.17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724.50</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37.17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35</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990401030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载重汽车 8t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0.0513</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475.14</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24.37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475.14</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24.37</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36</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990406010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机动翻斗车 1t</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0.1939</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206.55</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40.05</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206.55</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40.05</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37</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990611010</w:t>
            </w: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干混砂浆罐式搅拌机</w:t>
            </w: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台班</w:t>
            </w: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0.0657</w:t>
            </w: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249.48</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16.39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249.48</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16.39</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6" w:hRule="exact"/>
        </w:trPr>
        <w:tc>
          <w:tcPr>
            <w:tcW w:w="4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222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84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617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0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51717.48</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103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49648.52</w:t>
            </w:r>
          </w:p>
        </w:tc>
        <w:tc>
          <w:tcPr>
            <w:tcW w:w="70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w:t>
            </w:r>
          </w:p>
        </w:tc>
        <w:tc>
          <w:tcPr>
            <w:tcW w:w="82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3"/>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5"/>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5"/>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2544"/>
        <w:gridCol w:w="1264"/>
        <w:gridCol w:w="1430"/>
        <w:gridCol w:w="797"/>
        <w:gridCol w:w="632"/>
        <w:gridCol w:w="1430"/>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8"/>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主材汇总表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3"/>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名称/规格</w:t>
            </w: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单位</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数量</w:t>
            </w: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单价</w:t>
            </w: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细粒式沥青混凝土</w:t>
            </w: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m3</w:t>
            </w: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167.96</w:t>
            </w: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1017.70</w:t>
            </w: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170935.95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8" w:hRule="exact"/>
        </w:trPr>
        <w:tc>
          <w:tcPr>
            <w:tcW w:w="96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80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42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060" w:type="dxa"/>
            <w:gridSpan w:val="7"/>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合计</w:t>
            </w:r>
          </w:p>
        </w:tc>
        <w:tc>
          <w:tcPr>
            <w:tcW w:w="1430"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170935.95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日期：2023-07-20</w:t>
            </w:r>
          </w:p>
        </w:tc>
        <w:tc>
          <w:tcPr>
            <w:tcW w:w="3491" w:type="dxa"/>
            <w:gridSpan w:val="3"/>
            <w:tcBorders>
              <w:top w:val="nil"/>
              <w:left w:val="nil"/>
              <w:bottom w:val="nil"/>
              <w:right w:val="nil"/>
              <w:tl2br w:val="nil"/>
              <w:tr2bl w:val="nil"/>
            </w:tcBorders>
            <w:noWrap w:val="0"/>
            <w:vAlign w:val="center"/>
          </w:tcPr>
          <w:p>
            <w:pPr>
              <w:jc w:val="center"/>
              <w:rPr>
                <w:rFonts w:hint="eastAsia" w:ascii="Arial" w:hAnsi="Arial"/>
                <w:color w:val="000000"/>
                <w:sz w:val="20"/>
                <w:szCs w:val="24"/>
              </w:rPr>
            </w:pP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胜通软件</w:t>
            </w:r>
          </w:p>
        </w:tc>
      </w:tr>
    </w:tbl>
    <w:p>
      <w:pPr>
        <w:jc w:val="left"/>
        <w:rPr>
          <w:rFonts w:hint="default"/>
          <w:sz w:val="24"/>
          <w:szCs w:val="24"/>
        </w:rPr>
        <w:sectPr>
          <w:pgSz w:w="11861" w:h="16775"/>
          <w:pgMar w:top="1121" w:right="598" w:bottom="1121" w:left="747" w:header="720" w:footer="720" w:gutter="0"/>
          <w:lnNumType w:countBy="0" w:distance="360"/>
          <w:cols w:space="720" w:num="1"/>
        </w:sectPr>
      </w:pPr>
    </w:p>
    <w:tbl>
      <w:tblPr>
        <w:tblStyle w:val="49"/>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spacing w:line="48" w:lineRule="atLeast"/>
              <w:ind w:left="5"/>
              <w:jc w:val="center"/>
              <w:rPr>
                <w:rFonts w:hint="eastAsia" w:ascii="Arial" w:hAnsi="Arial"/>
                <w:b/>
                <w:color w:val="000000"/>
                <w:sz w:val="32"/>
                <w:szCs w:val="24"/>
              </w:rPr>
            </w:pPr>
            <w:r>
              <w:rPr>
                <w:rFonts w:hint="eastAsia" w:ascii="Arial" w:hAnsi="Arial"/>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exact"/>
        </w:trPr>
        <w:tc>
          <w:tcPr>
            <w:tcW w:w="3507" w:type="dxa"/>
            <w:gridSpan w:val="2"/>
            <w:tcBorders>
              <w:top w:val="nil"/>
              <w:left w:val="nil"/>
              <w:bottom w:val="nil"/>
              <w:right w:val="nil"/>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工程名称：巷里社区沥青路面铺设及配套设施建设工程</w:t>
            </w:r>
          </w:p>
        </w:tc>
        <w:tc>
          <w:tcPr>
            <w:tcW w:w="3491" w:type="dxa"/>
            <w:gridSpan w:val="2"/>
            <w:tcBorders>
              <w:top w:val="nil"/>
              <w:left w:val="nil"/>
              <w:bottom w:val="nil"/>
              <w:right w:val="nil"/>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标段：</w:t>
            </w:r>
          </w:p>
        </w:tc>
        <w:tc>
          <w:tcPr>
            <w:tcW w:w="3492" w:type="dxa"/>
            <w:gridSpan w:val="3"/>
            <w:tcBorders>
              <w:top w:val="nil"/>
              <w:left w:val="nil"/>
              <w:bottom w:val="nil"/>
              <w:right w:val="nil"/>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分部分项工程费+措施项目费+其他项目费-疫</w:t>
            </w:r>
            <w:r>
              <w:rPr>
                <w:rFonts w:hint="eastAsia" w:ascii="Arial" w:hAnsi="Arial"/>
                <w:color w:val="000000"/>
                <w:sz w:val="18"/>
                <w:szCs w:val="24"/>
              </w:rPr>
              <w:br w:type="textWrapping"/>
            </w:r>
            <w:r>
              <w:rPr>
                <w:rFonts w:hint="eastAsia" w:ascii="Arial" w:hAnsi="Arial"/>
                <w:color w:val="000000"/>
                <w:sz w:val="18"/>
                <w:szCs w:val="24"/>
              </w:rPr>
              <w:t>情防控措施费-智慧工地单价措施</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228059.4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分部分项工程费+措施项目费+其他项目费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228418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规费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18119.32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安全文明施工费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13067.81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其中：1. 安全施工费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1.75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3991.04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2. 环境保护费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1.33</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3033.19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3. 文明施工费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0.84</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1915.7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4. 临时设施费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1.81</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4127.88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社会保险费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他项目费-疫情防控措施费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1.52</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3466.5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住房公积金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0.59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1345.55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建设项目工伤保险</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按工程所在地相关规定计算</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0.105</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239.46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1.5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　优质优价费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税金</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分部分项工程费+措施项目费+其</w:t>
            </w:r>
            <w:r>
              <w:rPr>
                <w:rFonts w:hint="eastAsia" w:ascii="Arial" w:hAnsi="Arial"/>
                <w:color w:val="000000"/>
                <w:sz w:val="18"/>
                <w:szCs w:val="24"/>
              </w:rPr>
              <w:br w:type="textWrapping"/>
            </w:r>
            <w:r>
              <w:rPr>
                <w:rFonts w:hint="eastAsia" w:ascii="Arial" w:hAnsi="Arial"/>
                <w:color w:val="000000"/>
                <w:sz w:val="18"/>
                <w:szCs w:val="24"/>
              </w:rPr>
              <w:t>他项目费+规费+设备费-甲供材料</w:t>
            </w:r>
            <w:r>
              <w:rPr>
                <w:rFonts w:hint="eastAsia" w:ascii="Arial" w:hAnsi="Arial"/>
                <w:color w:val="000000"/>
                <w:sz w:val="18"/>
                <w:szCs w:val="24"/>
              </w:rPr>
              <w:br w:type="textWrapping"/>
            </w:r>
            <w:r>
              <w:rPr>
                <w:rFonts w:hint="eastAsia" w:ascii="Arial" w:hAnsi="Arial"/>
                <w:color w:val="000000"/>
                <w:sz w:val="18"/>
                <w:szCs w:val="24"/>
              </w:rPr>
              <w:t>费-甲供主材费-甲供设备费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center"/>
              <w:rPr>
                <w:rFonts w:hint="eastAsia" w:ascii="Arial" w:hAnsi="Arial"/>
                <w:color w:val="000000"/>
                <w:sz w:val="18"/>
                <w:szCs w:val="24"/>
              </w:rPr>
            </w:pPr>
            <w:r>
              <w:rPr>
                <w:rFonts w:hint="eastAsia" w:ascii="Arial" w:hAnsi="Arial"/>
                <w:color w:val="000000"/>
                <w:sz w:val="18"/>
                <w:szCs w:val="24"/>
              </w:rPr>
              <w:t>9</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22188.36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left"/>
              <w:rPr>
                <w:rFonts w:hint="eastAsia" w:ascii="Arial" w:hAnsi="Arial"/>
                <w:color w:val="000000"/>
                <w:sz w:val="18"/>
                <w:szCs w:val="24"/>
              </w:rPr>
            </w:pPr>
            <w:r>
              <w:rPr>
                <w:rFonts w:hint="eastAsia" w:ascii="Arial" w:hAnsi="Arial"/>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spacing w:line="48" w:lineRule="atLeast"/>
              <w:ind w:left="5"/>
              <w:jc w:val="right"/>
              <w:rPr>
                <w:rFonts w:hint="eastAsia" w:ascii="Arial" w:hAnsi="Arial"/>
                <w:color w:val="000000"/>
                <w:sz w:val="18"/>
                <w:szCs w:val="24"/>
              </w:rPr>
            </w:pPr>
            <w:r>
              <w:rPr>
                <w:rFonts w:hint="eastAsia" w:ascii="Arial" w:hAnsi="Arial"/>
                <w:color w:val="000000"/>
                <w:sz w:val="18"/>
                <w:szCs w:val="24"/>
              </w:rPr>
              <w:t>40307.68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left"/>
              <w:rPr>
                <w:rFonts w:hint="eastAsia" w:ascii="Arial" w:hAnsi="Arial"/>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center"/>
              <w:rPr>
                <w:rFonts w:hint="eastAsia" w:ascii="Arial" w:hAnsi="Arial"/>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jc w:val="right"/>
              <w:rPr>
                <w:rFonts w:hint="eastAsia" w:ascii="Arial" w:hAnsi="Arial"/>
                <w:color w:val="000000"/>
                <w:sz w:val="20"/>
                <w:szCs w:val="24"/>
              </w:rPr>
            </w:pPr>
          </w:p>
        </w:tc>
      </w:tr>
    </w:tbl>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Times New Roman" w:eastAsia="宋体" w:cs="Times New Roman"/>
          <w:b/>
          <w:kern w:val="2"/>
          <w:sz w:val="32"/>
          <w:szCs w:val="28"/>
          <w:highlight w:val="none"/>
          <w:lang w:val="en-US" w:eastAsia="zh-CN" w:bidi="ar-SA"/>
        </w:rPr>
        <w:sectPr>
          <w:pgSz w:w="11861" w:h="16775"/>
          <w:pgMar w:top="1121" w:right="598" w:bottom="1121" w:left="747" w:header="720" w:footer="720" w:gutter="0"/>
          <w:lnNumType w:countBy="0" w:distance="360"/>
          <w:pgNumType w:fmt="decimal"/>
          <w:cols w:space="720" w:num="1"/>
        </w:sectPr>
      </w:pPr>
    </w:p>
    <w:p>
      <w:pPr>
        <w:rPr>
          <w:highlight w:val="none"/>
        </w:rPr>
      </w:pP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Ascii" w:hAnsiTheme="minorAscii"/>
          <w:sz w:val="24"/>
          <w:szCs w:val="32"/>
          <w:highlight w:val="none"/>
          <w:lang w:val="en-US" w:eastAsia="zh-CN"/>
        </w:rPr>
      </w:pPr>
      <w:r>
        <w:rPr>
          <w:rFonts w:hint="eastAsia" w:hAnsi="宋体"/>
          <w:b/>
          <w:sz w:val="28"/>
          <w:szCs w:val="28"/>
          <w:highlight w:val="none"/>
          <w:lang w:val="en-US" w:eastAsia="zh-CN"/>
        </w:rPr>
        <w:t>三</w:t>
      </w:r>
      <w:r>
        <w:rPr>
          <w:rFonts w:hint="eastAsia" w:hAnsi="宋体"/>
          <w:b/>
          <w:sz w:val="28"/>
          <w:szCs w:val="28"/>
          <w:highlight w:val="none"/>
        </w:rPr>
        <w:t>、付款方式</w:t>
      </w:r>
    </w:p>
    <w:p>
      <w:pPr>
        <w:pStyle w:val="62"/>
        <w:pageBreakBefore w:val="0"/>
        <w:widowControl w:val="0"/>
        <w:tabs>
          <w:tab w:val="left" w:pos="1171"/>
        </w:tabs>
        <w:kinsoku/>
        <w:wordWrap/>
        <w:overflowPunct/>
        <w:topLinePunct w:val="0"/>
        <w:autoSpaceDE/>
        <w:autoSpaceDN/>
        <w:bidi w:val="0"/>
        <w:adjustRightInd/>
        <w:snapToGrid/>
        <w:spacing w:before="187" w:line="360" w:lineRule="auto"/>
        <w:ind w:right="419" w:firstLine="0" w:firstLineChars="0"/>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工程完工并经审计验收合格后付至合同价款60%，验收合格一年内付至合同价款97%，剩余3%作为质保金，质保期结束后无息付清。</w:t>
      </w:r>
    </w:p>
    <w:p>
      <w:pPr>
        <w:pStyle w:val="62"/>
        <w:pageBreakBefore w:val="0"/>
        <w:widowControl w:val="0"/>
        <w:tabs>
          <w:tab w:val="left" w:pos="1171"/>
        </w:tabs>
        <w:kinsoku/>
        <w:wordWrap/>
        <w:overflowPunct/>
        <w:topLinePunct w:val="0"/>
        <w:autoSpaceDE/>
        <w:autoSpaceDN/>
        <w:bidi w:val="0"/>
        <w:adjustRightInd/>
        <w:snapToGrid/>
        <w:spacing w:before="187" w:line="360" w:lineRule="auto"/>
        <w:ind w:right="419" w:firstLine="0" w:firstLineChars="0"/>
        <w:textAlignment w:val="auto"/>
        <w:rPr>
          <w:rFonts w:hint="eastAsia" w:hAnsi="宋体"/>
          <w:b/>
          <w:sz w:val="28"/>
          <w:szCs w:val="28"/>
          <w:highlight w:val="none"/>
        </w:rPr>
      </w:pPr>
      <w:r>
        <w:rPr>
          <w:rFonts w:hint="eastAsia" w:hAnsi="宋体"/>
          <w:b/>
          <w:sz w:val="28"/>
          <w:szCs w:val="28"/>
          <w:highlight w:val="none"/>
          <w:lang w:val="en-US" w:eastAsia="zh-CN"/>
        </w:rPr>
        <w:t>四、</w:t>
      </w:r>
      <w:r>
        <w:rPr>
          <w:rFonts w:hint="eastAsia" w:hAnsi="宋体"/>
          <w:b/>
          <w:sz w:val="28"/>
          <w:szCs w:val="28"/>
          <w:highlight w:val="none"/>
        </w:rPr>
        <w:t>工期</w:t>
      </w:r>
      <w:r>
        <w:rPr>
          <w:rFonts w:hint="eastAsia" w:hAnsi="宋体"/>
          <w:b/>
          <w:sz w:val="28"/>
          <w:szCs w:val="28"/>
          <w:highlight w:val="none"/>
        </w:rPr>
        <w:tab/>
      </w:r>
    </w:p>
    <w:p>
      <w:pPr>
        <w:pStyle w:val="62"/>
        <w:pageBreakBefore w:val="0"/>
        <w:widowControl w:val="0"/>
        <w:tabs>
          <w:tab w:val="left" w:pos="1171"/>
        </w:tabs>
        <w:kinsoku/>
        <w:wordWrap/>
        <w:overflowPunct/>
        <w:topLinePunct w:val="0"/>
        <w:autoSpaceDE/>
        <w:autoSpaceDN/>
        <w:bidi w:val="0"/>
        <w:adjustRightInd/>
        <w:snapToGrid/>
        <w:spacing w:before="187" w:line="360" w:lineRule="auto"/>
        <w:ind w:right="419" w:firstLine="480"/>
        <w:textAlignment w:val="auto"/>
        <w:rPr>
          <w:rFonts w:hint="eastAsia" w:hAnsi="宋体" w:eastAsia="宋体"/>
          <w:b w:val="0"/>
          <w:bCs w:val="0"/>
          <w:szCs w:val="24"/>
          <w:highlight w:val="none"/>
          <w:lang w:eastAsia="zh-CN"/>
        </w:rPr>
      </w:pPr>
      <w:r>
        <w:rPr>
          <w:rFonts w:hint="eastAsia" w:ascii="宋体" w:hAnsi="宋体" w:eastAsia="宋体" w:cs="宋体"/>
          <w:b w:val="0"/>
          <w:bCs w:val="0"/>
          <w:sz w:val="24"/>
          <w:highlight w:val="none"/>
          <w:lang w:val="en-US" w:eastAsia="zh-CN"/>
        </w:rPr>
        <w:t>20</w:t>
      </w:r>
      <w:r>
        <w:rPr>
          <w:rFonts w:ascii="宋体" w:hAnsi="宋体" w:eastAsia="宋体" w:cs="宋体"/>
          <w:b w:val="0"/>
          <w:bCs w:val="0"/>
          <w:sz w:val="24"/>
          <w:highlight w:val="none"/>
        </w:rPr>
        <w:t>日历天</w:t>
      </w:r>
    </w:p>
    <w:p>
      <w:pPr>
        <w:pStyle w:val="62"/>
        <w:pageBreakBefore w:val="0"/>
        <w:widowControl w:val="0"/>
        <w:numPr>
          <w:ilvl w:val="0"/>
          <w:numId w:val="5"/>
        </w:numPr>
        <w:tabs>
          <w:tab w:val="left" w:pos="1171"/>
        </w:tabs>
        <w:kinsoku/>
        <w:wordWrap/>
        <w:overflowPunct/>
        <w:topLinePunct w:val="0"/>
        <w:autoSpaceDE/>
        <w:autoSpaceDN/>
        <w:bidi w:val="0"/>
        <w:adjustRightInd/>
        <w:snapToGrid/>
        <w:spacing w:before="187" w:line="360" w:lineRule="auto"/>
        <w:ind w:left="0" w:leftChars="0" w:right="419" w:firstLine="0" w:firstLineChars="0"/>
        <w:textAlignment w:val="auto"/>
        <w:rPr>
          <w:rFonts w:hint="eastAsia" w:hAnsi="宋体"/>
          <w:b/>
          <w:sz w:val="28"/>
          <w:szCs w:val="28"/>
          <w:highlight w:val="none"/>
        </w:rPr>
      </w:pPr>
      <w:r>
        <w:rPr>
          <w:rFonts w:hint="eastAsia" w:hAnsi="宋体"/>
          <w:b/>
          <w:sz w:val="28"/>
          <w:szCs w:val="28"/>
          <w:highlight w:val="none"/>
          <w:lang w:val="en-US" w:eastAsia="zh-CN"/>
        </w:rPr>
        <w:t>质保期</w:t>
      </w:r>
      <w:r>
        <w:rPr>
          <w:rFonts w:hint="eastAsia" w:hAnsi="宋体"/>
          <w:b/>
          <w:sz w:val="28"/>
          <w:szCs w:val="28"/>
          <w:highlight w:val="none"/>
        </w:rPr>
        <w:tab/>
      </w:r>
    </w:p>
    <w:p>
      <w:pPr>
        <w:pStyle w:val="62"/>
        <w:keepNext w:val="0"/>
        <w:keepLines w:val="0"/>
        <w:pageBreakBefore w:val="0"/>
        <w:widowControl w:val="0"/>
        <w:tabs>
          <w:tab w:val="left" w:pos="1171"/>
        </w:tabs>
        <w:kinsoku/>
        <w:wordWrap/>
        <w:overflowPunct/>
        <w:topLinePunct w:val="0"/>
        <w:autoSpaceDE/>
        <w:autoSpaceDN/>
        <w:bidi w:val="0"/>
        <w:adjustRightInd/>
        <w:snapToGrid/>
        <w:spacing w:before="187" w:line="360" w:lineRule="auto"/>
        <w:ind w:right="42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验收合格之日起2年。</w:t>
      </w:r>
    </w:p>
    <w:p>
      <w:pPr>
        <w:pStyle w:val="62"/>
        <w:pageBreakBefore w:val="0"/>
        <w:widowControl w:val="0"/>
        <w:tabs>
          <w:tab w:val="left" w:pos="1171"/>
        </w:tabs>
        <w:kinsoku/>
        <w:wordWrap/>
        <w:overflowPunct/>
        <w:topLinePunct w:val="0"/>
        <w:autoSpaceDE/>
        <w:autoSpaceDN/>
        <w:bidi w:val="0"/>
        <w:adjustRightInd/>
        <w:snapToGrid/>
        <w:spacing w:before="187" w:line="360" w:lineRule="auto"/>
        <w:ind w:left="0" w:leftChars="0" w:right="419" w:firstLine="0" w:firstLineChars="0"/>
        <w:textAlignment w:val="auto"/>
        <w:rPr>
          <w:rFonts w:hint="eastAsia" w:hAnsi="宋体"/>
          <w:b/>
          <w:sz w:val="28"/>
          <w:szCs w:val="28"/>
          <w:highlight w:val="none"/>
        </w:rPr>
      </w:pPr>
      <w:r>
        <w:rPr>
          <w:rFonts w:hint="eastAsia" w:hAnsi="宋体"/>
          <w:b/>
          <w:sz w:val="28"/>
          <w:szCs w:val="28"/>
          <w:highlight w:val="none"/>
          <w:lang w:val="en-US" w:eastAsia="zh-CN"/>
        </w:rPr>
        <w:t>六</w:t>
      </w:r>
      <w:r>
        <w:rPr>
          <w:rFonts w:hint="eastAsia" w:hAnsi="宋体"/>
          <w:b/>
          <w:sz w:val="28"/>
          <w:szCs w:val="28"/>
          <w:highlight w:val="none"/>
        </w:rPr>
        <w:t>、质量保修责任</w:t>
      </w:r>
    </w:p>
    <w:p>
      <w:pPr>
        <w:pStyle w:val="62"/>
        <w:keepNext w:val="0"/>
        <w:keepLines w:val="0"/>
        <w:pageBreakBefore w:val="0"/>
        <w:widowControl w:val="0"/>
        <w:tabs>
          <w:tab w:val="left" w:pos="1171"/>
        </w:tabs>
        <w:kinsoku/>
        <w:wordWrap/>
        <w:overflowPunct/>
        <w:topLinePunct w:val="0"/>
        <w:autoSpaceDE/>
        <w:autoSpaceDN/>
        <w:bidi w:val="0"/>
        <w:adjustRightInd/>
        <w:snapToGrid/>
        <w:spacing w:before="187" w:line="360" w:lineRule="auto"/>
        <w:ind w:right="42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1．属于保修范围、内容的项目，成交供应商应当在接到保修通知之日起 7 天内派人保修。承包人不在约定期限内派人保修的，采购人可以委托他人修理。</w:t>
      </w:r>
    </w:p>
    <w:p>
      <w:pPr>
        <w:pStyle w:val="62"/>
        <w:keepNext w:val="0"/>
        <w:keepLines w:val="0"/>
        <w:pageBreakBefore w:val="0"/>
        <w:widowControl w:val="0"/>
        <w:tabs>
          <w:tab w:val="left" w:pos="1171"/>
        </w:tabs>
        <w:kinsoku/>
        <w:wordWrap/>
        <w:overflowPunct/>
        <w:topLinePunct w:val="0"/>
        <w:autoSpaceDE/>
        <w:autoSpaceDN/>
        <w:bidi w:val="0"/>
        <w:adjustRightInd/>
        <w:snapToGrid/>
        <w:spacing w:before="187" w:line="360" w:lineRule="auto"/>
        <w:ind w:right="42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2．发生紧急事故需抢修的，成交供应商在接到事故通知后，应当立即到达事故现场抢修。</w:t>
      </w:r>
    </w:p>
    <w:p>
      <w:pPr>
        <w:pStyle w:val="62"/>
        <w:keepNext w:val="0"/>
        <w:keepLines w:val="0"/>
        <w:pageBreakBefore w:val="0"/>
        <w:widowControl w:val="0"/>
        <w:tabs>
          <w:tab w:val="left" w:pos="1171"/>
        </w:tabs>
        <w:kinsoku/>
        <w:wordWrap/>
        <w:overflowPunct/>
        <w:topLinePunct w:val="0"/>
        <w:autoSpaceDE/>
        <w:autoSpaceDN/>
        <w:bidi w:val="0"/>
        <w:adjustRightInd/>
        <w:snapToGrid/>
        <w:spacing w:before="187" w:line="360" w:lineRule="auto"/>
        <w:ind w:right="42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对于涉及结构安全的质量问题，应当按照《建设工程质量管理条例》的规定，立即向当地建设行政主管部门和有关部门报告，采取安全防范措施，并由原设计人或者具有相应资质等级的设计人提出保修方案，成交供应商实施保修。</w:t>
      </w:r>
    </w:p>
    <w:p>
      <w:pPr>
        <w:pStyle w:val="62"/>
        <w:keepNext w:val="0"/>
        <w:keepLines w:val="0"/>
        <w:pageBreakBefore w:val="0"/>
        <w:widowControl w:val="0"/>
        <w:tabs>
          <w:tab w:val="left" w:pos="1171"/>
        </w:tabs>
        <w:kinsoku/>
        <w:wordWrap/>
        <w:overflowPunct/>
        <w:topLinePunct w:val="0"/>
        <w:autoSpaceDE/>
        <w:autoSpaceDN/>
        <w:bidi w:val="0"/>
        <w:adjustRightInd/>
        <w:snapToGrid/>
        <w:spacing w:before="187" w:line="360" w:lineRule="auto"/>
        <w:ind w:right="42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 质量保修完成后，由采购人组织验收。</w:t>
      </w:r>
    </w:p>
    <w:p>
      <w:pPr>
        <w:pStyle w:val="62"/>
        <w:keepNext w:val="0"/>
        <w:keepLines w:val="0"/>
        <w:pageBreakBefore w:val="0"/>
        <w:widowControl w:val="0"/>
        <w:tabs>
          <w:tab w:val="left" w:pos="1171"/>
        </w:tabs>
        <w:kinsoku/>
        <w:wordWrap/>
        <w:overflowPunct/>
        <w:topLinePunct w:val="0"/>
        <w:autoSpaceDE/>
        <w:autoSpaceDN/>
        <w:bidi w:val="0"/>
        <w:adjustRightInd/>
        <w:snapToGrid/>
        <w:spacing w:before="187" w:line="360" w:lineRule="auto"/>
        <w:ind w:right="42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5.保修期内供应商要提供方便快捷的售后服务，出现质量问题，接通知后 3 小时内到达现场，否则供应商须承担相应责任。如有特殊事项不能按时到场或处理问题，须事先取得采购人同意。未经采购人同意，如不能按时到场，发生的全部经济损失由成交供应商承担。供应商负责本项目工程直至验收合格并交付使用的全部费用及质保期内其所提供服务及配件的所有费用。</w:t>
      </w:r>
    </w:p>
    <w:p>
      <w:pPr>
        <w:pStyle w:val="62"/>
        <w:pageBreakBefore w:val="0"/>
        <w:widowControl w:val="0"/>
        <w:tabs>
          <w:tab w:val="left" w:pos="1171"/>
        </w:tabs>
        <w:kinsoku/>
        <w:wordWrap/>
        <w:overflowPunct/>
        <w:topLinePunct w:val="0"/>
        <w:autoSpaceDE/>
        <w:autoSpaceDN/>
        <w:bidi w:val="0"/>
        <w:adjustRightInd/>
        <w:snapToGrid/>
        <w:spacing w:before="187" w:line="360" w:lineRule="auto"/>
        <w:ind w:right="419" w:firstLine="0" w:firstLineChars="0"/>
        <w:textAlignment w:val="auto"/>
        <w:rPr>
          <w:rFonts w:hint="eastAsia" w:hAnsi="宋体"/>
          <w:b/>
          <w:sz w:val="28"/>
          <w:szCs w:val="28"/>
          <w:highlight w:val="none"/>
        </w:rPr>
      </w:pPr>
      <w:r>
        <w:rPr>
          <w:rFonts w:hint="eastAsia" w:hAnsi="宋体"/>
          <w:b/>
          <w:sz w:val="28"/>
          <w:szCs w:val="28"/>
          <w:highlight w:val="none"/>
          <w:lang w:val="en-US" w:eastAsia="zh-CN"/>
        </w:rPr>
        <w:t>七</w:t>
      </w:r>
      <w:r>
        <w:rPr>
          <w:rFonts w:hint="eastAsia" w:hAnsi="宋体"/>
          <w:b/>
          <w:sz w:val="28"/>
          <w:szCs w:val="28"/>
          <w:highlight w:val="none"/>
        </w:rPr>
        <w:t>、质量保修范围和内容</w:t>
      </w:r>
    </w:p>
    <w:p>
      <w:pPr>
        <w:pStyle w:val="62"/>
        <w:pageBreakBefore w:val="0"/>
        <w:widowControl w:val="0"/>
        <w:tabs>
          <w:tab w:val="left" w:pos="1171"/>
        </w:tabs>
        <w:kinsoku/>
        <w:wordWrap/>
        <w:overflowPunct/>
        <w:topLinePunct w:val="0"/>
        <w:autoSpaceDE/>
        <w:autoSpaceDN/>
        <w:bidi w:val="0"/>
        <w:adjustRightInd/>
        <w:snapToGrid/>
        <w:spacing w:before="187" w:line="360" w:lineRule="auto"/>
        <w:ind w:left="420" w:leftChars="200" w:right="419" w:firstLine="48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承包人在质量保修期内，按照有关法律规定和合同约定，承担工程质量保修责任。质量保修范围包括本项目所有的相关内容以及双方约定的其他事项。</w:t>
      </w:r>
    </w:p>
    <w:p>
      <w:pPr>
        <w:pStyle w:val="62"/>
        <w:pageBreakBefore w:val="0"/>
        <w:widowControl w:val="0"/>
        <w:tabs>
          <w:tab w:val="left" w:pos="1171"/>
        </w:tabs>
        <w:kinsoku/>
        <w:wordWrap/>
        <w:overflowPunct/>
        <w:topLinePunct w:val="0"/>
        <w:autoSpaceDE/>
        <w:autoSpaceDN/>
        <w:bidi w:val="0"/>
        <w:adjustRightInd/>
        <w:snapToGrid/>
        <w:spacing w:before="187" w:line="360" w:lineRule="auto"/>
        <w:ind w:right="419" w:firstLine="0" w:firstLineChars="0"/>
        <w:textAlignment w:val="auto"/>
        <w:rPr>
          <w:rFonts w:hint="eastAsia" w:hAnsi="宋体"/>
          <w:b/>
          <w:sz w:val="28"/>
          <w:szCs w:val="28"/>
          <w:highlight w:val="none"/>
        </w:rPr>
      </w:pPr>
      <w:r>
        <w:rPr>
          <w:rFonts w:hint="eastAsia" w:hAnsi="宋体"/>
          <w:b/>
          <w:sz w:val="28"/>
          <w:szCs w:val="28"/>
          <w:highlight w:val="none"/>
          <w:lang w:val="en-US" w:eastAsia="zh-CN"/>
        </w:rPr>
        <w:t>八</w:t>
      </w:r>
      <w:r>
        <w:rPr>
          <w:rFonts w:hint="eastAsia" w:hAnsi="宋体"/>
          <w:b/>
          <w:sz w:val="28"/>
          <w:szCs w:val="28"/>
          <w:highlight w:val="none"/>
        </w:rPr>
        <w:t>、优惠条件</w:t>
      </w:r>
    </w:p>
    <w:p>
      <w:pPr>
        <w:pStyle w:val="10"/>
        <w:pageBreakBefore w:val="0"/>
        <w:widowControl w:val="0"/>
        <w:kinsoku/>
        <w:wordWrap/>
        <w:overflowPunct/>
        <w:topLinePunct w:val="0"/>
        <w:autoSpaceDE/>
        <w:autoSpaceDN/>
        <w:bidi w:val="0"/>
        <w:adjustRightInd/>
        <w:snapToGrid/>
        <w:spacing w:before="65" w:line="360" w:lineRule="auto"/>
        <w:ind w:right="259" w:firstLine="480"/>
        <w:textAlignment w:val="auto"/>
        <w:rPr>
          <w:rFonts w:ascii="宋体" w:hAnsi="宋体" w:eastAsia="宋体" w:cs="宋体"/>
          <w:highlight w:val="none"/>
        </w:rPr>
      </w:pPr>
      <w:r>
        <w:rPr>
          <w:rFonts w:hint="eastAsia" w:ascii="宋体" w:hAnsi="宋体" w:eastAsia="宋体" w:cs="宋体"/>
          <w:highlight w:val="none"/>
        </w:rPr>
        <w:t>在满足采购文件要求的基础上，供应商须提供所投产品的具体服务承诺，供应商还应列明为采购人提供的优惠条件和优惠措施。</w:t>
      </w:r>
    </w:p>
    <w:p>
      <w:pPr>
        <w:pStyle w:val="62"/>
        <w:pageBreakBefore w:val="0"/>
        <w:widowControl w:val="0"/>
        <w:tabs>
          <w:tab w:val="left" w:pos="1171"/>
        </w:tabs>
        <w:kinsoku/>
        <w:wordWrap/>
        <w:overflowPunct/>
        <w:topLinePunct w:val="0"/>
        <w:autoSpaceDE/>
        <w:autoSpaceDN/>
        <w:bidi w:val="0"/>
        <w:adjustRightInd/>
        <w:snapToGrid/>
        <w:spacing w:before="187" w:line="360" w:lineRule="auto"/>
        <w:ind w:right="419" w:firstLine="0" w:firstLineChars="0"/>
        <w:textAlignment w:val="auto"/>
        <w:rPr>
          <w:rFonts w:hint="eastAsia" w:hAnsi="宋体"/>
          <w:b/>
          <w:sz w:val="28"/>
          <w:szCs w:val="28"/>
          <w:highlight w:val="none"/>
        </w:rPr>
      </w:pPr>
      <w:r>
        <w:rPr>
          <w:rFonts w:hint="eastAsia" w:hAnsi="宋体"/>
          <w:b/>
          <w:sz w:val="28"/>
          <w:szCs w:val="28"/>
          <w:highlight w:val="none"/>
          <w:lang w:val="en-US" w:eastAsia="zh-CN"/>
        </w:rPr>
        <w:t>九</w:t>
      </w:r>
      <w:r>
        <w:rPr>
          <w:rFonts w:hint="eastAsia" w:hAnsi="宋体"/>
          <w:b/>
          <w:sz w:val="28"/>
          <w:szCs w:val="28"/>
          <w:highlight w:val="none"/>
        </w:rPr>
        <w:t>、其他要求</w:t>
      </w:r>
    </w:p>
    <w:p>
      <w:pPr>
        <w:pStyle w:val="62"/>
        <w:pageBreakBefore w:val="0"/>
        <w:widowControl w:val="0"/>
        <w:tabs>
          <w:tab w:val="left" w:pos="1171"/>
        </w:tabs>
        <w:kinsoku/>
        <w:wordWrap/>
        <w:overflowPunct/>
        <w:topLinePunct w:val="0"/>
        <w:autoSpaceDE/>
        <w:autoSpaceDN/>
        <w:bidi w:val="0"/>
        <w:adjustRightInd/>
        <w:snapToGrid/>
        <w:spacing w:before="187" w:line="360" w:lineRule="auto"/>
        <w:ind w:right="419" w:firstLine="480" w:firstLineChars="200"/>
        <w:textAlignment w:val="auto"/>
        <w:rPr>
          <w:rFonts w:hint="eastAsia" w:ascii="宋体" w:hAnsi="宋体" w:eastAsia="宋体" w:cs="宋体"/>
          <w:kern w:val="2"/>
          <w:sz w:val="24"/>
          <w:szCs w:val="24"/>
          <w:highlight w:val="none"/>
          <w:lang w:val="en-US" w:eastAsia="zh-CN" w:bidi="ar-SA"/>
        </w:rPr>
      </w:pPr>
      <w:bookmarkStart w:id="365" w:name="施工前对施工人员进行安全培训教育，为施工人员购买足额的意外保险确保施工安全，否则"/>
      <w:bookmarkEnd w:id="365"/>
      <w:r>
        <w:rPr>
          <w:rFonts w:hint="eastAsia" w:ascii="宋体" w:hAnsi="宋体" w:eastAsia="宋体" w:cs="宋体"/>
          <w:kern w:val="2"/>
          <w:sz w:val="24"/>
          <w:szCs w:val="24"/>
          <w:highlight w:val="none"/>
          <w:lang w:val="en-US" w:eastAsia="zh-CN" w:bidi="ar-SA"/>
        </w:rPr>
        <w:t>施工前对施工人员进行安全培训教育，为施工人员购买足额的意外保险确保施工安全， 否则因意外造成的一切后果均由中标单位承担，与采购人无关。</w:t>
      </w: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62"/>
        <w:pageBreakBefore w:val="0"/>
        <w:widowControl w:val="0"/>
        <w:tabs>
          <w:tab w:val="left" w:pos="1171"/>
        </w:tabs>
        <w:kinsoku/>
        <w:wordWrap/>
        <w:overflowPunct/>
        <w:topLinePunct w:val="0"/>
        <w:autoSpaceDE/>
        <w:autoSpaceDN/>
        <w:bidi w:val="0"/>
        <w:adjustRightInd/>
        <w:snapToGrid/>
        <w:spacing w:before="187" w:line="400" w:lineRule="exact"/>
        <w:ind w:right="419" w:firstLine="480" w:firstLineChars="200"/>
        <w:textAlignment w:val="auto"/>
        <w:rPr>
          <w:rFonts w:hint="eastAsia" w:ascii="宋体" w:hAnsi="宋体" w:eastAsia="宋体" w:cs="宋体"/>
          <w:kern w:val="2"/>
          <w:sz w:val="24"/>
          <w:szCs w:val="24"/>
          <w:highlight w:val="none"/>
          <w:lang w:val="en-US" w:eastAsia="zh-CN" w:bidi="ar-SA"/>
        </w:rPr>
      </w:pPr>
    </w:p>
    <w:p>
      <w:pPr>
        <w:pStyle w:val="3"/>
        <w:spacing w:line="460" w:lineRule="exact"/>
        <w:rPr>
          <w:sz w:val="40"/>
          <w:szCs w:val="36"/>
          <w:highlight w:val="none"/>
        </w:rPr>
      </w:pPr>
    </w:p>
    <w:p>
      <w:pPr>
        <w:pStyle w:val="3"/>
        <w:spacing w:line="460" w:lineRule="exact"/>
        <w:rPr>
          <w:rFonts w:hint="default"/>
          <w:sz w:val="44"/>
          <w:szCs w:val="40"/>
          <w:highlight w:val="none"/>
        </w:rPr>
      </w:pPr>
      <w:r>
        <w:rPr>
          <w:sz w:val="40"/>
          <w:szCs w:val="36"/>
          <w:highlight w:val="none"/>
        </w:rPr>
        <w:t>第四章</w:t>
      </w:r>
      <w:bookmarkEnd w:id="35"/>
      <w:bookmarkStart w:id="366" w:name="_Toc467665734"/>
      <w:r>
        <w:rPr>
          <w:rFonts w:hint="eastAsia"/>
          <w:sz w:val="40"/>
          <w:szCs w:val="36"/>
          <w:highlight w:val="none"/>
          <w:lang w:eastAsia="zh-CN"/>
        </w:rPr>
        <w:t>、</w:t>
      </w:r>
      <w:r>
        <w:rPr>
          <w:sz w:val="40"/>
          <w:szCs w:val="36"/>
          <w:highlight w:val="none"/>
        </w:rPr>
        <w:t>采购合同</w:t>
      </w:r>
      <w:bookmarkEnd w:id="364"/>
    </w:p>
    <w:p>
      <w:pPr>
        <w:pStyle w:val="21"/>
        <w:spacing w:after="0" w:line="460" w:lineRule="exact"/>
        <w:rPr>
          <w:highlight w:val="none"/>
        </w:rPr>
      </w:pPr>
    </w:p>
    <w:p>
      <w:pPr>
        <w:pStyle w:val="62"/>
        <w:rPr>
          <w:rFonts w:ascii="宋体" w:hAnsi="宋体"/>
          <w:b/>
          <w:kern w:val="0"/>
          <w:sz w:val="28"/>
          <w:szCs w:val="28"/>
          <w:highlight w:val="none"/>
        </w:rPr>
      </w:pPr>
    </w:p>
    <w:p>
      <w:pPr>
        <w:jc w:val="center"/>
        <w:rPr>
          <w:rFonts w:hint="eastAsia" w:eastAsia="黑体"/>
          <w:b/>
          <w:spacing w:val="40"/>
          <w:sz w:val="48"/>
          <w:highlight w:val="none"/>
        </w:rPr>
      </w:pPr>
      <w:r>
        <w:rPr>
          <w:rFonts w:hint="eastAsia" w:eastAsia="黑体"/>
          <w:b/>
          <w:spacing w:val="40"/>
          <w:sz w:val="48"/>
          <w:highlight w:val="none"/>
        </w:rPr>
        <w:t>采购合同书</w:t>
      </w:r>
    </w:p>
    <w:p>
      <w:pPr>
        <w:rPr>
          <w:rFonts w:hint="eastAsia"/>
          <w:highlight w:val="none"/>
        </w:rPr>
      </w:pPr>
    </w:p>
    <w:p>
      <w:pPr>
        <w:rPr>
          <w:rFonts w:hint="eastAsia"/>
          <w:highlight w:val="none"/>
        </w:rPr>
      </w:pPr>
    </w:p>
    <w:p>
      <w:pPr>
        <w:tabs>
          <w:tab w:val="left" w:pos="1260"/>
        </w:tabs>
        <w:adjustRightInd w:val="0"/>
        <w:snapToGrid w:val="0"/>
        <w:spacing w:before="100" w:beforeAutospacing="1" w:after="100" w:afterAutospacing="1" w:line="360" w:lineRule="auto"/>
        <w:ind w:firstLine="569"/>
        <w:jc w:val="center"/>
        <w:rPr>
          <w:rFonts w:hint="eastAsia"/>
          <w:highlight w:val="none"/>
        </w:rPr>
      </w:pPr>
      <w:r>
        <w:rPr>
          <w:rFonts w:hint="eastAsia"/>
          <w:b/>
          <w:sz w:val="28"/>
          <w:highlight w:val="none"/>
        </w:rPr>
        <w:t>(本合同仅供参考，不明确的条款采购人和成交供应商协商拟定)</w:t>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ind w:firstLine="1687" w:firstLineChars="600"/>
        <w:rPr>
          <w:rFonts w:hint="eastAsia"/>
          <w:b/>
          <w:sz w:val="28"/>
          <w:highlight w:val="none"/>
        </w:rPr>
      </w:pPr>
      <w:r>
        <w:rPr>
          <w:rFonts w:hint="eastAsia"/>
          <w:b/>
          <w:sz w:val="28"/>
          <w:highlight w:val="none"/>
        </w:rPr>
        <w:t>合同编号：</w:t>
      </w:r>
    </w:p>
    <w:p>
      <w:pPr>
        <w:ind w:firstLine="1687" w:firstLineChars="600"/>
        <w:rPr>
          <w:rFonts w:hint="eastAsia"/>
          <w:b/>
          <w:sz w:val="28"/>
          <w:highlight w:val="none"/>
        </w:rPr>
      </w:pPr>
    </w:p>
    <w:p>
      <w:pPr>
        <w:ind w:firstLine="1687" w:firstLineChars="600"/>
        <w:rPr>
          <w:rFonts w:hint="eastAsia"/>
          <w:b/>
          <w:sz w:val="28"/>
          <w:highlight w:val="none"/>
        </w:rPr>
      </w:pPr>
      <w:r>
        <w:rPr>
          <w:rFonts w:hint="eastAsia"/>
          <w:b/>
          <w:sz w:val="28"/>
          <w:highlight w:val="none"/>
        </w:rPr>
        <w:t>项目名称：</w:t>
      </w:r>
    </w:p>
    <w:p>
      <w:pPr>
        <w:rPr>
          <w:rFonts w:hint="eastAsia"/>
          <w:b/>
          <w:sz w:val="28"/>
          <w:highlight w:val="none"/>
        </w:rPr>
      </w:pPr>
    </w:p>
    <w:p>
      <w:pPr>
        <w:spacing w:line="420" w:lineRule="exact"/>
        <w:ind w:left="360"/>
        <w:jc w:val="center"/>
        <w:rPr>
          <w:rFonts w:ascii="宋体" w:hAnsi="宋体" w:cs="宋体"/>
          <w:sz w:val="18"/>
          <w:szCs w:val="18"/>
          <w:highlight w:val="none"/>
        </w:rPr>
      </w:pPr>
      <w:r>
        <w:rPr>
          <w:rFonts w:hint="eastAsia" w:ascii="宋体" w:hAnsi="宋体" w:cs="宋体"/>
          <w:sz w:val="30"/>
          <w:szCs w:val="30"/>
          <w:highlight w:val="none"/>
        </w:rPr>
        <w:br w:type="page"/>
      </w:r>
      <w:r>
        <w:rPr>
          <w:rFonts w:hint="eastAsia" w:ascii="宋体" w:hAnsi="宋体" w:cs="宋体"/>
          <w:sz w:val="30"/>
          <w:szCs w:val="30"/>
          <w:highlight w:val="none"/>
        </w:rPr>
        <w:t>一、  协议书</w:t>
      </w:r>
    </w:p>
    <w:p>
      <w:pPr>
        <w:rPr>
          <w:rFonts w:ascii="宋体" w:hAnsi="宋体" w:cs="宋体"/>
          <w:b/>
          <w:szCs w:val="21"/>
          <w:highlight w:val="none"/>
        </w:rPr>
      </w:pPr>
    </w:p>
    <w:p>
      <w:pPr>
        <w:rPr>
          <w:rFonts w:ascii="宋体" w:hAnsi="宋体" w:cs="宋体"/>
          <w:b/>
          <w:szCs w:val="21"/>
          <w:highlight w:val="none"/>
        </w:rPr>
      </w:pPr>
    </w:p>
    <w:p>
      <w:pPr>
        <w:spacing w:line="360" w:lineRule="auto"/>
        <w:ind w:firstLine="482" w:firstLineChars="200"/>
        <w:rPr>
          <w:rFonts w:ascii="宋体" w:hAnsi="宋体" w:cs="宋体"/>
          <w:kern w:val="0"/>
          <w:sz w:val="24"/>
          <w:highlight w:val="none"/>
        </w:rPr>
      </w:pPr>
      <w:r>
        <w:rPr>
          <w:rFonts w:hint="eastAsia" w:ascii="宋体" w:hAnsi="宋体" w:cs="宋体"/>
          <w:b/>
          <w:sz w:val="24"/>
          <w:highlight w:val="none"/>
        </w:rPr>
        <w:t>发包人（全称）：</w:t>
      </w:r>
    </w:p>
    <w:p>
      <w:pPr>
        <w:spacing w:line="360" w:lineRule="auto"/>
        <w:ind w:firstLine="482" w:firstLineChars="200"/>
        <w:rPr>
          <w:rFonts w:ascii="宋体" w:hAnsi="宋体" w:cs="宋体"/>
          <w:b/>
          <w:sz w:val="24"/>
          <w:highlight w:val="none"/>
          <w:u w:val="single"/>
        </w:rPr>
      </w:pPr>
      <w:r>
        <w:rPr>
          <w:rFonts w:hint="eastAsia" w:ascii="宋体" w:hAnsi="宋体" w:cs="宋体"/>
          <w:b/>
          <w:sz w:val="24"/>
          <w:highlight w:val="none"/>
        </w:rPr>
        <w:t>承包人（全称）：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根据《中华人民共和国合同法》、《中华人民共和国建筑法》及有关法律规定，遵循平等、自愿、公平和诚实信用的原则，双方就</w:t>
      </w:r>
      <w:r>
        <w:rPr>
          <w:rFonts w:hint="eastAsia" w:ascii="宋体" w:hAnsi="宋体" w:cs="宋体"/>
          <w:szCs w:val="21"/>
          <w:highlight w:val="none"/>
          <w:u w:val="single"/>
        </w:rPr>
        <w:t xml:space="preserve">               </w:t>
      </w:r>
      <w:r>
        <w:rPr>
          <w:rFonts w:hint="eastAsia" w:ascii="宋体" w:hAnsi="宋体" w:cs="宋体"/>
          <w:sz w:val="24"/>
          <w:highlight w:val="none"/>
        </w:rPr>
        <w:t>及有关事项协商一致，共同达成如下协议：</w:t>
      </w:r>
    </w:p>
    <w:p>
      <w:pPr>
        <w:pStyle w:val="6"/>
        <w:spacing w:line="360" w:lineRule="exact"/>
        <w:rPr>
          <w:rFonts w:ascii="宋体" w:hAnsi="宋体" w:eastAsia="宋体" w:cs="宋体"/>
          <w:bCs w:val="0"/>
          <w:sz w:val="24"/>
          <w:szCs w:val="24"/>
          <w:highlight w:val="none"/>
        </w:rPr>
      </w:pPr>
      <w:bookmarkStart w:id="367" w:name="_Toc351203481"/>
      <w:r>
        <w:rPr>
          <w:rFonts w:hint="eastAsia" w:ascii="宋体" w:hAnsi="宋体" w:eastAsia="宋体" w:cs="宋体"/>
          <w:bCs w:val="0"/>
          <w:sz w:val="24"/>
          <w:szCs w:val="24"/>
          <w:highlight w:val="none"/>
        </w:rPr>
        <w:t>一、工程概况</w:t>
      </w:r>
      <w:bookmarkEnd w:id="367"/>
    </w:p>
    <w:p>
      <w:pPr>
        <w:spacing w:line="360" w:lineRule="auto"/>
        <w:ind w:firstLine="470" w:firstLineChars="196"/>
        <w:rPr>
          <w:rFonts w:ascii="宋体" w:hAnsi="宋体" w:cs="宋体"/>
          <w:sz w:val="24"/>
          <w:highlight w:val="none"/>
          <w:u w:val="single"/>
        </w:rPr>
      </w:pPr>
      <w:r>
        <w:rPr>
          <w:rFonts w:hint="eastAsia" w:ascii="宋体" w:hAnsi="宋体" w:cs="宋体"/>
          <w:bCs/>
          <w:sz w:val="24"/>
          <w:highlight w:val="none"/>
        </w:rPr>
        <w:t>1.工程名称</w:t>
      </w:r>
      <w:r>
        <w:rPr>
          <w:rFonts w:hint="eastAsia" w:ascii="宋体" w:hAnsi="宋体" w:cs="宋体"/>
          <w:sz w:val="24"/>
          <w:highlight w:val="none"/>
        </w:rPr>
        <w:t>：</w:t>
      </w:r>
    </w:p>
    <w:p>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2.工程地点：</w:t>
      </w:r>
    </w:p>
    <w:p>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3.工程立项批准文号：</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4.资金来源：</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5.工程内容：</w:t>
      </w:r>
    </w:p>
    <w:p>
      <w:pPr>
        <w:spacing w:line="360" w:lineRule="auto"/>
        <w:ind w:firstLine="470" w:firstLineChars="196"/>
        <w:rPr>
          <w:rFonts w:ascii="宋体" w:hAnsi="宋体" w:cs="宋体"/>
          <w:bCs/>
          <w:sz w:val="24"/>
          <w:highlight w:val="none"/>
          <w:u w:val="single"/>
        </w:rPr>
      </w:pPr>
      <w:r>
        <w:rPr>
          <w:rFonts w:hint="eastAsia" w:ascii="宋体" w:hAnsi="宋体" w:cs="宋体"/>
          <w:sz w:val="24"/>
          <w:highlight w:val="none"/>
          <w:u w:val="single"/>
        </w:rPr>
        <w:t>群体工程应附《承包人承揽工程项目一览表》（附件1）。</w:t>
      </w:r>
    </w:p>
    <w:p>
      <w:pPr>
        <w:spacing w:line="360" w:lineRule="auto"/>
        <w:ind w:firstLine="470" w:firstLineChars="196"/>
        <w:rPr>
          <w:rFonts w:ascii="宋体" w:hAnsi="宋体" w:cs="宋体"/>
          <w:bCs/>
          <w:sz w:val="24"/>
          <w:highlight w:val="none"/>
        </w:rPr>
      </w:pPr>
      <w:r>
        <w:rPr>
          <w:rFonts w:hint="eastAsia" w:ascii="宋体" w:hAnsi="宋体" w:cs="宋体"/>
          <w:bCs/>
          <w:sz w:val="24"/>
          <w:highlight w:val="none"/>
        </w:rPr>
        <w:t>6.工程承包范围：</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6"/>
        <w:spacing w:line="360" w:lineRule="exact"/>
        <w:rPr>
          <w:rFonts w:ascii="宋体" w:hAnsi="宋体" w:eastAsia="宋体" w:cs="宋体"/>
          <w:bCs w:val="0"/>
          <w:sz w:val="24"/>
          <w:szCs w:val="24"/>
          <w:highlight w:val="none"/>
        </w:rPr>
      </w:pPr>
      <w:bookmarkStart w:id="368" w:name="_Toc351203482"/>
      <w:r>
        <w:rPr>
          <w:rFonts w:hint="eastAsia" w:ascii="宋体" w:hAnsi="宋体" w:eastAsia="宋体" w:cs="宋体"/>
          <w:bCs w:val="0"/>
          <w:sz w:val="24"/>
          <w:szCs w:val="24"/>
          <w:highlight w:val="none"/>
        </w:rPr>
        <w:t>二、合同工期</w:t>
      </w:r>
      <w:bookmarkEnd w:id="368"/>
    </w:p>
    <w:p>
      <w:pPr>
        <w:spacing w:line="360" w:lineRule="auto"/>
        <w:ind w:firstLine="459"/>
        <w:rPr>
          <w:rFonts w:ascii="宋体" w:hAnsi="宋体" w:cs="宋体"/>
          <w:sz w:val="24"/>
          <w:highlight w:val="none"/>
        </w:rPr>
      </w:pPr>
      <w:r>
        <w:rPr>
          <w:rFonts w:hint="eastAsia" w:ascii="宋体" w:hAnsi="宋体" w:cs="宋体"/>
          <w:sz w:val="24"/>
          <w:highlight w:val="none"/>
        </w:rPr>
        <w:t>计划开工日期：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 w:val="24"/>
          <w:highlight w:val="none"/>
        </w:rPr>
        <w:t>。</w:t>
      </w:r>
    </w:p>
    <w:p>
      <w:pPr>
        <w:spacing w:line="360" w:lineRule="auto"/>
        <w:ind w:firstLine="459"/>
        <w:rPr>
          <w:rFonts w:ascii="宋体" w:hAnsi="宋体" w:cs="宋体"/>
          <w:sz w:val="24"/>
          <w:highlight w:val="none"/>
        </w:rPr>
      </w:pPr>
      <w:r>
        <w:rPr>
          <w:rFonts w:hint="eastAsia" w:ascii="宋体" w:hAnsi="宋体" w:cs="宋体"/>
          <w:sz w:val="24"/>
          <w:highlight w:val="none"/>
        </w:rPr>
        <w:t>计划竣工日期：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sz w:val="24"/>
          <w:highlight w:val="none"/>
        </w:rPr>
        <w:t>。</w:t>
      </w:r>
    </w:p>
    <w:p>
      <w:pPr>
        <w:spacing w:line="360" w:lineRule="auto"/>
        <w:ind w:firstLine="459"/>
        <w:rPr>
          <w:rFonts w:ascii="宋体" w:hAnsi="宋体" w:cs="宋体"/>
          <w:sz w:val="24"/>
          <w:highlight w:val="none"/>
        </w:rPr>
      </w:pPr>
      <w:r>
        <w:rPr>
          <w:rFonts w:hint="eastAsia" w:ascii="宋体" w:hAnsi="宋体" w:cs="宋体"/>
          <w:sz w:val="24"/>
          <w:highlight w:val="none"/>
        </w:rPr>
        <w:t>工期总日历天数：</w:t>
      </w:r>
      <w:r>
        <w:rPr>
          <w:rFonts w:hint="eastAsia" w:ascii="宋体" w:hAnsi="宋体" w:cs="宋体"/>
          <w:szCs w:val="21"/>
          <w:highlight w:val="none"/>
          <w:u w:val="single"/>
        </w:rPr>
        <w:t xml:space="preserve">     </w:t>
      </w:r>
      <w:r>
        <w:rPr>
          <w:rFonts w:hint="eastAsia" w:ascii="宋体" w:hAnsi="宋体" w:cs="宋体"/>
          <w:sz w:val="24"/>
          <w:highlight w:val="none"/>
        </w:rPr>
        <w:t>天。工期总日历天数与根据前述计划开竣工日期计算的工期天数不一致的，以工期总日历天数为准。</w:t>
      </w:r>
    </w:p>
    <w:p>
      <w:pPr>
        <w:pStyle w:val="6"/>
        <w:spacing w:line="360" w:lineRule="exact"/>
        <w:rPr>
          <w:rFonts w:ascii="宋体" w:hAnsi="宋体" w:eastAsia="宋体" w:cs="宋体"/>
          <w:bCs w:val="0"/>
          <w:sz w:val="24"/>
          <w:szCs w:val="24"/>
          <w:highlight w:val="none"/>
        </w:rPr>
      </w:pPr>
      <w:bookmarkStart w:id="369" w:name="_Toc351203483"/>
      <w:r>
        <w:rPr>
          <w:rFonts w:hint="eastAsia" w:ascii="宋体" w:hAnsi="宋体" w:eastAsia="宋体" w:cs="宋体"/>
          <w:bCs w:val="0"/>
          <w:sz w:val="24"/>
          <w:szCs w:val="24"/>
          <w:highlight w:val="none"/>
        </w:rPr>
        <w:t>三、质量标准</w:t>
      </w:r>
      <w:bookmarkEnd w:id="369"/>
    </w:p>
    <w:p>
      <w:pPr>
        <w:spacing w:line="360" w:lineRule="auto"/>
        <w:ind w:firstLine="459"/>
        <w:rPr>
          <w:rFonts w:hint="eastAsia" w:ascii="宋体" w:hAnsi="宋体" w:cs="宋体"/>
          <w:sz w:val="24"/>
          <w:highlight w:val="none"/>
        </w:rPr>
      </w:pPr>
      <w:r>
        <w:rPr>
          <w:rFonts w:hint="eastAsia" w:ascii="宋体" w:hAnsi="宋体" w:cs="宋体"/>
          <w:sz w:val="24"/>
          <w:highlight w:val="none"/>
        </w:rPr>
        <w:t>工程质量标准：</w:t>
      </w:r>
      <w:r>
        <w:rPr>
          <w:rFonts w:hint="eastAsia" w:ascii="宋体" w:hAnsi="宋体" w:cs="宋体"/>
          <w:sz w:val="24"/>
          <w:highlight w:val="none"/>
          <w:lang w:eastAsia="zh-CN"/>
        </w:rPr>
        <w:t>符合</w:t>
      </w:r>
      <w:r>
        <w:rPr>
          <w:rFonts w:hint="eastAsia" w:ascii="宋体" w:hAnsi="宋体" w:cs="宋体"/>
          <w:sz w:val="24"/>
          <w:highlight w:val="none"/>
          <w:lang w:val="en-US" w:eastAsia="zh-CN"/>
        </w:rPr>
        <w:t>国家</w:t>
      </w:r>
      <w:r>
        <w:rPr>
          <w:rFonts w:hint="eastAsia" w:ascii="宋体" w:hAnsi="宋体" w:cs="宋体"/>
          <w:sz w:val="24"/>
          <w:highlight w:val="none"/>
          <w:lang w:eastAsia="zh-CN"/>
        </w:rPr>
        <w:t>验收规范规定的合格标准</w:t>
      </w:r>
      <w:r>
        <w:rPr>
          <w:rFonts w:hint="eastAsia" w:ascii="宋体" w:hAnsi="宋体" w:cs="宋体"/>
          <w:sz w:val="24"/>
          <w:highlight w:val="none"/>
        </w:rPr>
        <w:t>。</w:t>
      </w:r>
    </w:p>
    <w:p>
      <w:pPr>
        <w:pStyle w:val="6"/>
        <w:spacing w:line="360" w:lineRule="exact"/>
        <w:rPr>
          <w:rFonts w:ascii="宋体" w:hAnsi="宋体" w:eastAsia="宋体" w:cs="宋体"/>
          <w:bCs w:val="0"/>
          <w:sz w:val="24"/>
          <w:szCs w:val="24"/>
          <w:highlight w:val="none"/>
        </w:rPr>
      </w:pPr>
      <w:bookmarkStart w:id="370" w:name="_Toc351203484"/>
      <w:r>
        <w:rPr>
          <w:rFonts w:hint="eastAsia" w:ascii="宋体" w:hAnsi="宋体" w:eastAsia="宋体" w:cs="宋体"/>
          <w:bCs w:val="0"/>
          <w:sz w:val="24"/>
          <w:szCs w:val="24"/>
          <w:highlight w:val="none"/>
        </w:rPr>
        <w:t>四、签约合同价与合同价格形式</w:t>
      </w:r>
      <w:bookmarkEnd w:id="370"/>
      <w:r>
        <w:rPr>
          <w:rFonts w:hint="eastAsia" w:ascii="宋体" w:hAnsi="宋体" w:eastAsia="宋体" w:cs="宋体"/>
          <w:b w:val="0"/>
          <w:sz w:val="24"/>
          <w:szCs w:val="24"/>
          <w:highlight w:val="none"/>
        </w:rPr>
        <w:tab/>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1.签约合同价为：</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其中：</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（1）安全文明施工费：</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（2）材料和工程设备暂估价金额：</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（3）专业工程暂估价金额：</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（4）暂列金额：</w:t>
      </w:r>
    </w:p>
    <w:p>
      <w:pPr>
        <w:spacing w:line="360" w:lineRule="auto"/>
        <w:ind w:firstLine="1080" w:firstLineChars="450"/>
        <w:rPr>
          <w:rFonts w:ascii="宋体" w:hAnsi="宋体" w:cs="宋体"/>
          <w:sz w:val="24"/>
          <w:highlight w:val="none"/>
        </w:rPr>
      </w:pPr>
      <w:r>
        <w:rPr>
          <w:rFonts w:hint="eastAsia" w:ascii="宋体" w:hAnsi="宋体" w:cs="宋体"/>
          <w:sz w:val="24"/>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元)</w:t>
      </w:r>
      <w:r>
        <w:rPr>
          <w:rFonts w:hint="eastAsia" w:ascii="宋体" w:hAnsi="宋体" w:cs="宋体"/>
          <w:sz w:val="24"/>
          <w:highlight w:val="none"/>
        </w:rPr>
        <w:t>。</w:t>
      </w:r>
    </w:p>
    <w:p>
      <w:pPr>
        <w:numPr>
          <w:ilvl w:val="0"/>
          <w:numId w:val="6"/>
        </w:numPr>
        <w:spacing w:line="360" w:lineRule="exact"/>
        <w:ind w:firstLine="480" w:firstLineChars="200"/>
        <w:rPr>
          <w:rFonts w:hint="eastAsia" w:ascii="宋体" w:hAnsi="宋体" w:cs="宋体"/>
          <w:sz w:val="24"/>
          <w:highlight w:val="none"/>
        </w:rPr>
      </w:pPr>
      <w:r>
        <w:rPr>
          <w:rFonts w:hint="eastAsia" w:ascii="宋体" w:hAnsi="宋体" w:cs="宋体"/>
          <w:sz w:val="24"/>
          <w:highlight w:val="none"/>
        </w:rPr>
        <w:t>合同价格形式： 固定综合单价合同 。</w:t>
      </w:r>
    </w:p>
    <w:p>
      <w:pPr>
        <w:pStyle w:val="6"/>
        <w:spacing w:line="360" w:lineRule="exact"/>
        <w:rPr>
          <w:rFonts w:ascii="宋体" w:hAnsi="宋体" w:eastAsia="宋体" w:cs="宋体"/>
          <w:bCs w:val="0"/>
          <w:sz w:val="24"/>
          <w:szCs w:val="24"/>
          <w:highlight w:val="none"/>
        </w:rPr>
      </w:pPr>
      <w:bookmarkStart w:id="371" w:name="_Toc351203485"/>
      <w:r>
        <w:rPr>
          <w:rFonts w:hint="eastAsia" w:ascii="宋体" w:hAnsi="宋体" w:eastAsia="宋体" w:cs="宋体"/>
          <w:bCs w:val="0"/>
          <w:sz w:val="24"/>
          <w:szCs w:val="24"/>
          <w:highlight w:val="none"/>
        </w:rPr>
        <w:t>五、</w:t>
      </w:r>
      <w:bookmarkEnd w:id="371"/>
      <w:r>
        <w:rPr>
          <w:rFonts w:hint="eastAsia" w:ascii="宋体" w:hAnsi="宋体" w:eastAsia="宋体" w:cs="宋体"/>
          <w:bCs w:val="0"/>
          <w:sz w:val="24"/>
          <w:szCs w:val="24"/>
          <w:highlight w:val="none"/>
        </w:rPr>
        <w:t>项目经理</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szCs w:val="21"/>
          <w:highlight w:val="none"/>
          <w:u w:val="single"/>
        </w:rPr>
        <w:t xml:space="preserve">           </w:t>
      </w:r>
      <w:r>
        <w:rPr>
          <w:rFonts w:ascii="宋体" w:hAnsi="宋体"/>
          <w:szCs w:val="21"/>
          <w:highlight w:val="none"/>
          <w:u w:val="single"/>
        </w:rPr>
        <w:t></w:t>
      </w:r>
      <w:r>
        <w:rPr>
          <w:rFonts w:hint="eastAsia" w:ascii="宋体" w:hAnsi="宋体" w:cs="宋体"/>
          <w:sz w:val="24"/>
          <w:highlight w:val="none"/>
        </w:rPr>
        <w:t>。</w:t>
      </w:r>
    </w:p>
    <w:p>
      <w:pPr>
        <w:pStyle w:val="6"/>
        <w:spacing w:line="360" w:lineRule="exact"/>
        <w:rPr>
          <w:rFonts w:ascii="宋体" w:hAnsi="宋体" w:eastAsia="宋体" w:cs="宋体"/>
          <w:bCs w:val="0"/>
          <w:sz w:val="24"/>
          <w:szCs w:val="24"/>
          <w:highlight w:val="none"/>
        </w:rPr>
      </w:pPr>
      <w:bookmarkStart w:id="372" w:name="_Toc351203486"/>
      <w:r>
        <w:rPr>
          <w:rFonts w:hint="eastAsia" w:ascii="宋体" w:hAnsi="宋体" w:eastAsia="宋体" w:cs="宋体"/>
          <w:bCs w:val="0"/>
          <w:sz w:val="24"/>
          <w:szCs w:val="24"/>
          <w:highlight w:val="none"/>
        </w:rPr>
        <w:t>六、合同文件构成</w:t>
      </w:r>
      <w:bookmarkEnd w:id="372"/>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本协议书与下列文件一起构成合同文件：</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（1）中标通知书（如果有）；</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（2）投标函及其附录（如果有）； </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（3）竞争性谈判文件</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（4）专用合同条款及其附件；</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（5）通用合同条款；</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（6）技术标准和要求；</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（7）图纸；</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（8）已标价工程量清单或预算书；</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（9）其他合同文件。</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上述各项合同文件包括合同当事人就该项合同文件所作出的补充和修改，属于同一类内容的文件，应以最新签署的为准。专用合同条款及其附件须经合同当事人签字或盖章。</w:t>
      </w:r>
    </w:p>
    <w:p>
      <w:pPr>
        <w:pStyle w:val="6"/>
        <w:spacing w:line="360" w:lineRule="exact"/>
        <w:rPr>
          <w:rFonts w:ascii="宋体" w:hAnsi="宋体" w:eastAsia="宋体" w:cs="宋体"/>
          <w:bCs w:val="0"/>
          <w:sz w:val="24"/>
          <w:szCs w:val="24"/>
          <w:highlight w:val="none"/>
        </w:rPr>
      </w:pPr>
      <w:bookmarkStart w:id="373" w:name="_Toc351203487"/>
      <w:r>
        <w:rPr>
          <w:rFonts w:hint="eastAsia" w:ascii="宋体" w:hAnsi="宋体" w:eastAsia="宋体" w:cs="宋体"/>
          <w:bCs w:val="0"/>
          <w:sz w:val="24"/>
          <w:szCs w:val="24"/>
          <w:highlight w:val="none"/>
        </w:rPr>
        <w:t>七、承诺</w:t>
      </w:r>
      <w:bookmarkEnd w:id="373"/>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sz w:val="24"/>
          <w:highlight w:val="none"/>
        </w:rPr>
      </w:pPr>
      <w:r>
        <w:rPr>
          <w:rFonts w:hint="eastAsia" w:ascii="宋体" w:hAnsi="宋体" w:cs="宋体"/>
          <w:bCs/>
          <w:sz w:val="24"/>
          <w:highlight w:val="none"/>
        </w:rPr>
        <w:t>2.承包人承诺按照法律规定及合同约定组织完成工程施工，确保工程质量和安全，不进行转包及违法分包，并在缺陷责任期及质保期内承担相应的工程维修责任。</w:t>
      </w:r>
    </w:p>
    <w:p>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bCs/>
          <w:sz w:val="24"/>
          <w:highlight w:val="none"/>
        </w:rPr>
        <w:t>3.发包人和承包人通过招形式签订合同的，双方理解并承诺不再就同一工程另行签订与合同实质性内容相背离的协议。</w:t>
      </w:r>
    </w:p>
    <w:p>
      <w:pPr>
        <w:pStyle w:val="6"/>
        <w:spacing w:line="360" w:lineRule="exact"/>
        <w:rPr>
          <w:rFonts w:hint="eastAsia" w:ascii="宋体" w:hAnsi="宋体" w:cs="宋体"/>
          <w:bCs w:val="0"/>
          <w:sz w:val="24"/>
          <w:highlight w:val="none"/>
        </w:rPr>
      </w:pPr>
      <w:bookmarkStart w:id="374" w:name="_Toc351203488"/>
      <w:r>
        <w:rPr>
          <w:rFonts w:hint="eastAsia" w:ascii="宋体" w:hAnsi="宋体" w:eastAsia="宋体" w:cs="宋体"/>
          <w:bCs w:val="0"/>
          <w:sz w:val="24"/>
          <w:szCs w:val="24"/>
          <w:highlight w:val="none"/>
        </w:rPr>
        <w:t xml:space="preserve"> 八、词语含义</w:t>
      </w:r>
      <w:bookmarkEnd w:id="374"/>
    </w:p>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本协议书中词语含义与第二部分通用合同条款中赋予的含义相同。</w:t>
      </w:r>
    </w:p>
    <w:p>
      <w:pPr>
        <w:pStyle w:val="6"/>
        <w:spacing w:line="360" w:lineRule="exact"/>
        <w:rPr>
          <w:rFonts w:ascii="宋体" w:hAnsi="宋体" w:eastAsia="宋体" w:cs="宋体"/>
          <w:bCs w:val="0"/>
          <w:sz w:val="24"/>
          <w:szCs w:val="24"/>
          <w:highlight w:val="none"/>
        </w:rPr>
      </w:pPr>
      <w:bookmarkStart w:id="375" w:name="_Toc351203489"/>
      <w:r>
        <w:rPr>
          <w:rFonts w:hint="eastAsia" w:ascii="宋体" w:hAnsi="宋体" w:eastAsia="宋体" w:cs="宋体"/>
          <w:bCs w:val="0"/>
          <w:sz w:val="24"/>
          <w:szCs w:val="24"/>
          <w:highlight w:val="none"/>
        </w:rPr>
        <w:t>九、签订时间</w:t>
      </w:r>
      <w:bookmarkEnd w:id="375"/>
    </w:p>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本合同于</w:t>
      </w:r>
      <w:r>
        <w:rPr>
          <w:rFonts w:ascii="宋体" w:hAnsi="宋体"/>
          <w:bCs/>
          <w:szCs w:val="21"/>
          <w:highlight w:val="none"/>
          <w:u w:val="single"/>
        </w:rPr>
        <w:t xml:space="preserve">      </w:t>
      </w:r>
      <w:r>
        <w:rPr>
          <w:rFonts w:ascii="宋体" w:hAnsi="宋体"/>
          <w:bCs/>
          <w:szCs w:val="21"/>
          <w:highlight w:val="none"/>
        </w:rPr>
        <w:t>年</w:t>
      </w:r>
      <w:r>
        <w:rPr>
          <w:rFonts w:ascii="宋体" w:hAnsi="宋体"/>
          <w:bCs/>
          <w:szCs w:val="21"/>
          <w:highlight w:val="none"/>
          <w:u w:val="single"/>
        </w:rPr>
        <w:t xml:space="preserve">    </w:t>
      </w:r>
      <w:r>
        <w:rPr>
          <w:rFonts w:ascii="宋体" w:hAnsi="宋体"/>
          <w:bCs/>
          <w:szCs w:val="21"/>
          <w:highlight w:val="none"/>
        </w:rPr>
        <w:t>月</w:t>
      </w:r>
      <w:r>
        <w:rPr>
          <w:rFonts w:ascii="宋体" w:hAnsi="宋体"/>
          <w:bCs/>
          <w:szCs w:val="21"/>
          <w:highlight w:val="none"/>
          <w:u w:val="single"/>
        </w:rPr>
        <w:t xml:space="preserve">    </w:t>
      </w:r>
      <w:r>
        <w:rPr>
          <w:rFonts w:ascii="宋体" w:hAnsi="宋体"/>
          <w:bCs/>
          <w:szCs w:val="21"/>
          <w:highlight w:val="none"/>
        </w:rPr>
        <w:t>日签订</w:t>
      </w:r>
      <w:r>
        <w:rPr>
          <w:rFonts w:hint="eastAsia" w:ascii="宋体" w:hAnsi="宋体" w:cs="宋体"/>
          <w:bCs/>
          <w:sz w:val="24"/>
          <w:highlight w:val="none"/>
        </w:rPr>
        <w:t>。</w:t>
      </w:r>
    </w:p>
    <w:p>
      <w:pPr>
        <w:pStyle w:val="6"/>
        <w:spacing w:line="360" w:lineRule="exact"/>
        <w:rPr>
          <w:rFonts w:ascii="宋体" w:hAnsi="宋体" w:eastAsia="宋体" w:cs="宋体"/>
          <w:bCs w:val="0"/>
          <w:sz w:val="24"/>
          <w:szCs w:val="24"/>
          <w:highlight w:val="none"/>
        </w:rPr>
      </w:pPr>
      <w:bookmarkStart w:id="376" w:name="_Toc351203490"/>
      <w:r>
        <w:rPr>
          <w:rFonts w:hint="eastAsia" w:ascii="宋体" w:hAnsi="宋体" w:eastAsia="宋体" w:cs="宋体"/>
          <w:bCs w:val="0"/>
          <w:sz w:val="24"/>
          <w:szCs w:val="24"/>
          <w:highlight w:val="none"/>
        </w:rPr>
        <w:t>十、签订地点</w:t>
      </w:r>
      <w:bookmarkEnd w:id="376"/>
    </w:p>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本合同在</w:t>
      </w:r>
      <w:r>
        <w:rPr>
          <w:rFonts w:ascii="宋体" w:hAnsi="宋体"/>
          <w:bCs/>
          <w:szCs w:val="21"/>
          <w:highlight w:val="none"/>
          <w:u w:val="single"/>
        </w:rPr>
        <w:t xml:space="preserve">                                    </w:t>
      </w:r>
      <w:r>
        <w:rPr>
          <w:rFonts w:ascii="宋体" w:hAnsi="宋体"/>
          <w:bCs/>
          <w:szCs w:val="21"/>
          <w:highlight w:val="none"/>
        </w:rPr>
        <w:t>签订</w:t>
      </w:r>
      <w:r>
        <w:rPr>
          <w:rFonts w:hint="eastAsia" w:ascii="宋体" w:hAnsi="宋体" w:cs="宋体"/>
          <w:bCs/>
          <w:sz w:val="24"/>
          <w:highlight w:val="none"/>
        </w:rPr>
        <w:t>。</w:t>
      </w:r>
    </w:p>
    <w:p>
      <w:pPr>
        <w:pStyle w:val="6"/>
        <w:spacing w:line="360" w:lineRule="exact"/>
        <w:rPr>
          <w:rFonts w:hint="eastAsia" w:ascii="宋体" w:hAnsi="宋体" w:eastAsia="宋体" w:cs="宋体"/>
          <w:bCs w:val="0"/>
          <w:sz w:val="24"/>
          <w:szCs w:val="24"/>
          <w:highlight w:val="none"/>
        </w:rPr>
      </w:pPr>
      <w:bookmarkStart w:id="377" w:name="_Toc351203491"/>
      <w:r>
        <w:rPr>
          <w:rFonts w:hint="eastAsia" w:ascii="宋体" w:hAnsi="宋体" w:eastAsia="宋体" w:cs="宋体"/>
          <w:bCs w:val="0"/>
          <w:sz w:val="24"/>
          <w:szCs w:val="24"/>
          <w:highlight w:val="none"/>
        </w:rPr>
        <w:t>十一、其他</w:t>
      </w:r>
    </w:p>
    <w:p>
      <w:pPr>
        <w:spacing w:line="460" w:lineRule="exact"/>
        <w:ind w:firstLine="360" w:firstLineChars="150"/>
        <w:rPr>
          <w:rFonts w:ascii="宋体" w:hAnsi="宋体" w:cs="宋体"/>
          <w:sz w:val="24"/>
          <w:highlight w:val="none"/>
        </w:rPr>
      </w:pPr>
      <w:r>
        <w:rPr>
          <w:rFonts w:ascii="宋体" w:hAnsi="宋体" w:cs="宋体"/>
          <w:sz w:val="24"/>
          <w:highlight w:val="none"/>
        </w:rPr>
        <w:t>1、</w:t>
      </w:r>
      <w:r>
        <w:rPr>
          <w:rFonts w:ascii="宋体" w:hAnsi="宋体" w:cs="宋体"/>
          <w:sz w:val="24"/>
          <w:highlight w:val="none"/>
        </w:rPr>
        <w:tab/>
      </w:r>
      <w:r>
        <w:rPr>
          <w:rFonts w:ascii="宋体" w:hAnsi="宋体" w:cs="宋体"/>
          <w:sz w:val="24"/>
          <w:highlight w:val="none"/>
        </w:rPr>
        <w:t>中标单位自行负责处理施工现场及周边环境，费用自理。</w:t>
      </w:r>
    </w:p>
    <w:p>
      <w:pPr>
        <w:spacing w:line="460" w:lineRule="exact"/>
        <w:ind w:firstLine="360" w:firstLineChars="150"/>
        <w:rPr>
          <w:rFonts w:ascii="宋体" w:hAnsi="宋体" w:cs="宋体"/>
          <w:sz w:val="24"/>
          <w:highlight w:val="none"/>
        </w:rPr>
      </w:pPr>
      <w:r>
        <w:rPr>
          <w:rFonts w:ascii="宋体" w:hAnsi="宋体" w:cs="宋体"/>
          <w:sz w:val="24"/>
          <w:highlight w:val="none"/>
        </w:rPr>
        <w:t>2、</w:t>
      </w:r>
      <w:r>
        <w:rPr>
          <w:rFonts w:ascii="宋体" w:hAnsi="宋体" w:cs="宋体"/>
          <w:sz w:val="24"/>
          <w:highlight w:val="none"/>
        </w:rPr>
        <w:tab/>
      </w:r>
      <w:r>
        <w:rPr>
          <w:rFonts w:ascii="宋体" w:hAnsi="宋体" w:cs="宋体"/>
          <w:sz w:val="24"/>
          <w:highlight w:val="none"/>
        </w:rPr>
        <w:t>承包人应按规定全额交纳民工工资保证金和缴纳办理施工许可证所需的一切费用（含安全文明施工费、社会保障金等费用）及己方人员应办理的保险费用等，及时提交办理施工许可证所需的资料。</w:t>
      </w:r>
    </w:p>
    <w:p>
      <w:pPr>
        <w:pStyle w:val="6"/>
        <w:spacing w:line="360" w:lineRule="exact"/>
        <w:rPr>
          <w:rFonts w:ascii="宋体" w:hAnsi="宋体" w:eastAsia="宋体" w:cs="宋体"/>
          <w:bCs w:val="0"/>
          <w:sz w:val="24"/>
          <w:szCs w:val="24"/>
          <w:highlight w:val="none"/>
        </w:rPr>
      </w:pPr>
      <w:r>
        <w:rPr>
          <w:rFonts w:hint="eastAsia" w:ascii="宋体" w:hAnsi="宋体" w:eastAsia="宋体" w:cs="宋体"/>
          <w:bCs w:val="0"/>
          <w:sz w:val="24"/>
          <w:szCs w:val="24"/>
          <w:highlight w:val="none"/>
        </w:rPr>
        <w:t>十二、补充协议</w:t>
      </w:r>
      <w:bookmarkEnd w:id="377"/>
    </w:p>
    <w:p>
      <w:pPr>
        <w:spacing w:line="360" w:lineRule="exact"/>
        <w:ind w:firstLine="480" w:firstLineChars="200"/>
        <w:rPr>
          <w:rFonts w:ascii="宋体" w:hAnsi="宋体" w:cs="宋体"/>
          <w:b/>
          <w:bCs/>
          <w:sz w:val="24"/>
          <w:highlight w:val="none"/>
        </w:rPr>
      </w:pPr>
      <w:r>
        <w:rPr>
          <w:rFonts w:hint="eastAsia" w:ascii="宋体" w:hAnsi="宋体" w:cs="宋体"/>
          <w:bCs/>
          <w:sz w:val="24"/>
          <w:highlight w:val="none"/>
        </w:rPr>
        <w:t>合同未尽事宜，合同当事人另行签订补充协议，补充协议是合同的组成部分。</w:t>
      </w:r>
    </w:p>
    <w:p>
      <w:pPr>
        <w:pStyle w:val="6"/>
        <w:spacing w:line="360" w:lineRule="exact"/>
        <w:rPr>
          <w:rFonts w:ascii="宋体" w:hAnsi="宋体" w:eastAsia="宋体" w:cs="宋体"/>
          <w:bCs w:val="0"/>
          <w:sz w:val="24"/>
          <w:szCs w:val="24"/>
          <w:highlight w:val="none"/>
        </w:rPr>
      </w:pPr>
      <w:bookmarkStart w:id="378" w:name="_Toc351203492"/>
      <w:r>
        <w:rPr>
          <w:rFonts w:hint="eastAsia" w:ascii="宋体" w:hAnsi="宋体" w:eastAsia="宋体" w:cs="宋体"/>
          <w:bCs w:val="0"/>
          <w:sz w:val="24"/>
          <w:szCs w:val="24"/>
          <w:highlight w:val="none"/>
        </w:rPr>
        <w:t>十三、合同生效</w:t>
      </w:r>
      <w:bookmarkEnd w:id="378"/>
    </w:p>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本合同自</w:t>
      </w:r>
      <w:r>
        <w:rPr>
          <w:rFonts w:hint="eastAsia" w:ascii="宋体" w:hAnsi="宋体" w:cs="宋体"/>
          <w:bCs/>
          <w:sz w:val="24"/>
          <w:highlight w:val="none"/>
          <w:u w:val="single"/>
        </w:rPr>
        <w:t xml:space="preserve">                                   </w:t>
      </w:r>
      <w:r>
        <w:rPr>
          <w:rFonts w:hint="eastAsia" w:ascii="宋体" w:hAnsi="宋体" w:cs="宋体"/>
          <w:bCs/>
          <w:sz w:val="24"/>
          <w:highlight w:val="none"/>
        </w:rPr>
        <w:t>生效。</w:t>
      </w:r>
    </w:p>
    <w:p>
      <w:pPr>
        <w:pStyle w:val="6"/>
        <w:spacing w:line="360" w:lineRule="auto"/>
        <w:rPr>
          <w:rFonts w:ascii="宋体" w:hAnsi="宋体" w:eastAsia="宋体" w:cs="宋体"/>
          <w:bCs w:val="0"/>
          <w:sz w:val="24"/>
          <w:szCs w:val="24"/>
          <w:highlight w:val="none"/>
        </w:rPr>
      </w:pPr>
      <w:bookmarkStart w:id="379" w:name="_Toc351203493"/>
      <w:r>
        <w:rPr>
          <w:rFonts w:hint="eastAsia" w:ascii="宋体" w:hAnsi="宋体" w:eastAsia="宋体" w:cs="宋体"/>
          <w:bCs w:val="0"/>
          <w:sz w:val="24"/>
          <w:szCs w:val="24"/>
          <w:highlight w:val="none"/>
        </w:rPr>
        <w:t>十四、合同份数</w:t>
      </w:r>
      <w:bookmarkEnd w:id="379"/>
    </w:p>
    <w:p>
      <w:pPr>
        <w:spacing w:line="360" w:lineRule="auto"/>
        <w:ind w:firstLine="360" w:firstLineChars="150"/>
        <w:rPr>
          <w:rFonts w:ascii="宋体" w:hAnsi="宋体" w:cs="宋体"/>
          <w:sz w:val="24"/>
          <w:highlight w:val="none"/>
        </w:rPr>
      </w:pPr>
      <w:r>
        <w:rPr>
          <w:rFonts w:hint="eastAsia" w:ascii="宋体" w:hAnsi="宋体" w:cs="宋体"/>
          <w:sz w:val="24"/>
          <w:highlight w:val="none"/>
        </w:rPr>
        <w:t>本合同双方签字盖章即生效一式</w:t>
      </w:r>
      <w:r>
        <w:rPr>
          <w:rFonts w:hint="eastAsia" w:ascii="宋体" w:hAnsi="宋体" w:cs="宋体"/>
          <w:sz w:val="24"/>
          <w:highlight w:val="none"/>
          <w:u w:val="single"/>
        </w:rPr>
        <w:t xml:space="preserve">   </w:t>
      </w:r>
      <w:r>
        <w:rPr>
          <w:rFonts w:hint="eastAsia" w:ascii="宋体" w:hAnsi="宋体" w:cs="宋体"/>
          <w:sz w:val="24"/>
          <w:highlight w:val="none"/>
        </w:rPr>
        <w:t>份，发包人</w:t>
      </w:r>
      <w:r>
        <w:rPr>
          <w:rFonts w:hint="eastAsia" w:ascii="宋体" w:hAnsi="宋体" w:cs="宋体"/>
          <w:sz w:val="24"/>
          <w:highlight w:val="none"/>
          <w:u w:val="single"/>
        </w:rPr>
        <w:t xml:space="preserve">   </w:t>
      </w:r>
      <w:r>
        <w:rPr>
          <w:rFonts w:hint="eastAsia" w:ascii="宋体" w:hAnsi="宋体" w:cs="宋体"/>
          <w:sz w:val="24"/>
          <w:highlight w:val="none"/>
        </w:rPr>
        <w:t>份，承包人</w:t>
      </w:r>
      <w:r>
        <w:rPr>
          <w:rFonts w:hint="eastAsia" w:ascii="宋体" w:hAnsi="宋体" w:cs="宋体"/>
          <w:sz w:val="24"/>
          <w:highlight w:val="none"/>
          <w:u w:val="single"/>
        </w:rPr>
        <w:t xml:space="preserve">   </w:t>
      </w:r>
      <w:r>
        <w:rPr>
          <w:rFonts w:hint="eastAsia" w:ascii="宋体" w:hAnsi="宋体" w:cs="宋体"/>
          <w:sz w:val="24"/>
          <w:highlight w:val="none"/>
        </w:rPr>
        <w:t>份，汶上县财政局、招标代理机构各持</w:t>
      </w:r>
      <w:r>
        <w:rPr>
          <w:rFonts w:hint="eastAsia" w:ascii="宋体" w:hAnsi="宋体" w:cs="宋体"/>
          <w:sz w:val="24"/>
          <w:highlight w:val="none"/>
          <w:u w:val="single"/>
        </w:rPr>
        <w:t xml:space="preserve"> 壹 </w:t>
      </w:r>
      <w:r>
        <w:rPr>
          <w:rFonts w:hint="eastAsia" w:ascii="宋体" w:hAnsi="宋体" w:cs="宋体"/>
          <w:sz w:val="24"/>
          <w:highlight w:val="none"/>
        </w:rPr>
        <w:t>份，正副本具有同行效力。</w:t>
      </w:r>
    </w:p>
    <w:p>
      <w:pPr>
        <w:spacing w:line="360" w:lineRule="auto"/>
        <w:rPr>
          <w:rFonts w:ascii="宋体" w:hAnsi="宋体" w:cs="宋体"/>
          <w:sz w:val="24"/>
          <w:highlight w:val="none"/>
        </w:rPr>
      </w:pPr>
      <w:r>
        <w:rPr>
          <w:rFonts w:hint="eastAsia" w:ascii="宋体" w:hAnsi="宋体" w:cs="宋体"/>
          <w:sz w:val="24"/>
          <w:highlight w:val="none"/>
        </w:rPr>
        <w:t>发包人：  (公章)                                承包人：  (公章)</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rPr>
        <w:t>法定代表人或其委托代理人：                      法定代表人或其委托代理人：</w:t>
      </w:r>
    </w:p>
    <w:p>
      <w:pPr>
        <w:spacing w:line="360" w:lineRule="auto"/>
        <w:rPr>
          <w:rFonts w:ascii="宋体" w:hAnsi="宋体" w:cs="宋体"/>
          <w:sz w:val="24"/>
          <w:highlight w:val="none"/>
        </w:rPr>
      </w:pPr>
      <w:r>
        <w:rPr>
          <w:rFonts w:hint="eastAsia" w:ascii="宋体" w:hAnsi="宋体" w:cs="宋体"/>
          <w:sz w:val="24"/>
          <w:highlight w:val="none"/>
        </w:rPr>
        <w:t>（签字）                                       （签字）</w:t>
      </w:r>
    </w:p>
    <w:p>
      <w:pPr>
        <w:spacing w:line="360" w:lineRule="exact"/>
        <w:rPr>
          <w:rFonts w:ascii="宋体" w:hAnsi="宋体" w:cs="宋体"/>
          <w:sz w:val="24"/>
          <w:highlight w:val="none"/>
          <w:u w:val="single"/>
        </w:rPr>
      </w:pPr>
    </w:p>
    <w:p>
      <w:pPr>
        <w:tabs>
          <w:tab w:val="left" w:pos="4410"/>
          <w:tab w:val="left" w:pos="5040"/>
        </w:tabs>
        <w:spacing w:line="360" w:lineRule="auto"/>
        <w:rPr>
          <w:rFonts w:ascii="宋体" w:hAnsi="宋体" w:cs="宋体"/>
          <w:sz w:val="24"/>
          <w:highlight w:val="none"/>
        </w:rPr>
      </w:pPr>
      <w:r>
        <w:rPr>
          <w:rFonts w:hint="eastAsia" w:ascii="宋体" w:hAnsi="宋体" w:cs="宋体"/>
          <w:sz w:val="24"/>
          <w:highlight w:val="none"/>
        </w:rPr>
        <w:t>组织机构代码：                                组织机构代码：</w:t>
      </w:r>
    </w:p>
    <w:p>
      <w:pPr>
        <w:tabs>
          <w:tab w:val="left" w:pos="5040"/>
        </w:tabs>
        <w:spacing w:line="360" w:lineRule="auto"/>
        <w:rPr>
          <w:rFonts w:ascii="宋体" w:hAnsi="宋体" w:cs="宋体"/>
          <w:sz w:val="24"/>
          <w:highlight w:val="none"/>
        </w:rPr>
      </w:pPr>
      <w:r>
        <w:rPr>
          <w:rFonts w:hint="eastAsia" w:ascii="宋体" w:hAnsi="宋体" w:cs="宋体"/>
          <w:sz w:val="24"/>
          <w:highlight w:val="none"/>
        </w:rPr>
        <w:t>地  址：                                      地    址：</w:t>
      </w:r>
    </w:p>
    <w:p>
      <w:pPr>
        <w:tabs>
          <w:tab w:val="left" w:pos="5040"/>
        </w:tabs>
        <w:spacing w:line="360" w:lineRule="auto"/>
        <w:rPr>
          <w:rFonts w:ascii="宋体" w:hAnsi="宋体" w:cs="宋体"/>
          <w:sz w:val="24"/>
          <w:highlight w:val="none"/>
        </w:rPr>
      </w:pPr>
      <w:r>
        <w:rPr>
          <w:rFonts w:hint="eastAsia" w:ascii="宋体" w:hAnsi="宋体" w:cs="宋体"/>
          <w:sz w:val="24"/>
          <w:highlight w:val="none"/>
        </w:rPr>
        <w:t>邮政编码：                                    邮政编码：</w:t>
      </w:r>
    </w:p>
    <w:p>
      <w:pPr>
        <w:tabs>
          <w:tab w:val="left" w:pos="5040"/>
        </w:tabs>
        <w:spacing w:line="360" w:lineRule="auto"/>
        <w:rPr>
          <w:rFonts w:ascii="宋体" w:hAnsi="宋体" w:cs="宋体"/>
          <w:sz w:val="24"/>
          <w:highlight w:val="none"/>
        </w:rPr>
      </w:pPr>
      <w:r>
        <w:rPr>
          <w:rFonts w:hint="eastAsia" w:ascii="宋体" w:hAnsi="宋体" w:cs="宋体"/>
          <w:sz w:val="24"/>
          <w:highlight w:val="none"/>
        </w:rPr>
        <w:t>法定代表人：                                  法定代表人：</w:t>
      </w:r>
    </w:p>
    <w:p>
      <w:pPr>
        <w:tabs>
          <w:tab w:val="left" w:pos="5040"/>
        </w:tabs>
        <w:spacing w:line="360" w:lineRule="auto"/>
        <w:rPr>
          <w:rFonts w:ascii="宋体" w:hAnsi="宋体" w:cs="宋体"/>
          <w:sz w:val="24"/>
          <w:highlight w:val="none"/>
        </w:rPr>
      </w:pPr>
      <w:r>
        <w:rPr>
          <w:rFonts w:hint="eastAsia" w:ascii="宋体" w:hAnsi="宋体" w:cs="宋体"/>
          <w:sz w:val="24"/>
          <w:highlight w:val="none"/>
        </w:rPr>
        <w:t>委托代理人：                                  委托代理人：</w:t>
      </w:r>
    </w:p>
    <w:p>
      <w:pPr>
        <w:tabs>
          <w:tab w:val="left" w:pos="5040"/>
        </w:tabs>
        <w:spacing w:line="360" w:lineRule="auto"/>
        <w:rPr>
          <w:rFonts w:ascii="宋体" w:hAnsi="宋体" w:cs="宋体"/>
          <w:sz w:val="24"/>
          <w:highlight w:val="none"/>
        </w:rPr>
      </w:pPr>
      <w:r>
        <w:rPr>
          <w:rFonts w:hint="eastAsia" w:ascii="宋体" w:hAnsi="宋体" w:cs="宋体"/>
          <w:sz w:val="24"/>
          <w:highlight w:val="none"/>
        </w:rPr>
        <w:t>电  话：                                      电     话：</w:t>
      </w:r>
    </w:p>
    <w:p>
      <w:pPr>
        <w:tabs>
          <w:tab w:val="left" w:pos="5040"/>
        </w:tabs>
        <w:spacing w:line="360" w:lineRule="auto"/>
        <w:rPr>
          <w:rFonts w:ascii="宋体" w:hAnsi="宋体" w:cs="宋体"/>
          <w:sz w:val="24"/>
          <w:highlight w:val="none"/>
        </w:rPr>
      </w:pPr>
      <w:r>
        <w:rPr>
          <w:rFonts w:hint="eastAsia" w:ascii="宋体" w:hAnsi="宋体" w:cs="宋体"/>
          <w:sz w:val="24"/>
          <w:highlight w:val="none"/>
        </w:rPr>
        <w:t>传  真：                                      传     真：</w:t>
      </w:r>
    </w:p>
    <w:p>
      <w:pPr>
        <w:tabs>
          <w:tab w:val="left" w:pos="5040"/>
        </w:tabs>
        <w:spacing w:line="360" w:lineRule="auto"/>
        <w:rPr>
          <w:rFonts w:ascii="宋体" w:hAnsi="宋体" w:cs="宋体"/>
          <w:sz w:val="24"/>
          <w:highlight w:val="none"/>
        </w:rPr>
      </w:pPr>
      <w:r>
        <w:rPr>
          <w:rFonts w:hint="eastAsia" w:ascii="宋体" w:hAnsi="宋体" w:cs="宋体"/>
          <w:sz w:val="24"/>
          <w:highlight w:val="none"/>
        </w:rPr>
        <w:t>电子信箱：                                    电子信箱：</w:t>
      </w:r>
    </w:p>
    <w:p>
      <w:pPr>
        <w:tabs>
          <w:tab w:val="left" w:pos="5040"/>
        </w:tabs>
        <w:spacing w:line="360" w:lineRule="auto"/>
        <w:rPr>
          <w:rFonts w:ascii="宋体" w:hAnsi="宋体" w:cs="宋体"/>
          <w:sz w:val="24"/>
          <w:highlight w:val="none"/>
        </w:rPr>
      </w:pPr>
      <w:r>
        <w:rPr>
          <w:rFonts w:hint="eastAsia" w:ascii="宋体" w:hAnsi="宋体" w:cs="宋体"/>
          <w:sz w:val="24"/>
          <w:highlight w:val="none"/>
        </w:rPr>
        <w:t>开户银行：                                    开户银行：</w:t>
      </w:r>
    </w:p>
    <w:p>
      <w:pPr>
        <w:tabs>
          <w:tab w:val="left" w:pos="5040"/>
        </w:tabs>
        <w:spacing w:line="360" w:lineRule="auto"/>
        <w:rPr>
          <w:rFonts w:ascii="宋体" w:hAnsi="宋体" w:cs="宋体"/>
          <w:sz w:val="24"/>
          <w:highlight w:val="none"/>
        </w:rPr>
      </w:pPr>
      <w:r>
        <w:rPr>
          <w:rFonts w:hint="eastAsia" w:ascii="宋体" w:hAnsi="宋体" w:cs="宋体"/>
          <w:sz w:val="24"/>
          <w:highlight w:val="none"/>
        </w:rPr>
        <w:t>账  号：                                      账     号：</w:t>
      </w:r>
    </w:p>
    <w:p>
      <w:pPr>
        <w:spacing w:line="440" w:lineRule="exact"/>
        <w:jc w:val="center"/>
        <w:rPr>
          <w:rFonts w:ascii="宋体" w:hAnsi="宋体" w:cs="宋体"/>
          <w:sz w:val="30"/>
          <w:szCs w:val="30"/>
          <w:highlight w:val="none"/>
        </w:rPr>
      </w:pPr>
      <w:r>
        <w:rPr>
          <w:rFonts w:hint="eastAsia" w:ascii="宋体" w:hAnsi="宋体" w:cs="宋体"/>
          <w:sz w:val="30"/>
          <w:szCs w:val="30"/>
          <w:highlight w:val="none"/>
        </w:rPr>
        <w:br w:type="page"/>
      </w:r>
      <w:r>
        <w:rPr>
          <w:rFonts w:hint="eastAsia" w:ascii="宋体" w:hAnsi="宋体" w:cs="宋体"/>
          <w:sz w:val="30"/>
          <w:szCs w:val="30"/>
          <w:highlight w:val="none"/>
        </w:rPr>
        <w:t>二、通用合同条款</w:t>
      </w:r>
    </w:p>
    <w:p>
      <w:pPr>
        <w:jc w:val="center"/>
        <w:rPr>
          <w:rFonts w:ascii="宋体" w:hAnsi="宋体" w:cs="宋体"/>
          <w:sz w:val="30"/>
          <w:szCs w:val="30"/>
          <w:highlight w:val="none"/>
        </w:rPr>
      </w:pPr>
    </w:p>
    <w:p>
      <w:pPr>
        <w:rPr>
          <w:rFonts w:ascii="宋体" w:hAnsi="宋体" w:cs="宋体"/>
          <w:sz w:val="24"/>
          <w:highlight w:val="none"/>
        </w:rPr>
      </w:pPr>
      <w:r>
        <w:rPr>
          <w:rFonts w:hint="eastAsia" w:ascii="宋体" w:hAnsi="宋体" w:cs="宋体"/>
          <w:sz w:val="24"/>
          <w:highlight w:val="none"/>
        </w:rPr>
        <w:t>通用合同条款直接引用《建设工程施工合同》（示范文本）（GF-2017-0201）中的通用条款部分。</w:t>
      </w:r>
    </w:p>
    <w:p>
      <w:pPr>
        <w:jc w:val="center"/>
        <w:rPr>
          <w:rFonts w:ascii="宋体" w:hAnsi="宋体" w:cs="宋体"/>
          <w:sz w:val="30"/>
          <w:szCs w:val="30"/>
          <w:highlight w:val="none"/>
        </w:rPr>
      </w:pPr>
      <w:r>
        <w:rPr>
          <w:rFonts w:hint="eastAsia" w:ascii="宋体" w:hAnsi="宋体" w:cs="宋体"/>
          <w:highlight w:val="none"/>
        </w:rPr>
        <w:br w:type="page"/>
      </w:r>
      <w:r>
        <w:rPr>
          <w:rFonts w:hint="eastAsia" w:ascii="宋体" w:hAnsi="宋体" w:cs="宋体"/>
          <w:sz w:val="30"/>
          <w:szCs w:val="30"/>
          <w:highlight w:val="none"/>
        </w:rPr>
        <w:t>三、  专用条款</w:t>
      </w:r>
    </w:p>
    <w:p>
      <w:pPr>
        <w:pStyle w:val="6"/>
        <w:spacing w:line="400" w:lineRule="exact"/>
        <w:ind w:firstLine="482" w:firstLineChars="200"/>
        <w:rPr>
          <w:rFonts w:ascii="宋体" w:hAnsi="宋体" w:eastAsia="宋体" w:cs="宋体"/>
          <w:bCs w:val="0"/>
          <w:sz w:val="24"/>
          <w:szCs w:val="24"/>
          <w:highlight w:val="none"/>
        </w:rPr>
      </w:pPr>
      <w:bookmarkStart w:id="380" w:name="_Toc351203633"/>
      <w:r>
        <w:rPr>
          <w:rFonts w:hint="eastAsia" w:ascii="宋体" w:hAnsi="宋体" w:eastAsia="宋体" w:cs="宋体"/>
          <w:bCs w:val="0"/>
          <w:sz w:val="24"/>
          <w:szCs w:val="24"/>
          <w:highlight w:val="none"/>
        </w:rPr>
        <w:t>1</w:t>
      </w:r>
      <w:bookmarkStart w:id="381" w:name="_Toc296944495"/>
      <w:bookmarkStart w:id="382" w:name="_Toc296347155"/>
      <w:bookmarkStart w:id="383" w:name="_Toc296503156"/>
      <w:bookmarkStart w:id="384" w:name="_Toc292559361"/>
      <w:bookmarkStart w:id="385" w:name="_Toc297048342"/>
      <w:bookmarkStart w:id="386" w:name="_Toc297120456"/>
      <w:bookmarkStart w:id="387" w:name="_Toc296346657"/>
      <w:bookmarkStart w:id="388" w:name="_Toc296890984"/>
      <w:bookmarkStart w:id="389" w:name="_Toc292559866"/>
      <w:bookmarkStart w:id="390" w:name="_Toc296891196"/>
      <w:r>
        <w:rPr>
          <w:rFonts w:hint="eastAsia" w:ascii="宋体" w:hAnsi="宋体" w:eastAsia="宋体" w:cs="宋体"/>
          <w:bCs w:val="0"/>
          <w:sz w:val="24"/>
          <w:szCs w:val="24"/>
          <w:highlight w:val="none"/>
        </w:rPr>
        <w:t>. 一般约定</w:t>
      </w:r>
      <w:bookmarkEnd w:id="380"/>
    </w:p>
    <w:bookmarkEnd w:id="381"/>
    <w:bookmarkEnd w:id="382"/>
    <w:bookmarkEnd w:id="383"/>
    <w:bookmarkEnd w:id="384"/>
    <w:bookmarkEnd w:id="385"/>
    <w:bookmarkEnd w:id="386"/>
    <w:bookmarkEnd w:id="387"/>
    <w:bookmarkEnd w:id="388"/>
    <w:bookmarkEnd w:id="389"/>
    <w:bookmarkEnd w:id="390"/>
    <w:p>
      <w:pPr>
        <w:spacing w:line="400" w:lineRule="exact"/>
        <w:ind w:firstLine="480" w:firstLineChars="200"/>
        <w:rPr>
          <w:rFonts w:ascii="宋体" w:hAnsi="宋体" w:cs="宋体"/>
          <w:sz w:val="24"/>
          <w:highlight w:val="none"/>
        </w:rPr>
      </w:pPr>
      <w:r>
        <w:rPr>
          <w:rFonts w:hint="eastAsia" w:ascii="宋体" w:hAnsi="宋体" w:cs="宋体"/>
          <w:sz w:val="24"/>
          <w:highlight w:val="none"/>
        </w:rPr>
        <w:t>1.1 词语定义</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1.1.1合同</w:t>
      </w:r>
    </w:p>
    <w:p>
      <w:pPr>
        <w:topLinePunct/>
        <w:spacing w:line="400" w:lineRule="exact"/>
        <w:ind w:firstLine="480" w:firstLineChars="200"/>
        <w:rPr>
          <w:rFonts w:ascii="宋体" w:hAnsi="宋体" w:cs="宋体"/>
          <w:kern w:val="0"/>
          <w:sz w:val="24"/>
          <w:highlight w:val="none"/>
        </w:rPr>
      </w:pPr>
      <w:r>
        <w:rPr>
          <w:rFonts w:hint="eastAsia" w:ascii="宋体" w:hAnsi="宋体" w:cs="宋体"/>
          <w:sz w:val="24"/>
          <w:highlight w:val="none"/>
        </w:rPr>
        <w:t>1.1.1.10其他合同文件包括：</w:t>
      </w:r>
      <w:r>
        <w:rPr>
          <w:rFonts w:hint="eastAsia" w:ascii="宋体" w:hAnsi="宋体" w:cs="宋体"/>
          <w:sz w:val="24"/>
          <w:highlight w:val="none"/>
          <w:u w:val="single"/>
        </w:rPr>
        <w:t>施工组织设计、采购文件和文件、补充协议、补充条款、施工现场统一管理协议、和解调节协议、有关工程洽商、变更等。</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1.1.2 合同当事人及其他相关方</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1.1.2.4监理人</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资质类别和等级：</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1.1.2.5 设计人：</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名    称：</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资质类别和等级：</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1.1.3 工程和设备</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1.1.3.7 作为施工现场组成部分的其他场所包括：</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1.1.3.9 永久占地包括：</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1.1.3.10 临时占地包括：</w:t>
      </w:r>
      <w:r>
        <w:rPr>
          <w:rFonts w:hint="eastAsia" w:ascii="宋体" w:hAnsi="宋体" w:cs="宋体"/>
          <w:sz w:val="24"/>
          <w:highlight w:val="none"/>
          <w:u w:val="single"/>
        </w:rPr>
        <w:t>建设临时工程的用地或用于施工所需场地。</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1.3法律 </w:t>
      </w:r>
    </w:p>
    <w:p>
      <w:pPr>
        <w:autoSpaceDE w:val="0"/>
        <w:autoSpaceDN w:val="0"/>
        <w:spacing w:line="400" w:lineRule="exact"/>
        <w:ind w:left="596" w:leftChars="284"/>
        <w:rPr>
          <w:rFonts w:ascii="宋体" w:hAnsi="宋体" w:cs="宋体"/>
          <w:sz w:val="24"/>
          <w:highlight w:val="none"/>
        </w:rPr>
      </w:pPr>
      <w:r>
        <w:rPr>
          <w:rFonts w:hint="eastAsia" w:ascii="宋体" w:hAnsi="宋体" w:cs="宋体"/>
          <w:sz w:val="24"/>
          <w:highlight w:val="none"/>
        </w:rPr>
        <w:t>适用于合同的其他规范性文件：</w:t>
      </w:r>
      <w:r>
        <w:rPr>
          <w:rFonts w:hint="eastAsia" w:ascii="宋体" w:hAnsi="宋体" w:cs="宋体"/>
          <w:sz w:val="24"/>
          <w:highlight w:val="none"/>
          <w:u w:val="single"/>
        </w:rPr>
        <w:t>执行现行的国家法律法规，遵守山东省、济宁市、汶上县的地方法规和有关部门的规章规定。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1.4 标准和规范</w:t>
      </w:r>
    </w:p>
    <w:p>
      <w:pPr>
        <w:spacing w:line="400" w:lineRule="exact"/>
        <w:ind w:left="596" w:leftChars="284"/>
        <w:rPr>
          <w:rFonts w:ascii="宋体" w:hAnsi="宋体" w:cs="宋体"/>
          <w:sz w:val="24"/>
          <w:highlight w:val="none"/>
        </w:rPr>
      </w:pPr>
      <w:r>
        <w:rPr>
          <w:rFonts w:hint="eastAsia" w:ascii="宋体" w:hAnsi="宋体" w:cs="宋体"/>
          <w:sz w:val="24"/>
          <w:highlight w:val="none"/>
        </w:rPr>
        <w:t>1.4.1适用于工程的标准规范包括：</w:t>
      </w:r>
      <w:r>
        <w:rPr>
          <w:rFonts w:hint="eastAsia" w:ascii="宋体" w:hAnsi="宋体" w:cs="宋体"/>
          <w:sz w:val="24"/>
          <w:highlight w:val="none"/>
          <w:u w:val="single"/>
        </w:rPr>
        <w:t>执行国家、省市现行的建筑工程施工及验收规范和施工技术标准、建筑工程施工操作规程、建设工程质量管理条例、工程建设标准强制性条文、建筑施工安全检查标准、建筑工程质量检验评定标准、建筑安装工程质量检验评定统一标准以及有关建筑质量、安全施工、建筑材料备案证制度等有关文件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1.5 合同文件的优先顺序</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合同文件组成及优先顺序为：</w:t>
      </w:r>
      <w:r>
        <w:rPr>
          <w:rFonts w:hint="eastAsia" w:ascii="宋体" w:hAnsi="宋体" w:cs="宋体"/>
          <w:sz w:val="24"/>
          <w:highlight w:val="none"/>
          <w:u w:val="single"/>
        </w:rPr>
        <w:t xml:space="preserve">    执行通用条款</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1.6 图纸和承包人文件</w:t>
      </w:r>
      <w:r>
        <w:rPr>
          <w:rFonts w:hint="eastAsia" w:ascii="宋体" w:hAnsi="宋体" w:cs="宋体"/>
          <w:sz w:val="24"/>
          <w:highlight w:val="none"/>
        </w:rPr>
        <w:tab/>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1.6.1 图纸的提供：无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1.6.2 承包人文件</w:t>
      </w:r>
    </w:p>
    <w:p>
      <w:pPr>
        <w:spacing w:line="400" w:lineRule="exact"/>
        <w:rPr>
          <w:rFonts w:ascii="宋体" w:hAnsi="宋体" w:cs="宋体"/>
          <w:sz w:val="24"/>
          <w:highlight w:val="none"/>
        </w:rPr>
      </w:pPr>
      <w:r>
        <w:rPr>
          <w:rFonts w:hint="eastAsia" w:ascii="宋体" w:hAnsi="宋体" w:cs="宋体"/>
          <w:sz w:val="24"/>
          <w:highlight w:val="none"/>
        </w:rPr>
        <w:t xml:space="preserve">    需要由承包人提供的文件，包括：</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承包人提供的文件的期限为：</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承包人提供的文件的数量为：</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承包人提供的文件的形式为：</w:t>
      </w:r>
      <w:r>
        <w:rPr>
          <w:rFonts w:hint="eastAsia" w:ascii="宋体" w:hAnsi="宋体" w:cs="宋体"/>
          <w:sz w:val="24"/>
          <w:highlight w:val="none"/>
          <w:u w:val="single"/>
        </w:rPr>
        <w:t xml:space="preserve"> 书面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发包人审批承包人文件的期限：</w:t>
      </w:r>
      <w:r>
        <w:rPr>
          <w:rFonts w:hint="eastAsia" w:ascii="宋体" w:hAnsi="宋体" w:cs="宋体"/>
          <w:sz w:val="24"/>
          <w:highlight w:val="none"/>
          <w:u w:val="single"/>
        </w:rPr>
        <w:t xml:space="preserve"> 另行约定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1.6.3现场图纸准备：无。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1.7 联络</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1.7.1发包人和承包人应当在</w:t>
      </w:r>
      <w:r>
        <w:rPr>
          <w:rFonts w:hint="eastAsia" w:ascii="宋体" w:hAnsi="宋体" w:cs="宋体"/>
          <w:sz w:val="24"/>
          <w:highlight w:val="none"/>
          <w:u w:val="single"/>
        </w:rPr>
        <w:t xml:space="preserve">   3   </w:t>
      </w:r>
      <w:r>
        <w:rPr>
          <w:rFonts w:hint="eastAsia" w:ascii="宋体" w:hAnsi="宋体" w:cs="宋体"/>
          <w:sz w:val="24"/>
          <w:highlight w:val="none"/>
        </w:rPr>
        <w:t>天内将与合同有关的通知、批准、证明、证书、指示、指令、要求、请求、同意、意见、确定和决定等书面函件送达对方当事人。</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1.7.2 发包人接收文件的地点：</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发包人指定的接收人为：</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承包人接收文件的地点：</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承包人指定的接收人为：</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监理人接收文件的地点：</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监理人指定的接收人为：</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1.10 交通运输</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w:t>
      </w:r>
      <w:bookmarkStart w:id="391" w:name="_Toc300934943"/>
      <w:bookmarkStart w:id="392" w:name="_Toc303539100"/>
      <w:bookmarkStart w:id="393" w:name="_Toc304295521"/>
      <w:bookmarkStart w:id="394" w:name="_Toc312677986"/>
      <w:bookmarkStart w:id="395" w:name="_Toc318581155"/>
      <w:r>
        <w:rPr>
          <w:rFonts w:hint="eastAsia" w:ascii="宋体" w:hAnsi="宋体" w:cs="宋体"/>
          <w:sz w:val="24"/>
          <w:highlight w:val="none"/>
        </w:rPr>
        <w:t>.10.1 出入现场的权利</w:t>
      </w:r>
    </w:p>
    <w:p>
      <w:pPr>
        <w:spacing w:line="400" w:lineRule="exact"/>
        <w:ind w:left="596" w:leftChars="284"/>
        <w:rPr>
          <w:rFonts w:ascii="宋体" w:hAnsi="宋体" w:cs="宋体"/>
          <w:sz w:val="24"/>
          <w:highlight w:val="none"/>
        </w:rPr>
      </w:pPr>
      <w:r>
        <w:rPr>
          <w:rFonts w:hint="eastAsia" w:ascii="宋体" w:hAnsi="宋体" w:cs="宋体"/>
          <w:sz w:val="24"/>
          <w:highlight w:val="none"/>
        </w:rPr>
        <w:t>关于出入现场的权利的约定：</w:t>
      </w:r>
      <w:r>
        <w:rPr>
          <w:rFonts w:hint="eastAsia" w:ascii="宋体" w:hAnsi="宋体" w:cs="宋体"/>
          <w:sz w:val="24"/>
          <w:highlight w:val="none"/>
          <w:u w:val="single"/>
        </w:rPr>
        <w:t>专门用于本工程施工的，由承包人提供的设备、设施、机械、材料一经运至现场即视为专门提供本工程使用。没有发包人同意不得运出现场。除合同规定外，发包人无论何时均不对上述设备、机械、材料的损失和损坏承担任何责任。</w:t>
      </w:r>
    </w:p>
    <w:bookmarkEnd w:id="391"/>
    <w:bookmarkEnd w:id="392"/>
    <w:bookmarkEnd w:id="393"/>
    <w:bookmarkEnd w:id="394"/>
    <w:bookmarkEnd w:id="395"/>
    <w:p>
      <w:pPr>
        <w:spacing w:line="400" w:lineRule="exact"/>
        <w:ind w:firstLine="480" w:firstLineChars="200"/>
        <w:rPr>
          <w:rFonts w:ascii="宋体" w:hAnsi="宋体" w:cs="宋体"/>
          <w:sz w:val="24"/>
          <w:highlight w:val="none"/>
        </w:rPr>
      </w:pPr>
      <w:r>
        <w:rPr>
          <w:rFonts w:hint="eastAsia" w:ascii="宋体" w:hAnsi="宋体" w:cs="宋体"/>
          <w:sz w:val="24"/>
          <w:highlight w:val="none"/>
        </w:rPr>
        <w:t>1</w:t>
      </w:r>
      <w:bookmarkStart w:id="396" w:name="_Toc304295522"/>
      <w:bookmarkStart w:id="397" w:name="_Toc300934944"/>
      <w:bookmarkStart w:id="398" w:name="_Toc303539101"/>
      <w:bookmarkStart w:id="399" w:name="_Toc312677987"/>
      <w:bookmarkStart w:id="400" w:name="_Toc318581156"/>
      <w:r>
        <w:rPr>
          <w:rFonts w:hint="eastAsia" w:ascii="宋体" w:hAnsi="宋体" w:cs="宋体"/>
          <w:sz w:val="24"/>
          <w:highlight w:val="none"/>
        </w:rPr>
        <w:t>.10.3 场内交通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关于场外交通和场内交通的边界的约定：。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关于发包人向承包人免费提供满足工程施工需要的场内道路和交通设施的约定：</w:t>
      </w:r>
      <w:r>
        <w:rPr>
          <w:rFonts w:hint="eastAsia" w:ascii="宋体" w:hAnsi="宋体" w:cs="宋体"/>
          <w:b/>
          <w:bCs/>
          <w:sz w:val="24"/>
          <w:highlight w:val="none"/>
          <w:u w:val="single"/>
        </w:rPr>
        <w:t>由承包人办理，并承担由此而发生的费用</w:t>
      </w:r>
      <w:r>
        <w:rPr>
          <w:rFonts w:hint="eastAsia" w:ascii="宋体" w:hAnsi="宋体" w:cs="宋体"/>
          <w:sz w:val="24"/>
          <w:highlight w:val="none"/>
          <w:u w:val="single"/>
        </w:rPr>
        <w:t></w:t>
      </w:r>
      <w:r>
        <w:rPr>
          <w:rFonts w:hint="eastAsia" w:ascii="宋体" w:hAnsi="宋体" w:cs="宋体"/>
          <w:sz w:val="24"/>
          <w:highlight w:val="none"/>
        </w:rPr>
        <w:t>。</w:t>
      </w:r>
      <w:bookmarkEnd w:id="396"/>
      <w:bookmarkEnd w:id="397"/>
      <w:bookmarkEnd w:id="398"/>
      <w:bookmarkEnd w:id="399"/>
      <w:bookmarkEnd w:id="400"/>
      <w:bookmarkStart w:id="401" w:name="_Toc318581157"/>
    </w:p>
    <w:p>
      <w:pPr>
        <w:spacing w:line="400" w:lineRule="exact"/>
        <w:ind w:firstLine="480" w:firstLineChars="200"/>
        <w:rPr>
          <w:rFonts w:ascii="宋体" w:hAnsi="宋体" w:cs="宋体"/>
          <w:sz w:val="24"/>
          <w:highlight w:val="none"/>
        </w:rPr>
      </w:pPr>
      <w:r>
        <w:rPr>
          <w:rFonts w:hint="eastAsia" w:ascii="宋体" w:hAnsi="宋体" w:cs="宋体"/>
          <w:sz w:val="24"/>
          <w:highlight w:val="none"/>
        </w:rPr>
        <w:t>1.10.4超大件和超重件的运输</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运输超大件或超重件所需的道路和桥梁临时加固改造费用和其他有关费用由</w:t>
      </w:r>
      <w:r>
        <w:rPr>
          <w:rFonts w:hint="eastAsia" w:ascii="宋体" w:hAnsi="宋体" w:cs="宋体"/>
          <w:sz w:val="24"/>
          <w:highlight w:val="none"/>
          <w:u w:val="single"/>
        </w:rPr>
        <w:t xml:space="preserve">    承包方 </w:t>
      </w:r>
      <w:r>
        <w:rPr>
          <w:rFonts w:hint="eastAsia" w:ascii="宋体" w:hAnsi="宋体" w:cs="宋体"/>
          <w:sz w:val="24"/>
          <w:highlight w:val="none"/>
        </w:rPr>
        <w:t>承担。</w:t>
      </w:r>
    </w:p>
    <w:bookmarkEnd w:id="401"/>
    <w:p>
      <w:pPr>
        <w:spacing w:line="400" w:lineRule="exact"/>
        <w:ind w:firstLine="480" w:firstLineChars="200"/>
        <w:rPr>
          <w:rFonts w:ascii="宋体" w:hAnsi="宋体" w:cs="宋体"/>
          <w:sz w:val="24"/>
          <w:highlight w:val="none"/>
        </w:rPr>
      </w:pPr>
      <w:r>
        <w:rPr>
          <w:rFonts w:hint="eastAsia" w:ascii="宋体" w:hAnsi="宋体" w:cs="宋体"/>
          <w:sz w:val="24"/>
          <w:highlight w:val="none"/>
        </w:rPr>
        <w:t>1.11 知识产权</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highlight w:val="none"/>
          <w:u w:val="single"/>
        </w:rPr>
        <w:t xml:space="preserve">属发包人，承包人可为实现合同目的复制和使用，但未经同意不能用于合同外或第三方 </w:t>
      </w:r>
      <w:r>
        <w:rPr>
          <w:rFonts w:hint="eastAsia" w:ascii="宋体" w:hAnsi="宋体" w:cs="宋体"/>
          <w:sz w:val="24"/>
          <w:highlight w:val="none"/>
        </w:rPr>
        <w:t>。</w:t>
      </w:r>
    </w:p>
    <w:p>
      <w:pPr>
        <w:spacing w:line="400" w:lineRule="exact"/>
        <w:rPr>
          <w:rFonts w:ascii="宋体" w:hAnsi="宋体" w:cs="宋体"/>
          <w:sz w:val="24"/>
          <w:highlight w:val="none"/>
        </w:rPr>
      </w:pPr>
      <w:r>
        <w:rPr>
          <w:rFonts w:hint="eastAsia" w:ascii="宋体" w:hAnsi="宋体" w:cs="宋体"/>
          <w:sz w:val="24"/>
          <w:highlight w:val="none"/>
        </w:rPr>
        <w:t xml:space="preserve">    关于发包人提供的上述文件的使用限制的要求：</w:t>
      </w:r>
      <w:r>
        <w:rPr>
          <w:rFonts w:hint="eastAsia" w:ascii="宋体" w:hAnsi="宋体" w:cs="宋体"/>
          <w:sz w:val="24"/>
          <w:highlight w:val="none"/>
          <w:u w:val="single"/>
        </w:rPr>
        <w:t xml:space="preserve">  有关本工程由发包人提供的图纸、规范和其他文件，未经发包人许可，承包人不得以任何形式用于或转给第二人，也不得以任何形式对外宣传、公开或发布  </w:t>
      </w:r>
      <w:r>
        <w:rPr>
          <w:rFonts w:hint="eastAsia" w:ascii="宋体" w:hAnsi="宋体" w:cs="宋体"/>
          <w:sz w:val="24"/>
          <w:highlight w:val="none"/>
        </w:rPr>
        <w:t>。</w:t>
      </w:r>
    </w:p>
    <w:p>
      <w:pPr>
        <w:spacing w:line="400" w:lineRule="exact"/>
        <w:rPr>
          <w:rFonts w:ascii="宋体" w:hAnsi="宋体" w:cs="宋体"/>
          <w:sz w:val="24"/>
          <w:highlight w:val="none"/>
        </w:rPr>
      </w:pPr>
      <w:r>
        <w:rPr>
          <w:rFonts w:hint="eastAsia" w:ascii="宋体" w:hAnsi="宋体" w:cs="宋体"/>
          <w:sz w:val="24"/>
          <w:highlight w:val="none"/>
        </w:rPr>
        <w:t xml:space="preserve">    1.11.2 关于承包人为实施工程所编制文件的著作权的归属：</w:t>
      </w:r>
      <w:r>
        <w:rPr>
          <w:rFonts w:hint="eastAsia" w:ascii="宋体" w:hAnsi="宋体" w:cs="宋体"/>
          <w:sz w:val="24"/>
          <w:highlight w:val="none"/>
          <w:u w:val="single"/>
        </w:rPr>
        <w:t xml:space="preserve">承包人不能用于合同无关的其他事项，未经发包人同意不得复制或提供给第三方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1.11.3关于承包人提供的上述文件的使用限制的要求：</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1.11.4 承包人在施工过程中所采用的专利、专有技术、技术秘密的使用费的承担方式：</w:t>
      </w:r>
      <w:r>
        <w:rPr>
          <w:rFonts w:hint="eastAsia" w:ascii="宋体" w:hAnsi="宋体" w:cs="宋体"/>
          <w:sz w:val="24"/>
          <w:highlight w:val="none"/>
          <w:u w:val="single"/>
        </w:rPr>
        <w:t xml:space="preserve">已包含在合同价款中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1.12工程量清单错误的修正</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1.13出现工程量清单错误时，是否调整合同价格：</w:t>
      </w:r>
      <w:r>
        <w:rPr>
          <w:rFonts w:hint="eastAsia" w:ascii="宋体" w:hAnsi="宋体" w:cs="宋体"/>
          <w:sz w:val="24"/>
          <w:highlight w:val="none"/>
          <w:u w:val="single"/>
        </w:rPr>
        <w:t xml:space="preserve">调整，调整内容为发包人因修改施工或因发包人工程量清单与图纸不符而导致的工程量清单中工程量增减变化的调整：在工程结算时审计根据竣工图或签证经发包人工程师批准的，并已按工程设计变更完成的合格工程计算的工程量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1.14调整的工程量及综合报价按下列办法确定；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1.14.1</w:t>
      </w:r>
      <w:r>
        <w:rPr>
          <w:rFonts w:hint="eastAsia" w:ascii="宋体" w:hAnsi="宋体" w:cs="宋体"/>
          <w:sz w:val="24"/>
          <w:highlight w:val="none"/>
          <w:u w:val="single"/>
        </w:rPr>
        <w:t>当报价中有对应分部分项工程名称时，按该项目报价在工程结算审计时确定调整。</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1.14.2</w:t>
      </w:r>
      <w:r>
        <w:rPr>
          <w:rFonts w:hint="eastAsia" w:ascii="宋体" w:hAnsi="宋体" w:cs="宋体"/>
          <w:sz w:val="24"/>
          <w:highlight w:val="none"/>
          <w:u w:val="single"/>
        </w:rPr>
        <w:t>当报价中无对应分部分项工程名称时，参考报价中类似项目报价在工程结算审计时确定调整。</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1.14.3 如报价中无对应、也无类似项目时，参考现行定额及计价规格，按投标所报人工、材料、机械及取费，重新组价。</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1.15暂定的部分主要材料价格，结算时根据实际情况，经监理工程师、发包人工程师确认后据实结算。</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1.16当某项清单项目施工内容取消时，直接扣除该项目的合同价款，发包人不另做补偿。</w:t>
      </w:r>
    </w:p>
    <w:p>
      <w:pPr>
        <w:pStyle w:val="6"/>
        <w:spacing w:line="400" w:lineRule="exact"/>
        <w:ind w:firstLine="482" w:firstLineChars="200"/>
        <w:rPr>
          <w:rFonts w:ascii="宋体" w:hAnsi="宋体" w:eastAsia="宋体" w:cs="宋体"/>
          <w:b w:val="0"/>
          <w:sz w:val="24"/>
          <w:szCs w:val="24"/>
          <w:highlight w:val="none"/>
        </w:rPr>
      </w:pPr>
      <w:bookmarkStart w:id="402" w:name="_Toc351203634"/>
      <w:r>
        <w:rPr>
          <w:rFonts w:hint="eastAsia" w:ascii="宋体" w:hAnsi="宋体" w:eastAsia="宋体" w:cs="宋体"/>
          <w:bCs w:val="0"/>
          <w:sz w:val="24"/>
          <w:szCs w:val="24"/>
          <w:highlight w:val="none"/>
        </w:rPr>
        <w:t>2</w:t>
      </w:r>
      <w:bookmarkStart w:id="403" w:name="_Toc296944496"/>
      <w:bookmarkStart w:id="404" w:name="_Toc296347156"/>
      <w:bookmarkStart w:id="405" w:name="_Toc296346658"/>
      <w:bookmarkStart w:id="406" w:name="_Toc296891197"/>
      <w:bookmarkStart w:id="407" w:name="_Toc297048343"/>
      <w:bookmarkStart w:id="408" w:name="_Toc292559362"/>
      <w:bookmarkStart w:id="409" w:name="_Toc292559867"/>
      <w:bookmarkStart w:id="410" w:name="_Toc296503157"/>
      <w:bookmarkStart w:id="411" w:name="_Toc296890985"/>
      <w:bookmarkStart w:id="412" w:name="_Toc297120457"/>
      <w:r>
        <w:rPr>
          <w:rFonts w:hint="eastAsia" w:ascii="宋体" w:hAnsi="宋体" w:eastAsia="宋体" w:cs="宋体"/>
          <w:bCs w:val="0"/>
          <w:sz w:val="24"/>
          <w:szCs w:val="24"/>
          <w:highlight w:val="none"/>
        </w:rPr>
        <w:t>. 发包人</w:t>
      </w:r>
      <w:bookmarkEnd w:id="402"/>
    </w:p>
    <w:bookmarkEnd w:id="403"/>
    <w:bookmarkEnd w:id="404"/>
    <w:bookmarkEnd w:id="405"/>
    <w:bookmarkEnd w:id="406"/>
    <w:bookmarkEnd w:id="407"/>
    <w:bookmarkEnd w:id="408"/>
    <w:bookmarkEnd w:id="409"/>
    <w:bookmarkEnd w:id="410"/>
    <w:bookmarkEnd w:id="411"/>
    <w:bookmarkEnd w:id="412"/>
    <w:p>
      <w:pPr>
        <w:spacing w:line="400" w:lineRule="exact"/>
        <w:ind w:firstLine="480" w:firstLineChars="200"/>
        <w:rPr>
          <w:rFonts w:ascii="宋体" w:hAnsi="宋体" w:cs="宋体"/>
          <w:sz w:val="24"/>
          <w:highlight w:val="none"/>
        </w:rPr>
      </w:pPr>
      <w:r>
        <w:rPr>
          <w:rFonts w:hint="eastAsia" w:ascii="宋体" w:hAnsi="宋体" w:cs="宋体"/>
          <w:sz w:val="24"/>
          <w:highlight w:val="none"/>
        </w:rPr>
        <w:t>2.1 发包人代表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发包人代表：</w:t>
      </w:r>
      <w:r>
        <w:rPr>
          <w:rFonts w:hint="eastAsia" w:ascii="宋体" w:hAnsi="宋体"/>
          <w:szCs w:val="21"/>
          <w:highlight w:val="none"/>
          <w:u w:val="single"/>
        </w:rPr>
        <w:t xml:space="preserve">                             </w:t>
      </w:r>
      <w:r>
        <w:rPr>
          <w:rFonts w:ascii="宋体" w:hAnsi="宋体"/>
          <w:szCs w:val="21"/>
          <w:highlight w:val="none"/>
          <w:u w:val="single"/>
        </w:rPr>
        <w:t xml:space="preserve"> 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职    务：</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发包人对发包人代表的授权范围如下：</w:t>
      </w:r>
      <w:r>
        <w:rPr>
          <w:rFonts w:hint="eastAsia" w:ascii="宋体" w:hAnsi="宋体" w:cs="宋体"/>
          <w:sz w:val="24"/>
          <w:highlight w:val="none"/>
          <w:u w:val="single"/>
        </w:rPr>
        <w:t>行使法律规定的发包人代表权利，全面协调工程施工，监督工程安全、工期、质量，对工程量核实签证等。</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2.2 施工现场、施工条件和基础资料的提供</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2.2.1 提供施工现场</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关于发包人移交施工现场的期限要求：</w:t>
      </w:r>
      <w:r>
        <w:rPr>
          <w:rFonts w:hint="eastAsia" w:ascii="宋体" w:hAnsi="宋体" w:cs="宋体"/>
          <w:sz w:val="24"/>
          <w:highlight w:val="none"/>
          <w:u w:val="single"/>
        </w:rPr>
        <w:t>开工前完成施工现场整理</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2.2.2 提供施工条件</w:t>
      </w:r>
    </w:p>
    <w:p>
      <w:pPr>
        <w:spacing w:line="400" w:lineRule="exact"/>
        <w:ind w:firstLine="520" w:firstLineChars="217"/>
        <w:rPr>
          <w:rFonts w:ascii="宋体" w:hAnsi="宋体" w:cs="宋体"/>
          <w:sz w:val="24"/>
          <w:highlight w:val="none"/>
          <w:u w:val="single"/>
        </w:rPr>
      </w:pPr>
      <w:r>
        <w:rPr>
          <w:rFonts w:hint="eastAsia" w:ascii="宋体" w:hAnsi="宋体" w:cs="宋体"/>
          <w:sz w:val="24"/>
          <w:highlight w:val="none"/>
        </w:rPr>
        <w:t>关于发包人应负责提供施工所需要的条件，包括：①</w:t>
      </w:r>
      <w:r>
        <w:rPr>
          <w:rFonts w:hint="eastAsia" w:ascii="宋体" w:hAnsi="宋体" w:cs="宋体"/>
          <w:sz w:val="24"/>
          <w:highlight w:val="none"/>
          <w:u w:val="single"/>
        </w:rPr>
        <w:t xml:space="preserve">开工前完成施工场地与公共道路的通道开通；  ② 开工前完成施工现场整理；③开工前由承包方协助发包方办理有关手续（应由发包人办理的施工所需证件、批件）；④承包人与发包人共同确定水准点与坐标控制点；⑤承包人自行解决施工所需的水、电、电讯线路等，费用自理；⑥发包人在开工后两周内安排图纸会审和设计交底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2.3 资金来源证明及支付担保</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发包人提供资金来源证明的期限要求：</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发包人是否提供支付担保：</w:t>
      </w:r>
      <w:r>
        <w:rPr>
          <w:rFonts w:hint="eastAsia" w:ascii="宋体" w:hAnsi="宋体" w:cs="宋体"/>
          <w:sz w:val="24"/>
          <w:highlight w:val="none"/>
          <w:u w:val="single"/>
        </w:rPr>
        <w:t xml:space="preserve">  否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发包人提供支付担保的形式：。</w:t>
      </w:r>
    </w:p>
    <w:p>
      <w:pPr>
        <w:pStyle w:val="6"/>
        <w:spacing w:line="400" w:lineRule="exact"/>
        <w:ind w:firstLine="482" w:firstLineChars="200"/>
        <w:rPr>
          <w:rFonts w:ascii="宋体" w:hAnsi="宋体" w:eastAsia="宋体" w:cs="宋体"/>
          <w:b w:val="0"/>
          <w:sz w:val="24"/>
          <w:szCs w:val="24"/>
          <w:highlight w:val="none"/>
        </w:rPr>
      </w:pPr>
      <w:bookmarkStart w:id="413" w:name="_Toc351203635"/>
      <w:r>
        <w:rPr>
          <w:rFonts w:hint="eastAsia" w:ascii="宋体" w:hAnsi="宋体" w:eastAsia="宋体" w:cs="宋体"/>
          <w:bCs w:val="0"/>
          <w:sz w:val="24"/>
          <w:szCs w:val="24"/>
          <w:highlight w:val="none"/>
        </w:rPr>
        <w:t>3</w:t>
      </w:r>
      <w:bookmarkStart w:id="414" w:name="_Toc296891198"/>
      <w:bookmarkStart w:id="415" w:name="_Toc296346659"/>
      <w:bookmarkStart w:id="416" w:name="_Toc296503158"/>
      <w:bookmarkStart w:id="417" w:name="_Toc296944497"/>
      <w:bookmarkStart w:id="418" w:name="_Toc296890986"/>
      <w:bookmarkStart w:id="419" w:name="_Toc297120458"/>
      <w:bookmarkStart w:id="420" w:name="_Toc292559363"/>
      <w:bookmarkStart w:id="421" w:name="_Toc296347157"/>
      <w:bookmarkStart w:id="422" w:name="_Toc292559868"/>
      <w:bookmarkStart w:id="423" w:name="_Toc297048344"/>
      <w:r>
        <w:rPr>
          <w:rFonts w:hint="eastAsia" w:ascii="宋体" w:hAnsi="宋体" w:eastAsia="宋体" w:cs="宋体"/>
          <w:bCs w:val="0"/>
          <w:sz w:val="24"/>
          <w:szCs w:val="24"/>
          <w:highlight w:val="none"/>
        </w:rPr>
        <w:t>. 承包人</w:t>
      </w:r>
      <w:bookmarkEnd w:id="413"/>
    </w:p>
    <w:bookmarkEnd w:id="414"/>
    <w:bookmarkEnd w:id="415"/>
    <w:bookmarkEnd w:id="416"/>
    <w:bookmarkEnd w:id="417"/>
    <w:bookmarkEnd w:id="418"/>
    <w:bookmarkEnd w:id="419"/>
    <w:bookmarkEnd w:id="420"/>
    <w:bookmarkEnd w:id="421"/>
    <w:bookmarkEnd w:id="422"/>
    <w:bookmarkEnd w:id="423"/>
    <w:p>
      <w:pPr>
        <w:spacing w:line="400" w:lineRule="exact"/>
        <w:ind w:firstLine="480" w:firstLineChars="200"/>
        <w:rPr>
          <w:rFonts w:ascii="宋体" w:hAnsi="宋体" w:cs="宋体"/>
          <w:sz w:val="24"/>
          <w:highlight w:val="none"/>
        </w:rPr>
      </w:pPr>
      <w:r>
        <w:rPr>
          <w:rFonts w:hint="eastAsia" w:ascii="宋体" w:hAnsi="宋体" w:cs="宋体"/>
          <w:sz w:val="24"/>
          <w:highlight w:val="none"/>
        </w:rPr>
        <w:t>3.1 承包人的一般义务</w:t>
      </w:r>
    </w:p>
    <w:p>
      <w:pPr>
        <w:spacing w:line="400" w:lineRule="exact"/>
        <w:rPr>
          <w:rFonts w:ascii="宋体" w:hAnsi="宋体" w:cs="宋体"/>
          <w:sz w:val="24"/>
          <w:highlight w:val="none"/>
        </w:rPr>
      </w:pPr>
      <w:r>
        <w:rPr>
          <w:rFonts w:hint="eastAsia" w:ascii="宋体" w:hAnsi="宋体" w:cs="宋体"/>
          <w:sz w:val="24"/>
          <w:highlight w:val="none"/>
        </w:rPr>
        <w:t xml:space="preserve">   （5）承包人提交的竣工资料的内容：</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①</w:t>
      </w:r>
      <w:r>
        <w:rPr>
          <w:rFonts w:hint="eastAsia" w:ascii="宋体" w:hAnsi="宋体" w:cs="宋体"/>
          <w:sz w:val="24"/>
          <w:highlight w:val="none"/>
          <w:u w:val="single"/>
        </w:rPr>
        <w:t>竣工图纸4套</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②</w:t>
      </w:r>
      <w:r>
        <w:rPr>
          <w:rFonts w:hint="eastAsia" w:ascii="宋体" w:hAnsi="宋体" w:cs="宋体"/>
          <w:sz w:val="24"/>
          <w:highlight w:val="none"/>
          <w:u w:val="single"/>
        </w:rPr>
        <w:t>各种材料、成品的实验报告、合格证及厂家提供的产品说明书及技术资料。</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③</w:t>
      </w:r>
      <w:r>
        <w:rPr>
          <w:rFonts w:hint="eastAsia" w:ascii="宋体" w:hAnsi="宋体" w:cs="宋体"/>
          <w:sz w:val="24"/>
          <w:highlight w:val="none"/>
          <w:u w:val="single"/>
        </w:rPr>
        <w:t>工程试验记录和分部、分项工程质量评定表。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④</w:t>
      </w:r>
      <w:r>
        <w:rPr>
          <w:rFonts w:hint="eastAsia" w:ascii="宋体" w:hAnsi="宋体" w:cs="宋体"/>
          <w:sz w:val="24"/>
          <w:highlight w:val="none"/>
          <w:u w:val="single"/>
        </w:rPr>
        <w:t xml:space="preserve">其他应由承包人提供的城建档案馆要求的文件及资料 </w:t>
      </w:r>
      <w:r>
        <w:rPr>
          <w:rFonts w:hint="eastAsia" w:ascii="宋体" w:hAnsi="宋体" w:cs="宋体"/>
          <w:sz w:val="24"/>
          <w:highlight w:val="none"/>
        </w:rPr>
        <w:t>。</w:t>
      </w:r>
    </w:p>
    <w:p>
      <w:pPr>
        <w:spacing w:line="400" w:lineRule="exact"/>
        <w:rPr>
          <w:rFonts w:ascii="宋体" w:hAnsi="宋体" w:cs="宋体"/>
          <w:sz w:val="24"/>
          <w:highlight w:val="none"/>
        </w:rPr>
      </w:pPr>
      <w:r>
        <w:rPr>
          <w:rFonts w:hint="eastAsia" w:ascii="宋体" w:hAnsi="宋体" w:cs="宋体"/>
          <w:sz w:val="24"/>
          <w:highlight w:val="none"/>
        </w:rPr>
        <w:t xml:space="preserve">    承包人提交的竣工资料的费用承担：</w:t>
      </w:r>
      <w:r>
        <w:rPr>
          <w:rFonts w:hint="eastAsia" w:ascii="宋体" w:hAnsi="宋体" w:cs="宋体"/>
          <w:sz w:val="24"/>
          <w:highlight w:val="none"/>
          <w:u w:val="single"/>
        </w:rPr>
        <w:t xml:space="preserve">   承包人承担      </w:t>
      </w:r>
      <w:r>
        <w:rPr>
          <w:rFonts w:hint="eastAsia" w:ascii="宋体" w:hAnsi="宋体" w:cs="宋体"/>
          <w:sz w:val="24"/>
          <w:highlight w:val="none"/>
        </w:rPr>
        <w:t>。</w:t>
      </w:r>
    </w:p>
    <w:p>
      <w:pPr>
        <w:spacing w:line="400" w:lineRule="exact"/>
        <w:rPr>
          <w:rFonts w:ascii="宋体" w:hAnsi="宋体" w:cs="宋体"/>
          <w:sz w:val="24"/>
          <w:highlight w:val="none"/>
        </w:rPr>
      </w:pPr>
      <w:r>
        <w:rPr>
          <w:rFonts w:hint="eastAsia" w:ascii="宋体" w:hAnsi="宋体" w:cs="宋体"/>
          <w:sz w:val="24"/>
          <w:highlight w:val="none"/>
        </w:rPr>
        <w:t xml:space="preserve">    承包人提交的竣工资料移交时间：</w:t>
      </w:r>
      <w:r>
        <w:rPr>
          <w:rFonts w:hint="eastAsia" w:ascii="宋体" w:hAnsi="宋体" w:cs="宋体"/>
          <w:sz w:val="24"/>
          <w:highlight w:val="none"/>
          <w:u w:val="single"/>
        </w:rPr>
        <w:t xml:space="preserve">     工程竣工30日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承包人提交的竣工资料形式要求：</w:t>
      </w:r>
      <w:r>
        <w:rPr>
          <w:rFonts w:hint="eastAsia" w:ascii="宋体" w:hAnsi="宋体" w:cs="宋体"/>
          <w:sz w:val="24"/>
          <w:highlight w:val="none"/>
          <w:u w:val="single"/>
        </w:rPr>
        <w:t xml:space="preserve">   书面及电子档光盘  </w:t>
      </w:r>
      <w:r>
        <w:rPr>
          <w:rFonts w:hint="eastAsia" w:ascii="宋体" w:hAnsi="宋体" w:cs="宋体"/>
          <w:sz w:val="24"/>
          <w:highlight w:val="none"/>
        </w:rPr>
        <w:t>。</w:t>
      </w:r>
    </w:p>
    <w:p>
      <w:pPr>
        <w:spacing w:line="400" w:lineRule="exact"/>
        <w:rPr>
          <w:rFonts w:ascii="宋体" w:hAnsi="宋体" w:cs="宋体"/>
          <w:sz w:val="24"/>
          <w:highlight w:val="none"/>
        </w:rPr>
      </w:pPr>
      <w:r>
        <w:rPr>
          <w:rFonts w:hint="eastAsia" w:ascii="宋体" w:hAnsi="宋体" w:cs="宋体"/>
          <w:sz w:val="24"/>
          <w:highlight w:val="none"/>
        </w:rPr>
        <w:t xml:space="preserve">   （6）承包人应履行的其他义务：</w:t>
      </w:r>
      <w:r>
        <w:rPr>
          <w:rFonts w:hint="eastAsia" w:ascii="宋体" w:hAnsi="宋体" w:cs="宋体"/>
          <w:sz w:val="24"/>
          <w:highlight w:val="none"/>
          <w:u w:val="single"/>
        </w:rPr>
        <w:t xml:space="preserve">   双方协商      </w:t>
      </w:r>
      <w:r>
        <w:rPr>
          <w:rFonts w:hint="eastAsia" w:ascii="宋体" w:hAnsi="宋体" w:cs="宋体"/>
          <w:sz w:val="24"/>
          <w:highlight w:val="none"/>
        </w:rPr>
        <w:t xml:space="preserve"> 。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3.2 项目经理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3.2.1 项目经理：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姓    名：</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建造师执业资格等级：</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建造师注册证书号：</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建造师执业印章号：</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安全生产考核合格证书号：</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联系电话：</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电子信箱：</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通信地址：</w:t>
      </w:r>
      <w:r>
        <w:rPr>
          <w:rFonts w:hint="eastAsia" w:ascii="宋体" w:hAnsi="宋体"/>
          <w:szCs w:val="21"/>
          <w:highlight w:val="none"/>
          <w:u w:val="single"/>
        </w:rPr>
        <w:t xml:space="preserve">                             </w:t>
      </w:r>
      <w:r>
        <w:rPr>
          <w:rFonts w:ascii="宋体" w:hAnsi="宋体"/>
          <w:szCs w:val="21"/>
          <w:highlight w:val="none"/>
          <w:u w:val="single"/>
        </w:rPr>
        <w:t xml:space="preserve"> 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承包人对项目经理的授权范围如下：</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关于项目经理每月在施工现场的时间要求：</w:t>
      </w:r>
      <w:r>
        <w:rPr>
          <w:rFonts w:hint="eastAsia" w:ascii="宋体" w:hAnsi="宋体" w:cs="宋体"/>
          <w:sz w:val="24"/>
          <w:highlight w:val="none"/>
          <w:u w:val="single"/>
        </w:rPr>
        <w:t xml:space="preserve">                       。</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承包人未提交劳动合同，以及没有为项目经理缴纳社会保险证明的违约责任：</w:t>
      </w:r>
      <w:r>
        <w:rPr>
          <w:rFonts w:hint="eastAsia" w:ascii="宋体" w:hAnsi="宋体" w:cs="宋体"/>
          <w:sz w:val="24"/>
          <w:highlight w:val="none"/>
          <w:u w:val="single"/>
        </w:rPr>
        <w:t>发包人有权要求更换项目经理，由此增加的费用和（或）延误的工期由承包人承担。</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项目经理未经批准，擅自离开施工现场的违约责任：</w:t>
      </w:r>
      <w:r>
        <w:rPr>
          <w:rFonts w:hint="eastAsia" w:ascii="宋体" w:hAnsi="宋体" w:cs="宋体"/>
          <w:sz w:val="24"/>
          <w:highlight w:val="none"/>
          <w:u w:val="single"/>
        </w:rPr>
        <w:t>项目经理离开施工现场必须向发包人工程师请假，得到批准后方可离开施工现场，否则每次给予1000元的经济处罚。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3.2.2 承包人擅自更换项目经理的违约责任：</w:t>
      </w:r>
    </w:p>
    <w:p>
      <w:pPr>
        <w:spacing w:line="400" w:lineRule="exact"/>
        <w:rPr>
          <w:rFonts w:ascii="宋体" w:hAnsi="宋体" w:cs="宋体"/>
          <w:sz w:val="24"/>
          <w:highlight w:val="none"/>
          <w:u w:val="single"/>
        </w:rPr>
      </w:pPr>
      <w:r>
        <w:rPr>
          <w:rFonts w:hint="eastAsia" w:ascii="宋体" w:hAnsi="宋体" w:cs="宋体"/>
          <w:sz w:val="24"/>
          <w:highlight w:val="none"/>
        </w:rPr>
        <w:t xml:space="preserve">    3.2.3 承包人无正当理由拒绝更换项目经理的违约责任：</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3.3 承包人人员</w:t>
      </w:r>
    </w:p>
    <w:p>
      <w:pPr>
        <w:topLinePunct/>
        <w:spacing w:line="400" w:lineRule="exact"/>
        <w:ind w:firstLine="480" w:firstLineChars="200"/>
        <w:rPr>
          <w:rFonts w:ascii="宋体" w:hAnsi="宋体" w:cs="宋体"/>
          <w:spacing w:val="-4"/>
          <w:sz w:val="24"/>
          <w:highlight w:val="none"/>
        </w:rPr>
      </w:pPr>
      <w:bookmarkStart w:id="424" w:name="_Toc267251442"/>
      <w:r>
        <w:rPr>
          <w:rFonts w:hint="eastAsia" w:ascii="宋体" w:hAnsi="宋体" w:cs="宋体"/>
          <w:kern w:val="0"/>
          <w:sz w:val="24"/>
          <w:highlight w:val="none"/>
        </w:rPr>
        <w:t xml:space="preserve">3.3.1 </w:t>
      </w:r>
      <w:r>
        <w:rPr>
          <w:rFonts w:hint="eastAsia" w:ascii="宋体" w:hAnsi="宋体" w:cs="宋体"/>
          <w:spacing w:val="-4"/>
          <w:sz w:val="24"/>
          <w:highlight w:val="none"/>
        </w:rPr>
        <w:t>承包人提交项目管理机构及施工现场管理人员安排报告的期限：。</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3.3.2 承包人无正当理由拒绝撤换主要施工管理人员的违约责任：</w:t>
      </w:r>
      <w:r>
        <w:rPr>
          <w:rFonts w:hint="eastAsia" w:ascii="宋体" w:hAnsi="宋体" w:cs="宋体"/>
          <w:spacing w:val="-4"/>
          <w:sz w:val="24"/>
          <w:highlight w:val="none"/>
          <w:u w:val="single"/>
        </w:rPr>
        <w:t xml:space="preserve">          。</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3.3.3 承包人主要施工管理人员离开施工现场的批准要求：</w:t>
      </w:r>
      <w:r>
        <w:rPr>
          <w:rFonts w:hint="eastAsia" w:ascii="宋体" w:hAnsi="宋体" w:cs="宋体"/>
          <w:spacing w:val="-4"/>
          <w:sz w:val="24"/>
          <w:highlight w:val="none"/>
          <w:u w:val="single"/>
        </w:rPr>
        <w:t xml:space="preserve">                。</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3.3.4承包人擅自更换主要施工管理人员的违约责任：</w:t>
      </w:r>
      <w:r>
        <w:rPr>
          <w:rFonts w:hint="eastAsia" w:ascii="宋体" w:hAnsi="宋体" w:cs="宋体"/>
          <w:spacing w:val="-4"/>
          <w:sz w:val="24"/>
          <w:highlight w:val="none"/>
          <w:u w:val="single"/>
        </w:rPr>
        <w:t xml:space="preserve">                    。</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承包人主要施工管理人员擅自离开施工现场的违约责任：</w:t>
      </w:r>
      <w:r>
        <w:rPr>
          <w:rFonts w:hint="eastAsia" w:ascii="宋体" w:hAnsi="宋体" w:cs="宋体"/>
          <w:spacing w:val="-4"/>
          <w:sz w:val="24"/>
          <w:highlight w:val="none"/>
          <w:u w:val="single"/>
        </w:rPr>
        <w:t xml:space="preserve">                。</w:t>
      </w:r>
    </w:p>
    <w:p>
      <w:pPr>
        <w:pStyle w:val="7"/>
        <w:numPr>
          <w:ilvl w:val="0"/>
          <w:numId w:val="0"/>
        </w:numPr>
        <w:spacing w:before="120" w:after="120" w:line="400" w:lineRule="exact"/>
        <w:ind w:firstLine="472" w:firstLineChars="196"/>
        <w:rPr>
          <w:rFonts w:ascii="宋体" w:hAnsi="宋体" w:cs="宋体"/>
          <w:b/>
          <w:sz w:val="24"/>
          <w:szCs w:val="24"/>
          <w:highlight w:val="none"/>
        </w:rPr>
      </w:pPr>
      <w:r>
        <w:rPr>
          <w:rFonts w:hint="eastAsia" w:ascii="宋体" w:hAnsi="宋体" w:cs="宋体"/>
          <w:b/>
          <w:sz w:val="24"/>
          <w:szCs w:val="24"/>
          <w:highlight w:val="none"/>
        </w:rPr>
        <w:t>3.5 分包</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3.5.1</w:t>
      </w:r>
      <w:r>
        <w:rPr>
          <w:rFonts w:hint="eastAsia" w:ascii="宋体" w:hAnsi="宋体" w:cs="宋体"/>
          <w:sz w:val="24"/>
          <w:highlight w:val="none"/>
        </w:rPr>
        <w:t>分包的一般约定</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sz w:val="24"/>
          <w:highlight w:val="none"/>
        </w:rPr>
        <w:t>禁止分包的工程包括：</w:t>
      </w:r>
      <w:r>
        <w:rPr>
          <w:rFonts w:hint="eastAsia" w:ascii="宋体" w:hAnsi="宋体" w:cs="宋体"/>
          <w:spacing w:val="-4"/>
          <w:sz w:val="24"/>
          <w:highlight w:val="none"/>
          <w:u w:val="single"/>
        </w:rPr>
        <w:t>未经发包人批准，承包人不允许以任何形式将工程转包或分包他人，一经发现，发包人对承包人给予相应的经济处罚，直至终止合同，承包人赔偿因此给发包人造成的一切经济损失，并承担其法律责任。</w:t>
      </w:r>
    </w:p>
    <w:p>
      <w:pPr>
        <w:pStyle w:val="7"/>
        <w:numPr>
          <w:ilvl w:val="0"/>
          <w:numId w:val="0"/>
        </w:numPr>
        <w:spacing w:before="120" w:after="120" w:line="400" w:lineRule="exact"/>
        <w:ind w:firstLine="472" w:firstLineChars="196"/>
        <w:rPr>
          <w:rFonts w:ascii="宋体" w:hAnsi="宋体" w:cs="宋体"/>
          <w:b/>
          <w:sz w:val="24"/>
          <w:szCs w:val="24"/>
          <w:highlight w:val="none"/>
        </w:rPr>
      </w:pPr>
      <w:r>
        <w:rPr>
          <w:rFonts w:hint="eastAsia" w:ascii="宋体" w:hAnsi="宋体" w:cs="宋体"/>
          <w:b/>
          <w:sz w:val="24"/>
          <w:szCs w:val="24"/>
          <w:highlight w:val="none"/>
        </w:rPr>
        <w:t>3.6 工程照管与成品、半成品保护</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承包人负责照管工程及工程相关的材料、工程设备的起始时间</w:t>
      </w:r>
      <w:r>
        <w:rPr>
          <w:rFonts w:hint="eastAsia" w:ascii="宋体" w:hAnsi="宋体" w:cs="宋体"/>
          <w:sz w:val="24"/>
          <w:highlight w:val="none"/>
        </w:rPr>
        <w:t>：</w:t>
      </w:r>
      <w:r>
        <w:rPr>
          <w:rFonts w:hint="eastAsia" w:ascii="宋体" w:hAnsi="宋体" w:cs="宋体"/>
          <w:spacing w:val="-4"/>
          <w:sz w:val="24"/>
          <w:highlight w:val="none"/>
          <w:u w:val="single"/>
        </w:rPr>
        <w:t>本工程在移交前，承包范围内的已完工程，由承包人负责其保护工作，保护费用由承包人自理。</w:t>
      </w:r>
    </w:p>
    <w:p>
      <w:pPr>
        <w:keepNext/>
        <w:keepLines/>
        <w:spacing w:before="120" w:after="120"/>
        <w:ind w:firstLine="482" w:firstLineChars="200"/>
        <w:outlineLvl w:val="4"/>
        <w:rPr>
          <w:rFonts w:ascii="宋体" w:hAnsi="宋体" w:cs="宋体"/>
          <w:b/>
          <w:sz w:val="24"/>
          <w:highlight w:val="none"/>
        </w:rPr>
      </w:pPr>
      <w:r>
        <w:rPr>
          <w:rFonts w:hint="eastAsia" w:ascii="宋体" w:hAnsi="宋体" w:cs="宋体"/>
          <w:b/>
          <w:sz w:val="24"/>
          <w:highlight w:val="none"/>
        </w:rPr>
        <w:t>4. 监理人：</w:t>
      </w:r>
      <w:r>
        <w:rPr>
          <w:rFonts w:hint="eastAsia" w:ascii="宋体" w:hAnsi="宋体" w:cs="宋体"/>
          <w:szCs w:val="21"/>
          <w:highlight w:val="none"/>
        </w:rPr>
        <w:t xml:space="preserve"> /。</w:t>
      </w:r>
    </w:p>
    <w:p>
      <w:pPr>
        <w:pStyle w:val="6"/>
        <w:keepNext w:val="0"/>
        <w:spacing w:before="120" w:after="120" w:line="240" w:lineRule="auto"/>
        <w:ind w:firstLine="482" w:firstLineChars="200"/>
        <w:rPr>
          <w:rFonts w:ascii="宋体" w:hAnsi="宋体" w:eastAsia="宋体" w:cs="宋体"/>
          <w:b w:val="0"/>
          <w:sz w:val="24"/>
          <w:szCs w:val="24"/>
          <w:highlight w:val="none"/>
        </w:rPr>
      </w:pPr>
      <w:r>
        <w:rPr>
          <w:rFonts w:hint="eastAsia" w:ascii="宋体" w:hAnsi="宋体" w:eastAsia="宋体" w:cs="宋体"/>
          <w:bCs w:val="0"/>
          <w:sz w:val="24"/>
          <w:szCs w:val="24"/>
          <w:highlight w:val="none"/>
        </w:rPr>
        <w:t>5. 工程质量</w:t>
      </w:r>
      <w:r>
        <w:rPr>
          <w:rFonts w:hint="eastAsia" w:ascii="宋体" w:hAnsi="宋体" w:eastAsia="宋体" w:cs="宋体"/>
          <w:b w:val="0"/>
          <w:sz w:val="24"/>
          <w:szCs w:val="24"/>
          <w:highlight w:val="none"/>
        </w:rPr>
        <w:t xml:space="preserve"> </w:t>
      </w:r>
    </w:p>
    <w:p>
      <w:pPr>
        <w:topLinePunct/>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5.1 质量要求</w:t>
      </w:r>
    </w:p>
    <w:p>
      <w:pPr>
        <w:topLinePunct/>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5.1.1 特殊质量标准和要求：。</w:t>
      </w:r>
    </w:p>
    <w:p>
      <w:pPr>
        <w:topLinePunct/>
        <w:spacing w:line="40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关于工程奖项的约定：/。</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5.3 隐蔽工程检查</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5.3.1承包人提前通知监理人隐蔽工程检查的期限的约定：</w:t>
      </w:r>
      <w:r>
        <w:rPr>
          <w:rFonts w:hint="eastAsia" w:ascii="宋体" w:hAnsi="宋体" w:cs="宋体"/>
          <w:sz w:val="24"/>
          <w:highlight w:val="none"/>
          <w:u w:val="single"/>
        </w:rPr>
        <w:t xml:space="preserve"> 应在共同检查前48小时</w:t>
      </w:r>
      <w:r>
        <w:rPr>
          <w:rFonts w:hint="eastAsia" w:ascii="宋体" w:hAnsi="宋体" w:cs="宋体"/>
          <w:kern w:val="0"/>
          <w:sz w:val="24"/>
          <w:highlight w:val="none"/>
        </w:rPr>
        <w:t>。</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监理人不能按时进行检查时，应提前</w:t>
      </w:r>
      <w:r>
        <w:rPr>
          <w:rFonts w:hint="eastAsia" w:ascii="宋体" w:hAnsi="宋体" w:cs="宋体"/>
          <w:kern w:val="0"/>
          <w:sz w:val="24"/>
          <w:highlight w:val="none"/>
          <w:u w:val="single"/>
        </w:rPr>
        <w:t xml:space="preserve">  24  </w:t>
      </w:r>
      <w:r>
        <w:rPr>
          <w:rFonts w:hint="eastAsia" w:ascii="宋体" w:hAnsi="宋体" w:cs="宋体"/>
          <w:kern w:val="0"/>
          <w:sz w:val="24"/>
          <w:highlight w:val="none"/>
        </w:rPr>
        <w:t>小时提交书面延期要求。</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 xml:space="preserve">关于延期最长不得超过： </w:t>
      </w:r>
      <w:r>
        <w:rPr>
          <w:rFonts w:hint="eastAsia" w:ascii="宋体" w:hAnsi="宋体" w:cs="宋体"/>
          <w:kern w:val="0"/>
          <w:sz w:val="24"/>
          <w:highlight w:val="none"/>
          <w:u w:val="single"/>
        </w:rPr>
        <w:t xml:space="preserve"> 48</w:t>
      </w:r>
      <w:r>
        <w:rPr>
          <w:rFonts w:hint="eastAsia" w:ascii="宋体" w:hAnsi="宋体" w:cs="宋体"/>
          <w:kern w:val="0"/>
          <w:sz w:val="24"/>
          <w:highlight w:val="none"/>
        </w:rPr>
        <w:t xml:space="preserve"> 小时。</w:t>
      </w:r>
    </w:p>
    <w:p>
      <w:pPr>
        <w:topLinePunct/>
        <w:spacing w:line="400" w:lineRule="exact"/>
        <w:ind w:firstLine="482" w:firstLineChars="200"/>
        <w:rPr>
          <w:rFonts w:ascii="宋体" w:hAnsi="宋体" w:cs="宋体"/>
          <w:b/>
          <w:bCs/>
          <w:sz w:val="24"/>
          <w:highlight w:val="none"/>
        </w:rPr>
      </w:pPr>
      <w:r>
        <w:rPr>
          <w:rFonts w:hint="eastAsia" w:ascii="宋体" w:hAnsi="宋体" w:cs="宋体"/>
          <w:b/>
          <w:bCs/>
          <w:sz w:val="24"/>
          <w:highlight w:val="none"/>
        </w:rPr>
        <w:t>6. 安全文明施工</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6.1安全文明施工</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6.1.1 项目安全生产的达标目标及相应事项的约定：</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u w:val="single"/>
        </w:rPr>
        <w:t xml:space="preserve">1、 </w:t>
      </w:r>
      <w:r>
        <w:rPr>
          <w:rFonts w:hint="eastAsia" w:ascii="宋体" w:hAnsi="宋体" w:cs="宋体"/>
          <w:spacing w:val="-4"/>
          <w:sz w:val="24"/>
          <w:highlight w:val="none"/>
          <w:u w:val="single"/>
        </w:rPr>
        <w:t>承包人须严格按现行安全文明施工有关规定组织施工，做好施工现场的安全防护施工工作，保证施工安全和人身安全。因承包人原因发生各类安全事故，全部责任、费用和经济损失均由承包人自行承担。</w:t>
      </w:r>
    </w:p>
    <w:p>
      <w:pPr>
        <w:topLinePunct/>
        <w:spacing w:line="400" w:lineRule="exact"/>
        <w:ind w:firstLine="464" w:firstLineChars="200"/>
        <w:rPr>
          <w:rFonts w:ascii="宋体" w:hAnsi="宋体" w:cs="宋体"/>
          <w:spacing w:val="-4"/>
          <w:sz w:val="24"/>
          <w:highlight w:val="none"/>
          <w:u w:val="single"/>
        </w:rPr>
      </w:pPr>
      <w:r>
        <w:rPr>
          <w:rFonts w:hint="eastAsia" w:ascii="宋体" w:hAnsi="宋体" w:cs="宋体"/>
          <w:spacing w:val="-4"/>
          <w:sz w:val="24"/>
          <w:highlight w:val="none"/>
          <w:u w:val="single"/>
        </w:rPr>
        <w:t>2、发生事故承包人应积极采取有效措施，防止损失扩大。若发生重大事故，承包人应按规定立即书面报告发包人有关部门。由于事故引发的一切损失均由承包人承担。</w:t>
      </w:r>
    </w:p>
    <w:p>
      <w:pPr>
        <w:topLinePunct/>
        <w:spacing w:line="400" w:lineRule="exact"/>
        <w:ind w:firstLine="464" w:firstLineChars="200"/>
        <w:rPr>
          <w:rFonts w:ascii="宋体" w:hAnsi="宋体" w:cs="宋体"/>
          <w:spacing w:val="-4"/>
          <w:sz w:val="24"/>
          <w:highlight w:val="none"/>
          <w:u w:val="single"/>
        </w:rPr>
      </w:pPr>
      <w:r>
        <w:rPr>
          <w:rFonts w:hint="eastAsia" w:ascii="宋体" w:hAnsi="宋体" w:cs="宋体"/>
          <w:spacing w:val="-4"/>
          <w:sz w:val="24"/>
          <w:highlight w:val="none"/>
          <w:u w:val="single"/>
        </w:rPr>
        <w:t>3、 承包人须全面承担施工安全保卫工作及夜间非施工照明的责任，在施工现场采取完善措施，设置必要的围挡、护板、栅栏、灯光照明、警告信号、警示标志等，提供并维护相应设施，保护工程及公共安全，为公众提供安全和方便，所需发生的防护措施费用已包含在报价及合同总价中。</w:t>
      </w:r>
    </w:p>
    <w:p>
      <w:pPr>
        <w:topLinePunct/>
        <w:spacing w:line="400" w:lineRule="exact"/>
        <w:ind w:firstLine="464" w:firstLineChars="200"/>
        <w:rPr>
          <w:rFonts w:ascii="宋体" w:hAnsi="宋体" w:cs="宋体"/>
          <w:spacing w:val="-4"/>
          <w:sz w:val="24"/>
          <w:highlight w:val="none"/>
          <w:u w:val="single"/>
        </w:rPr>
      </w:pPr>
      <w:r>
        <w:rPr>
          <w:rFonts w:hint="eastAsia" w:ascii="宋体" w:hAnsi="宋体" w:cs="宋体"/>
          <w:spacing w:val="-4"/>
          <w:sz w:val="24"/>
          <w:highlight w:val="none"/>
          <w:u w:val="single"/>
        </w:rPr>
        <w:t>4、 发包人认为承包人工作中安全措施不力或安全设施不足，可要求承包人限期整改。若整改后仍不能满足安全要求，发包人有权自行安排，所发生的费用由承包人承担，并在下期工程进度款支付时扣除。</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6.1.2 文明施工</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合同当事人对文明施工的要求：</w:t>
      </w:r>
      <w:r>
        <w:rPr>
          <w:rFonts w:hint="eastAsia" w:ascii="宋体" w:hAnsi="宋体" w:cs="宋体"/>
          <w:spacing w:val="-4"/>
          <w:sz w:val="24"/>
          <w:highlight w:val="none"/>
          <w:u w:val="single"/>
        </w:rPr>
        <w:t xml:space="preserve"> ⑴ 须达到市安全文明达标工地要求；</w:t>
      </w:r>
    </w:p>
    <w:p>
      <w:pPr>
        <w:topLinePunct/>
        <w:spacing w:line="400" w:lineRule="exact"/>
        <w:ind w:firstLine="464" w:firstLineChars="200"/>
        <w:rPr>
          <w:rFonts w:ascii="宋体" w:hAnsi="宋体" w:cs="宋体"/>
          <w:spacing w:val="-4"/>
          <w:sz w:val="24"/>
          <w:highlight w:val="none"/>
          <w:u w:val="single"/>
        </w:rPr>
      </w:pPr>
      <w:r>
        <w:rPr>
          <w:rFonts w:hint="eastAsia" w:ascii="宋体" w:hAnsi="宋体" w:cs="宋体"/>
          <w:spacing w:val="-4"/>
          <w:sz w:val="24"/>
          <w:highlight w:val="none"/>
          <w:u w:val="single"/>
        </w:rPr>
        <w:t xml:space="preserve"> ⑵ 承包人须按照建设行政主管部门和其他相关部门的要求，做好工地形象建设，做到工完料清场清，保持场地清洁卫生，所需费用由承包人自理。因承包人原因违反有关规定的处罚，由承包人自负。</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6.1.6 关于安全文明施工费支付比例和支付期限的约定：</w:t>
      </w:r>
      <w:r>
        <w:rPr>
          <w:rFonts w:hint="eastAsia" w:ascii="宋体" w:hAnsi="宋体" w:cs="宋体"/>
          <w:spacing w:val="-4"/>
          <w:sz w:val="24"/>
          <w:highlight w:val="none"/>
          <w:u w:val="single"/>
        </w:rPr>
        <w:t>无。</w:t>
      </w:r>
    </w:p>
    <w:p>
      <w:pPr>
        <w:pStyle w:val="6"/>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7. 工期和进度</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7.1 施工组织设计</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7.1.1</w:t>
      </w:r>
      <w:r>
        <w:rPr>
          <w:rFonts w:hint="eastAsia" w:ascii="宋体" w:hAnsi="宋体" w:cs="宋体"/>
          <w:sz w:val="24"/>
          <w:highlight w:val="none"/>
        </w:rPr>
        <w:t xml:space="preserve"> 合</w:t>
      </w:r>
      <w:r>
        <w:rPr>
          <w:rFonts w:hint="eastAsia" w:ascii="宋体" w:hAnsi="宋体" w:cs="宋体"/>
          <w:kern w:val="0"/>
          <w:sz w:val="24"/>
          <w:highlight w:val="none"/>
        </w:rPr>
        <w:t>同当事人约定的施工组织设计应包括的其他内容：：</w:t>
      </w:r>
      <w:r>
        <w:rPr>
          <w:rFonts w:hint="eastAsia" w:ascii="宋体" w:hAnsi="宋体" w:cs="宋体"/>
          <w:spacing w:val="-4"/>
          <w:sz w:val="24"/>
          <w:highlight w:val="none"/>
          <w:u w:val="single"/>
        </w:rPr>
        <w:t>（1）专业性较强的专项工程安全施工组织设计；（2）安全技术措施（3）施工现场临时用电方案。</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7.1.2施工组织设计的提交和修改</w:t>
      </w:r>
    </w:p>
    <w:p>
      <w:pPr>
        <w:topLinePunct/>
        <w:spacing w:line="400" w:lineRule="exact"/>
        <w:ind w:firstLine="480" w:firstLineChars="200"/>
        <w:rPr>
          <w:rFonts w:ascii="宋体" w:hAnsi="宋体" w:cs="宋体"/>
          <w:spacing w:val="-4"/>
          <w:sz w:val="24"/>
          <w:highlight w:val="none"/>
          <w:u w:val="single"/>
        </w:rPr>
      </w:pPr>
      <w:r>
        <w:rPr>
          <w:rFonts w:hint="eastAsia" w:ascii="宋体" w:hAnsi="宋体" w:cs="宋体"/>
          <w:kern w:val="0"/>
          <w:sz w:val="24"/>
          <w:highlight w:val="none"/>
        </w:rPr>
        <w:t>承包人提交详细施工组织设计的期限的约定：</w:t>
      </w:r>
      <w:r>
        <w:rPr>
          <w:rFonts w:hint="eastAsia" w:ascii="宋体" w:hAnsi="宋体" w:cs="宋体"/>
          <w:spacing w:val="-4"/>
          <w:sz w:val="24"/>
          <w:highlight w:val="none"/>
          <w:u w:val="single"/>
        </w:rPr>
        <w:t>承包人提交详尽的施工组织设计和施工总进度计划的时间为开工前7天。对施工组织设计和阶段网络进度计划的进一步完善工作应在设计技术交底后3日内完成。</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发包人和监理人在收到详细的施工组织设计后确认或提出修改意见的期限：</w:t>
      </w:r>
      <w:r>
        <w:rPr>
          <w:rFonts w:hint="eastAsia" w:ascii="宋体" w:hAnsi="宋体" w:cs="宋体"/>
          <w:sz w:val="24"/>
          <w:highlight w:val="none"/>
          <w:u w:val="single"/>
        </w:rPr>
        <w:t xml:space="preserve"> 7天。</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7.2 施工进度计划</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7.2.2</w:t>
      </w:r>
      <w:r>
        <w:rPr>
          <w:rFonts w:hint="eastAsia" w:ascii="宋体" w:hAnsi="宋体" w:cs="宋体"/>
          <w:sz w:val="24"/>
          <w:highlight w:val="none"/>
        </w:rPr>
        <w:t xml:space="preserve"> 施工进度计划的修订</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发包人和监理人在收到修订的施工进度计划后确认或提出修改意见的期限： </w:t>
      </w:r>
      <w:r>
        <w:rPr>
          <w:rFonts w:hint="eastAsia" w:ascii="宋体" w:hAnsi="宋体" w:cs="宋体"/>
          <w:sz w:val="24"/>
          <w:highlight w:val="none"/>
          <w:u w:val="single"/>
        </w:rPr>
        <w:t>7天。</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7.3 开工</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7.3.1</w:t>
      </w:r>
      <w:r>
        <w:rPr>
          <w:rFonts w:hint="eastAsia" w:ascii="宋体" w:hAnsi="宋体" w:cs="宋体"/>
          <w:sz w:val="24"/>
          <w:highlight w:val="none"/>
        </w:rPr>
        <w:t xml:space="preserve"> 开工准备</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关于承包人提交</w:t>
      </w:r>
      <w:r>
        <w:rPr>
          <w:rFonts w:hint="eastAsia" w:ascii="宋体" w:hAnsi="宋体" w:cs="宋体"/>
          <w:kern w:val="0"/>
          <w:sz w:val="24"/>
          <w:highlight w:val="none"/>
        </w:rPr>
        <w:t>工程开工报审表的期限：</w:t>
      </w:r>
      <w:r>
        <w:rPr>
          <w:rFonts w:hint="eastAsia" w:ascii="宋体" w:hAnsi="宋体" w:cs="宋体"/>
          <w:kern w:val="0"/>
          <w:sz w:val="24"/>
          <w:highlight w:val="none"/>
          <w:u w:val="single"/>
        </w:rPr>
        <w:t xml:space="preserve"> 不晚于</w:t>
      </w:r>
      <w:r>
        <w:rPr>
          <w:rFonts w:hint="eastAsia" w:ascii="宋体" w:hAnsi="宋体" w:cs="宋体"/>
          <w:sz w:val="24"/>
          <w:highlight w:val="none"/>
          <w:u w:val="single"/>
        </w:rPr>
        <w:t>开工前7天。</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关于发包人应完成的其他开工准备工作及期限：</w:t>
      </w:r>
      <w:r>
        <w:rPr>
          <w:rFonts w:hint="eastAsia" w:ascii="宋体" w:hAnsi="宋体" w:cs="宋体"/>
          <w:sz w:val="24"/>
          <w:highlight w:val="none"/>
          <w:u w:val="single"/>
        </w:rPr>
        <w:t xml:space="preserve"> 开工日期之前完成。</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关于承包人应完成的其他开工准备工作及期限：</w:t>
      </w:r>
      <w:r>
        <w:rPr>
          <w:rFonts w:hint="eastAsia" w:ascii="宋体" w:hAnsi="宋体" w:cs="宋体"/>
          <w:sz w:val="24"/>
          <w:highlight w:val="none"/>
          <w:u w:val="single"/>
        </w:rPr>
        <w:t xml:space="preserve"> 开工日期之前完成。</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7.3.2</w:t>
      </w:r>
      <w:r>
        <w:rPr>
          <w:rFonts w:hint="eastAsia" w:ascii="宋体" w:hAnsi="宋体" w:cs="宋体"/>
          <w:sz w:val="24"/>
          <w:highlight w:val="none"/>
        </w:rPr>
        <w:t>开工通知</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因发包人原因造成监理人未能在计划开工日期之日起</w:t>
      </w:r>
      <w:r>
        <w:rPr>
          <w:rFonts w:hint="eastAsia" w:ascii="宋体" w:hAnsi="宋体" w:cs="宋体"/>
          <w:sz w:val="24"/>
          <w:highlight w:val="none"/>
          <w:u w:val="single"/>
        </w:rPr>
        <w:t xml:space="preserve"> 90 </w:t>
      </w:r>
      <w:r>
        <w:rPr>
          <w:rFonts w:hint="eastAsia" w:ascii="宋体" w:hAnsi="宋体" w:cs="宋体"/>
          <w:sz w:val="24"/>
          <w:highlight w:val="none"/>
        </w:rPr>
        <w:t>天内发出开工通知的，承包人有权提出价格调整要求，或者解除合同。</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7.4 测量放线</w:t>
      </w:r>
    </w:p>
    <w:p>
      <w:pPr>
        <w:topLinePunct/>
        <w:spacing w:line="400" w:lineRule="exact"/>
        <w:ind w:firstLine="480" w:firstLineChars="200"/>
        <w:rPr>
          <w:rFonts w:ascii="宋体" w:hAnsi="宋体" w:cs="宋体"/>
          <w:sz w:val="24"/>
          <w:highlight w:val="none"/>
          <w:u w:val="single"/>
        </w:rPr>
      </w:pPr>
      <w:r>
        <w:rPr>
          <w:rFonts w:hint="eastAsia" w:ascii="宋体" w:hAnsi="宋体" w:cs="宋体"/>
          <w:kern w:val="0"/>
          <w:sz w:val="24"/>
          <w:highlight w:val="none"/>
        </w:rPr>
        <w:t>7.4.1</w:t>
      </w:r>
      <w:r>
        <w:rPr>
          <w:rFonts w:hint="eastAsia" w:ascii="宋体" w:hAnsi="宋体" w:cs="宋体"/>
          <w:sz w:val="24"/>
          <w:highlight w:val="none"/>
        </w:rPr>
        <w:t>发包人通过监理人向承包人提供测量基准点、基准线和水准点及其书面资料的期限：</w:t>
      </w:r>
      <w:r>
        <w:rPr>
          <w:rFonts w:hint="eastAsia" w:ascii="宋体" w:hAnsi="宋体" w:cs="宋体"/>
          <w:sz w:val="24"/>
          <w:highlight w:val="none"/>
          <w:u w:val="single"/>
        </w:rPr>
        <w:t xml:space="preserve"> 开工前。</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7.5 工期延误</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 xml:space="preserve">7.5.1 </w:t>
      </w:r>
      <w:r>
        <w:rPr>
          <w:rFonts w:hint="eastAsia" w:ascii="宋体" w:hAnsi="宋体" w:cs="宋体"/>
          <w:sz w:val="24"/>
          <w:highlight w:val="none"/>
        </w:rPr>
        <w:t>因发包人原因导致工期延误</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（7）因发包人原因导致工期延误的其他情形：</w:t>
      </w:r>
      <w:r>
        <w:rPr>
          <w:rFonts w:hint="eastAsia" w:ascii="宋体" w:hAnsi="宋体" w:cs="宋体"/>
          <w:spacing w:val="-4"/>
          <w:sz w:val="24"/>
          <w:highlight w:val="none"/>
          <w:u w:val="single"/>
        </w:rPr>
        <w:t>发包人因政策变化等原因推迟开工需以书面形式通知承包人，顺延相应工期，发包人不承担补偿和损失的费用。</w:t>
      </w:r>
    </w:p>
    <w:p>
      <w:pPr>
        <w:topLinePunct/>
        <w:spacing w:line="400" w:lineRule="exact"/>
        <w:ind w:firstLine="480" w:firstLineChars="200"/>
        <w:rPr>
          <w:rFonts w:ascii="宋体" w:hAnsi="宋体" w:cs="宋体"/>
          <w:sz w:val="24"/>
          <w:highlight w:val="none"/>
          <w:u w:val="single"/>
        </w:rPr>
      </w:pPr>
      <w:r>
        <w:rPr>
          <w:rFonts w:hint="eastAsia" w:ascii="宋体" w:hAnsi="宋体" w:cs="宋体"/>
          <w:kern w:val="0"/>
          <w:sz w:val="24"/>
          <w:highlight w:val="none"/>
        </w:rPr>
        <w:t>7.5.2</w:t>
      </w:r>
      <w:r>
        <w:rPr>
          <w:rFonts w:hint="eastAsia" w:ascii="宋体" w:hAnsi="宋体" w:cs="宋体"/>
          <w:sz w:val="24"/>
          <w:highlight w:val="none"/>
        </w:rPr>
        <w:t xml:space="preserve"> 因承包人原因导致工期延误，逾期竣工违约金的计算方法为：</w:t>
      </w:r>
    </w:p>
    <w:p>
      <w:pPr>
        <w:topLinePunct/>
        <w:spacing w:line="400" w:lineRule="exact"/>
        <w:ind w:firstLine="464" w:firstLineChars="200"/>
        <w:rPr>
          <w:rFonts w:ascii="宋体" w:hAnsi="宋体" w:cs="宋体"/>
          <w:spacing w:val="-4"/>
          <w:sz w:val="24"/>
          <w:highlight w:val="none"/>
          <w:u w:val="single"/>
        </w:rPr>
      </w:pPr>
      <w:r>
        <w:rPr>
          <w:rFonts w:hint="eastAsia" w:ascii="宋体" w:hAnsi="宋体" w:cs="宋体"/>
          <w:spacing w:val="-4"/>
          <w:sz w:val="24"/>
          <w:highlight w:val="none"/>
          <w:u w:val="single"/>
        </w:rPr>
        <w:t xml:space="preserve"> 1.总工期延误，每延误一天承包人按合同总价的3‰支付违约金；            </w:t>
      </w:r>
    </w:p>
    <w:p>
      <w:pPr>
        <w:topLinePunct/>
        <w:spacing w:line="400" w:lineRule="exact"/>
        <w:ind w:firstLine="580" w:firstLineChars="250"/>
        <w:rPr>
          <w:rFonts w:ascii="宋体" w:hAnsi="宋体" w:cs="宋体"/>
          <w:sz w:val="24"/>
          <w:highlight w:val="none"/>
          <w:u w:val="single"/>
        </w:rPr>
      </w:pPr>
      <w:r>
        <w:rPr>
          <w:rFonts w:hint="eastAsia" w:ascii="宋体" w:hAnsi="宋体" w:cs="宋体"/>
          <w:spacing w:val="-4"/>
          <w:sz w:val="24"/>
          <w:highlight w:val="none"/>
        </w:rPr>
        <w:t>2.</w:t>
      </w:r>
      <w:r>
        <w:rPr>
          <w:rFonts w:hint="eastAsia" w:ascii="宋体" w:hAnsi="宋体" w:cs="宋体"/>
          <w:sz w:val="24"/>
          <w:highlight w:val="none"/>
        </w:rPr>
        <w:t>因承包人原因造成工期延误，逾期竣工违约金的上限：</w:t>
      </w:r>
      <w:r>
        <w:rPr>
          <w:rFonts w:hint="eastAsia" w:ascii="宋体" w:hAnsi="宋体" w:cs="宋体"/>
          <w:sz w:val="24"/>
          <w:highlight w:val="none"/>
          <w:u w:val="single"/>
        </w:rPr>
        <w:t xml:space="preserve">     /                </w:t>
      </w:r>
    </w:p>
    <w:p>
      <w:pPr>
        <w:topLinePunct/>
        <w:spacing w:line="400" w:lineRule="exact"/>
        <w:ind w:firstLine="600" w:firstLineChars="250"/>
        <w:rPr>
          <w:rFonts w:ascii="宋体" w:hAnsi="宋体" w:cs="宋体"/>
          <w:sz w:val="24"/>
          <w:highlight w:val="none"/>
        </w:rPr>
      </w:pPr>
      <w:r>
        <w:rPr>
          <w:rFonts w:hint="eastAsia" w:ascii="宋体" w:hAnsi="宋体" w:cs="宋体"/>
          <w:sz w:val="24"/>
          <w:highlight w:val="none"/>
        </w:rPr>
        <w:t>3.逾期天，解除合同，拒付前期工程款，可请采购中第二名成交候选人进场施工。</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7.6 提前竣工的奖励</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7.6.2</w:t>
      </w:r>
      <w:r>
        <w:rPr>
          <w:rFonts w:hint="eastAsia" w:ascii="宋体" w:hAnsi="宋体" w:cs="宋体"/>
          <w:sz w:val="24"/>
          <w:highlight w:val="none"/>
        </w:rPr>
        <w:t>提前竣工的奖励：</w:t>
      </w:r>
      <w:r>
        <w:rPr>
          <w:rFonts w:hint="eastAsia" w:ascii="宋体" w:hAnsi="宋体" w:cs="宋体"/>
          <w:sz w:val="24"/>
          <w:highlight w:val="none"/>
          <w:u w:val="single"/>
        </w:rPr>
        <w:t xml:space="preserve">    无         </w:t>
      </w:r>
      <w:r>
        <w:rPr>
          <w:rFonts w:hint="eastAsia" w:ascii="宋体" w:hAnsi="宋体" w:cs="宋体"/>
          <w:sz w:val="24"/>
          <w:highlight w:val="none"/>
        </w:rPr>
        <w:t>。</w:t>
      </w:r>
    </w:p>
    <w:p>
      <w:pPr>
        <w:pStyle w:val="6"/>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8. 材料与设备</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8.1发包人供应材料与工程设备</w:t>
      </w:r>
    </w:p>
    <w:p>
      <w:pPr>
        <w:topLinePunct/>
        <w:spacing w:line="400" w:lineRule="exact"/>
        <w:ind w:firstLine="480" w:firstLineChars="200"/>
        <w:rPr>
          <w:rFonts w:ascii="宋体" w:hAnsi="宋体" w:cs="宋体"/>
          <w:sz w:val="24"/>
          <w:highlight w:val="none"/>
          <w:u w:val="single"/>
        </w:rPr>
      </w:pPr>
      <w:r>
        <w:rPr>
          <w:rFonts w:hint="eastAsia" w:ascii="宋体" w:hAnsi="宋体" w:cs="宋体"/>
          <w:kern w:val="0"/>
          <w:sz w:val="24"/>
          <w:highlight w:val="none"/>
        </w:rPr>
        <w:t>8.1.1</w:t>
      </w:r>
      <w:r>
        <w:rPr>
          <w:rFonts w:hint="eastAsia" w:ascii="宋体" w:hAnsi="宋体" w:cs="宋体"/>
          <w:sz w:val="24"/>
          <w:highlight w:val="none"/>
          <w:u w:val="single"/>
        </w:rPr>
        <w:t>发包人供应的材料和工程设备，承包人清点后由承包人妥善保管，保管费用由承包人承担。因承包人原因发生丢失毁损的，由承包人负责赔偿。</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本工程发包范围内所有材料均由承包人采购。</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8.2承包人采购材料与工程设备</w:t>
      </w:r>
    </w:p>
    <w:p>
      <w:pPr>
        <w:topLinePunct/>
        <w:spacing w:line="400" w:lineRule="exact"/>
        <w:ind w:firstLine="480" w:firstLineChars="200"/>
        <w:rPr>
          <w:rFonts w:ascii="宋体" w:hAnsi="宋体" w:cs="宋体"/>
          <w:sz w:val="24"/>
          <w:highlight w:val="none"/>
          <w:u w:val="single"/>
        </w:rPr>
      </w:pPr>
      <w:r>
        <w:rPr>
          <w:rFonts w:hint="eastAsia" w:ascii="宋体" w:hAnsi="宋体" w:cs="宋体"/>
          <w:kern w:val="24"/>
          <w:sz w:val="24"/>
          <w:highlight w:val="none"/>
          <w:u w:val="single"/>
        </w:rPr>
        <w:t xml:space="preserve">⑴ </w:t>
      </w:r>
      <w:r>
        <w:rPr>
          <w:rFonts w:hint="eastAsia" w:ascii="宋体" w:hAnsi="宋体" w:cs="宋体"/>
          <w:sz w:val="24"/>
          <w:highlight w:val="none"/>
          <w:u w:val="single"/>
        </w:rPr>
        <w:t>承包人采购材料与工程设备，须根据采购文件、设计技术文件、国家有关规定和发包人的具体要求进行，主要、大宗的材料、设备品牌、产地、品质、价格须经发包人认可、确认后方可用于本项目。</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凡认为采购文件、图纸或工程量清单中对材料、设备的说明、标注、描述不够完全、清晰、明确而影响其定价、报价的，应及时向采购人要求明确，否则应无条件按采购人的具体要求采购该材料、设备，并承担其报价低于采购价的损失。</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⑵ 承包人所采购的所有材料、半成品、成品、设备均须还有必要的检验、检测报告等相关资料，符合国家规定的技术标准，并经发包人认可及监理人验收、认可后才能卸车、使用。</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⑶ 无论发包人是否发现和制止，由于使用劣质材料施工所引起的一切责任及费用均由承包人承担。对于不合格或不符合发包人及设计、图纸要求的材料，须及时更换，否则发包人有权自行处置，并在结算时按未进场考虑，不予计价。</w:t>
      </w:r>
    </w:p>
    <w:p>
      <w:pPr>
        <w:pStyle w:val="7"/>
        <w:keepNext w:val="0"/>
        <w:numPr>
          <w:ilvl w:val="0"/>
          <w:numId w:val="0"/>
        </w:numPr>
        <w:spacing w:before="120" w:after="8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8.4材料与工程设备的保管与使用</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8.4.</w:t>
      </w:r>
      <w:r>
        <w:rPr>
          <w:rFonts w:hint="eastAsia" w:ascii="宋体" w:hAnsi="宋体" w:cs="宋体"/>
          <w:sz w:val="24"/>
          <w:highlight w:val="none"/>
        </w:rPr>
        <w:t>1发包人供应的材料设备的保管费用的承担：</w:t>
      </w:r>
      <w:r>
        <w:rPr>
          <w:rFonts w:hint="eastAsia" w:ascii="宋体" w:hAnsi="宋体" w:cs="宋体"/>
          <w:sz w:val="24"/>
          <w:highlight w:val="none"/>
          <w:u w:val="single"/>
        </w:rPr>
        <w:t xml:space="preserve"> 除须在工地现场以外租赁场地存放的由承包人承担租赁及保管费以外，均由承包人承担。</w:t>
      </w:r>
    </w:p>
    <w:p>
      <w:pPr>
        <w:pStyle w:val="7"/>
        <w:keepNext w:val="0"/>
        <w:numPr>
          <w:ilvl w:val="0"/>
          <w:numId w:val="0"/>
        </w:numPr>
        <w:spacing w:before="120" w:after="8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8.5 样品</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8.5.1</w:t>
      </w:r>
      <w:r>
        <w:rPr>
          <w:rFonts w:hint="eastAsia" w:ascii="宋体" w:hAnsi="宋体" w:cs="宋体"/>
          <w:kern w:val="0"/>
          <w:sz w:val="24"/>
          <w:highlight w:val="none"/>
        </w:rPr>
        <w:tab/>
      </w:r>
      <w:r>
        <w:rPr>
          <w:rFonts w:hint="eastAsia" w:ascii="宋体" w:hAnsi="宋体" w:cs="宋体"/>
          <w:kern w:val="0"/>
          <w:sz w:val="24"/>
          <w:highlight w:val="none"/>
        </w:rPr>
        <w:t>样品的报送与封存</w:t>
      </w:r>
    </w:p>
    <w:p>
      <w:pPr>
        <w:topLinePunct/>
        <w:spacing w:line="400" w:lineRule="exact"/>
        <w:rPr>
          <w:rFonts w:ascii="宋体" w:hAnsi="宋体" w:cs="宋体"/>
          <w:kern w:val="0"/>
          <w:sz w:val="24"/>
          <w:highlight w:val="none"/>
        </w:rPr>
      </w:pPr>
      <w:r>
        <w:rPr>
          <w:rFonts w:hint="eastAsia" w:ascii="宋体" w:hAnsi="宋体" w:cs="宋体"/>
          <w:kern w:val="0"/>
          <w:sz w:val="24"/>
          <w:highlight w:val="none"/>
        </w:rPr>
        <w:t xml:space="preserve">    需要承包人报送样品的材料或工程设备</w:t>
      </w:r>
      <w:r>
        <w:rPr>
          <w:rFonts w:hint="eastAsia" w:ascii="宋体" w:hAnsi="宋体" w:cs="宋体"/>
          <w:spacing w:val="-4"/>
          <w:kern w:val="0"/>
          <w:sz w:val="24"/>
          <w:highlight w:val="none"/>
        </w:rPr>
        <w:t>，样品的种类、名称、规格、数量要求：</w:t>
      </w:r>
      <w:r>
        <w:rPr>
          <w:rFonts w:hint="eastAsia" w:ascii="宋体" w:hAnsi="宋体" w:cs="宋体"/>
          <w:sz w:val="24"/>
          <w:highlight w:val="none"/>
          <w:u w:val="single"/>
        </w:rPr>
        <w:t>按发包人要求 。</w:t>
      </w:r>
    </w:p>
    <w:p>
      <w:pPr>
        <w:pStyle w:val="7"/>
        <w:keepNext w:val="0"/>
        <w:numPr>
          <w:ilvl w:val="0"/>
          <w:numId w:val="0"/>
        </w:numPr>
        <w:spacing w:before="120" w:after="8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8.6 施工设备和临时设施</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8.6.1</w:t>
      </w:r>
      <w:r>
        <w:rPr>
          <w:rFonts w:hint="eastAsia" w:ascii="宋体" w:hAnsi="宋体" w:cs="宋体"/>
          <w:sz w:val="24"/>
          <w:highlight w:val="none"/>
        </w:rPr>
        <w:t xml:space="preserve"> 承包人提供的施工设备和临时设施</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关于修建临时设施费用承担的约定：</w:t>
      </w:r>
      <w:r>
        <w:rPr>
          <w:rFonts w:hint="eastAsia" w:ascii="宋体" w:hAnsi="宋体" w:cs="宋体"/>
          <w:sz w:val="24"/>
          <w:highlight w:val="none"/>
          <w:u w:val="single"/>
        </w:rPr>
        <w:t>承包人自行承担修建临时设施及其费用</w:t>
      </w:r>
      <w:r>
        <w:rPr>
          <w:rFonts w:hint="eastAsia" w:ascii="宋体" w:hAnsi="宋体" w:cs="宋体"/>
          <w:sz w:val="24"/>
          <w:highlight w:val="none"/>
        </w:rPr>
        <w:t>。</w:t>
      </w:r>
    </w:p>
    <w:p>
      <w:pPr>
        <w:pStyle w:val="6"/>
        <w:spacing w:before="120" w:after="8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9. 试验与检验</w:t>
      </w:r>
    </w:p>
    <w:p>
      <w:pPr>
        <w:pStyle w:val="7"/>
        <w:keepNext w:val="0"/>
        <w:numPr>
          <w:ilvl w:val="0"/>
          <w:numId w:val="0"/>
        </w:numPr>
        <w:spacing w:before="120" w:after="8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9.1试验设备与试验人员</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9.1.2 试验设备</w:t>
      </w:r>
    </w:p>
    <w:p>
      <w:pPr>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rPr>
        <w:t>施工现场需要配置的试验场所：</w:t>
      </w:r>
      <w:bookmarkStart w:id="425" w:name="_Toc304295562"/>
      <w:bookmarkStart w:id="426" w:name="_Toc297123536"/>
      <w:bookmarkStart w:id="427" w:name="_Toc303539142"/>
      <w:bookmarkStart w:id="428" w:name="_Toc312678024"/>
      <w:bookmarkStart w:id="429" w:name="_Toc297216195"/>
      <w:bookmarkStart w:id="430" w:name="_Toc312677498"/>
      <w:bookmarkStart w:id="431" w:name="_Toc300934985"/>
      <w:r>
        <w:rPr>
          <w:rFonts w:hint="eastAsia" w:ascii="宋体" w:hAnsi="宋体" w:cs="宋体"/>
          <w:sz w:val="24"/>
          <w:highlight w:val="none"/>
          <w:u w:val="single"/>
        </w:rPr>
        <w:t xml:space="preserve">由承包人提供试验场所、试验人员、试验设备以及其他必要的试验条件。 </w:t>
      </w:r>
    </w:p>
    <w:p>
      <w:pPr>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rPr>
        <w:t>施工现场需要配备的试验设备：</w:t>
      </w:r>
      <w:r>
        <w:rPr>
          <w:rFonts w:hint="eastAsia" w:ascii="宋体" w:hAnsi="宋体" w:cs="宋体"/>
          <w:sz w:val="24"/>
          <w:highlight w:val="none"/>
          <w:u w:val="single"/>
        </w:rPr>
        <w:t>承包人配置的试验设备要符合相应试验规程的要求并经过具有资质的检测单位检测，且在正式使用该试验设备前，需要经过监理人与承包人共同校定。</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施工现场需要具备的其他试验条件：</w:t>
      </w:r>
      <w:r>
        <w:rPr>
          <w:rFonts w:hint="eastAsia" w:ascii="宋体" w:hAnsi="宋体" w:cs="宋体"/>
          <w:sz w:val="24"/>
          <w:highlight w:val="none"/>
          <w:u w:val="single"/>
        </w:rPr>
        <w:t xml:space="preserve">   /      。</w:t>
      </w:r>
    </w:p>
    <w:p>
      <w:pPr>
        <w:spacing w:line="400" w:lineRule="exact"/>
        <w:ind w:firstLine="470" w:firstLineChars="196"/>
        <w:rPr>
          <w:rFonts w:ascii="宋体" w:hAnsi="宋体" w:cs="宋体"/>
          <w:sz w:val="24"/>
          <w:highlight w:val="none"/>
        </w:rPr>
      </w:pPr>
      <w:r>
        <w:rPr>
          <w:rFonts w:hint="eastAsia" w:ascii="宋体" w:hAnsi="宋体" w:cs="宋体"/>
          <w:sz w:val="24"/>
          <w:highlight w:val="none"/>
        </w:rPr>
        <w:t xml:space="preserve">9.4 现场工艺试验 </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现场工艺试验的有关约定：对按法定或约定工艺</w:t>
      </w:r>
      <w:r>
        <w:rPr>
          <w:rFonts w:hint="eastAsia" w:ascii="宋体" w:hAnsi="宋体" w:cs="宋体"/>
          <w:sz w:val="24"/>
          <w:highlight w:val="none"/>
          <w:u w:val="single"/>
        </w:rPr>
        <w:t xml:space="preserve">试验（强制性要求）时，由发包人和监理人提出要求，承包人实施并承担相应费用和工期 </w:t>
      </w:r>
      <w:r>
        <w:rPr>
          <w:rFonts w:hint="eastAsia" w:ascii="宋体" w:hAnsi="宋体" w:cs="宋体"/>
          <w:sz w:val="24"/>
          <w:highlight w:val="none"/>
        </w:rPr>
        <w:t>。</w:t>
      </w:r>
    </w:p>
    <w:bookmarkEnd w:id="425"/>
    <w:bookmarkEnd w:id="426"/>
    <w:bookmarkEnd w:id="427"/>
    <w:bookmarkEnd w:id="428"/>
    <w:bookmarkEnd w:id="429"/>
    <w:bookmarkEnd w:id="430"/>
    <w:bookmarkEnd w:id="431"/>
    <w:p>
      <w:pPr>
        <w:pStyle w:val="6"/>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10. 变更</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10.1变更的范围</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关于变更的范围的约定：</w:t>
      </w:r>
      <w:r>
        <w:rPr>
          <w:rFonts w:hint="eastAsia" w:ascii="宋体" w:hAnsi="宋体" w:cs="宋体"/>
          <w:sz w:val="24"/>
          <w:highlight w:val="none"/>
          <w:u w:val="single"/>
        </w:rPr>
        <w:t xml:space="preserve"> ①设计变更须有甲方提供的设计变更文件；②现场签证变更须有甲方代表及监理签认。</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 xml:space="preserve">10.2 变更估价 </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10.2.1</w:t>
      </w:r>
      <w:r>
        <w:rPr>
          <w:rFonts w:hint="eastAsia" w:ascii="宋体" w:hAnsi="宋体" w:cs="宋体"/>
          <w:sz w:val="24"/>
          <w:highlight w:val="none"/>
        </w:rPr>
        <w:t xml:space="preserve"> 变更估价原则</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关于变更估价的约定:</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1、如果取消某项工作，则该项工作的总额价不予支付；</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2、工程量表中虽然列有同类工作的单价或价格，但对具体变更工作而言已不适用的，则应在原单价和价格的基础换算新单价或价格。</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3、确定新的价格应按照与合同单价水平相一致的原则。</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4、保修期内产生的变更，因环境与合同期内相比发生了很大的改变，单价可由监理人根据实际情况重新制定，而无需采用合同清单单价。</w:t>
      </w:r>
    </w:p>
    <w:p>
      <w:pPr>
        <w:topLinePunct/>
        <w:spacing w:line="400" w:lineRule="exact"/>
        <w:ind w:firstLine="482" w:firstLineChars="200"/>
        <w:rPr>
          <w:rFonts w:ascii="宋体" w:hAnsi="宋体" w:cs="宋体"/>
          <w:sz w:val="24"/>
          <w:highlight w:val="none"/>
          <w:u w:val="single"/>
        </w:rPr>
      </w:pPr>
      <w:r>
        <w:rPr>
          <w:rFonts w:hint="eastAsia" w:ascii="宋体" w:hAnsi="宋体" w:cs="宋体"/>
          <w:b/>
          <w:bCs/>
          <w:kern w:val="0"/>
          <w:sz w:val="24"/>
          <w:highlight w:val="none"/>
        </w:rPr>
        <w:t>（2--4根据国家规定的调整价格的原则</w:t>
      </w:r>
      <w:r>
        <w:rPr>
          <w:rFonts w:hint="eastAsia" w:ascii="宋体" w:hAnsi="宋体" w:cs="宋体"/>
          <w:b/>
          <w:kern w:val="0"/>
          <w:sz w:val="24"/>
          <w:highlight w:val="none"/>
        </w:rPr>
        <w:t>执行</w:t>
      </w:r>
      <w:r>
        <w:rPr>
          <w:rFonts w:hint="eastAsia" w:ascii="宋体" w:hAnsi="宋体" w:cs="宋体"/>
          <w:b/>
          <w:bCs/>
          <w:kern w:val="0"/>
          <w:sz w:val="24"/>
          <w:highlight w:val="none"/>
        </w:rPr>
        <w:t>）</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10.3承包人的合理化建议</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监理人审查承包人合理化建议的期限：</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发包人审批承包人合理化建议的期限：</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承包人提出的合理化建议降低了合同价格或者提高了工程经济效益的奖励的方法和金额为：</w:t>
      </w:r>
      <w:r>
        <w:rPr>
          <w:rFonts w:hint="eastAsia" w:ascii="宋体" w:hAnsi="宋体" w:cs="宋体"/>
          <w:sz w:val="24"/>
          <w:highlight w:val="none"/>
          <w:u w:val="single"/>
        </w:rPr>
        <w:t xml:space="preserve"> 双方另行协商 </w:t>
      </w:r>
      <w:r>
        <w:rPr>
          <w:rFonts w:hint="eastAsia" w:ascii="宋体" w:hAnsi="宋体" w:cs="宋体"/>
          <w:sz w:val="24"/>
          <w:highlight w:val="none"/>
        </w:rPr>
        <w:t>。</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10.4 暂估价</w:t>
      </w:r>
      <w:r>
        <w:rPr>
          <w:rFonts w:hint="eastAsia" w:ascii="宋体" w:hAnsi="宋体" w:cs="宋体"/>
          <w:bCs w:val="0"/>
          <w:sz w:val="24"/>
          <w:highlight w:val="none"/>
        </w:rPr>
        <w:t>：/</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10.5 暂列金额</w:t>
      </w:r>
      <w:r>
        <w:rPr>
          <w:rFonts w:hint="eastAsia" w:ascii="宋体" w:hAnsi="宋体" w:cs="宋体"/>
          <w:bCs w:val="0"/>
          <w:sz w:val="24"/>
          <w:highlight w:val="none"/>
        </w:rPr>
        <w:t>：/</w:t>
      </w:r>
    </w:p>
    <w:p>
      <w:pPr>
        <w:pStyle w:val="6"/>
        <w:spacing w:before="120" w:after="8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11. 价格调整</w:t>
      </w:r>
    </w:p>
    <w:p>
      <w:pPr>
        <w:spacing w:line="400" w:lineRule="exact"/>
        <w:ind w:firstLine="480" w:firstLineChars="200"/>
        <w:rPr>
          <w:rFonts w:ascii="宋体" w:hAnsi="宋体" w:cs="宋体"/>
          <w:sz w:val="24"/>
          <w:highlight w:val="none"/>
        </w:rPr>
      </w:pPr>
      <w:bookmarkStart w:id="432" w:name="_Toc296891241"/>
      <w:bookmarkStart w:id="433" w:name="_Toc296944540"/>
      <w:bookmarkStart w:id="434" w:name="_Toc297216209"/>
      <w:bookmarkStart w:id="435" w:name="_Toc297048387"/>
      <w:bookmarkStart w:id="436" w:name="_Toc296347200"/>
      <w:bookmarkStart w:id="437" w:name="_Toc312678039"/>
      <w:bookmarkStart w:id="438" w:name="_Toc292559406"/>
      <w:bookmarkStart w:id="439" w:name="_Toc304295577"/>
      <w:bookmarkStart w:id="440" w:name="_Toc296346702"/>
      <w:bookmarkStart w:id="441" w:name="_Toc300935000"/>
      <w:bookmarkStart w:id="442" w:name="_Toc297123550"/>
      <w:bookmarkStart w:id="443" w:name="_Toc303539157"/>
      <w:bookmarkStart w:id="444" w:name="_Toc292559911"/>
      <w:bookmarkStart w:id="445" w:name="_Toc296891029"/>
      <w:bookmarkStart w:id="446" w:name="_Toc297120501"/>
      <w:bookmarkStart w:id="447" w:name="_Toc296503201"/>
      <w:r>
        <w:rPr>
          <w:rFonts w:hint="eastAsia" w:ascii="宋体" w:hAnsi="宋体" w:cs="宋体"/>
          <w:sz w:val="24"/>
          <w:highlight w:val="none"/>
        </w:rPr>
        <w:t>11.1 市场价格波动引起的调整</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因市场价格波动调整合同价格，采用以下第</w:t>
      </w:r>
      <w:r>
        <w:rPr>
          <w:rFonts w:hint="eastAsia" w:ascii="宋体" w:hAnsi="宋体" w:cs="宋体"/>
          <w:sz w:val="24"/>
          <w:highlight w:val="none"/>
          <w:u w:val="single"/>
        </w:rPr>
        <w:t xml:space="preserve">   3   </w:t>
      </w:r>
      <w:r>
        <w:rPr>
          <w:rFonts w:hint="eastAsia" w:ascii="宋体" w:hAnsi="宋体" w:cs="宋体"/>
          <w:sz w:val="24"/>
          <w:highlight w:val="none"/>
        </w:rPr>
        <w:t>种方式对合同价格进行调整：</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第1种方式：采用价格指数进行价格调整。</w:t>
      </w:r>
    </w:p>
    <w:p>
      <w:pPr>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rPr>
        <w:t>关于各可调因子、定值和变值权重，以及基本价格指数及其来源的约定：</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第2种方式：采用造价信息进行价格调整。</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（2）关于基准价格的约定：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00" w:lineRule="exact"/>
        <w:ind w:firstLine="645"/>
        <w:jc w:val="left"/>
        <w:rPr>
          <w:rFonts w:ascii="宋体" w:hAnsi="宋体" w:cs="宋体"/>
          <w:sz w:val="24"/>
          <w:highlight w:val="none"/>
        </w:rPr>
      </w:pPr>
      <w:r>
        <w:rPr>
          <w:rFonts w:hint="eastAsia" w:ascii="宋体" w:hAnsi="宋体" w:cs="宋体"/>
          <w:sz w:val="24"/>
          <w:highlight w:val="none"/>
        </w:rPr>
        <w:t>③承包人在已标价工程量清单或预算书中载明的材料单价等于基准单价的：专用合同条款合同履行期间材料单价涨跌幅以基准单价为基础超过±%时，其超过部分据实调整。</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第3种方式：其他价格调整方式：</w:t>
      </w:r>
    </w:p>
    <w:p>
      <w:pPr>
        <w:pStyle w:val="6"/>
        <w:spacing w:before="120" w:after="120" w:line="410" w:lineRule="exact"/>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项目采用固定综合单价合同，最终结算根据最终实际发生的工程量结算。报价应包含完成所有工作内容所需的所有费用，质保期内所用的任何工具、机械设备、人工、保险、税金和后期保修的一切设备、通讯、交通、人工等费用均包含在报价中，招标人均不另行支付，报价单位无论何种原因造成报价的项、价等的遗漏，其风险自担，一旦发生不作为调价依据。</w:t>
      </w:r>
    </w:p>
    <w:p>
      <w:pPr>
        <w:pStyle w:val="6"/>
        <w:spacing w:before="120" w:after="120" w:line="41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12. 合同价格、计量与支付</w:t>
      </w:r>
    </w:p>
    <w:p>
      <w:pPr>
        <w:pStyle w:val="7"/>
        <w:numPr>
          <w:ilvl w:val="0"/>
          <w:numId w:val="0"/>
        </w:numPr>
        <w:spacing w:before="120" w:after="120" w:line="41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12.1 合同价格形式</w:t>
      </w:r>
    </w:p>
    <w:p>
      <w:pPr>
        <w:pStyle w:val="7"/>
        <w:numPr>
          <w:ilvl w:val="0"/>
          <w:numId w:val="0"/>
        </w:numPr>
        <w:spacing w:before="120" w:after="120" w:line="410" w:lineRule="exact"/>
        <w:ind w:firstLine="472" w:firstLineChars="196"/>
        <w:rPr>
          <w:rFonts w:hint="eastAsia" w:ascii="宋体" w:hAnsi="宋体" w:cs="宋体"/>
          <w:kern w:val="0"/>
          <w:sz w:val="24"/>
          <w:highlight w:val="none"/>
        </w:rPr>
      </w:pPr>
      <w:r>
        <w:rPr>
          <w:rFonts w:hint="eastAsia" w:ascii="宋体" w:hAnsi="宋体" w:cs="宋体"/>
          <w:kern w:val="0"/>
          <w:sz w:val="24"/>
          <w:highlight w:val="none"/>
        </w:rPr>
        <w:t>1、固定综合单价合同。</w:t>
      </w:r>
    </w:p>
    <w:p>
      <w:pPr>
        <w:pStyle w:val="7"/>
        <w:numPr>
          <w:ilvl w:val="0"/>
          <w:numId w:val="0"/>
        </w:numPr>
        <w:spacing w:before="120" w:after="120" w:line="41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12.2 预付款</w:t>
      </w:r>
    </w:p>
    <w:p>
      <w:pPr>
        <w:topLinePunct/>
        <w:spacing w:line="410" w:lineRule="exact"/>
        <w:ind w:firstLine="480" w:firstLineChars="200"/>
        <w:rPr>
          <w:rFonts w:ascii="宋体" w:hAnsi="宋体" w:cs="宋体"/>
          <w:sz w:val="24"/>
          <w:highlight w:val="none"/>
        </w:rPr>
      </w:pPr>
      <w:r>
        <w:rPr>
          <w:rFonts w:hint="eastAsia" w:ascii="宋体" w:hAnsi="宋体" w:cs="宋体"/>
          <w:sz w:val="24"/>
          <w:highlight w:val="none"/>
        </w:rPr>
        <w:t>12.2.1 预付款的支付</w:t>
      </w:r>
    </w:p>
    <w:p>
      <w:pPr>
        <w:spacing w:line="440" w:lineRule="exact"/>
        <w:ind w:firstLine="480" w:firstLineChars="200"/>
        <w:jc w:val="left"/>
        <w:rPr>
          <w:rFonts w:hint="eastAsia" w:ascii="宋体" w:hAnsi="宋体" w:eastAsia="宋体" w:cs="宋体"/>
          <w:sz w:val="24"/>
          <w:highlight w:val="none"/>
          <w:lang w:val="en-US" w:eastAsia="zh-CN"/>
        </w:rPr>
      </w:pPr>
      <w:r>
        <w:rPr>
          <w:rFonts w:hint="eastAsia" w:ascii="宋体" w:hAnsi="宋体" w:cs="宋体"/>
          <w:sz w:val="24"/>
          <w:highlight w:val="none"/>
        </w:rPr>
        <w:t>预付款支付比例或金</w:t>
      </w:r>
      <w:r>
        <w:rPr>
          <w:rFonts w:hint="eastAsia" w:ascii="宋体" w:hAnsi="宋体" w:eastAsia="宋体" w:cs="宋体"/>
          <w:sz w:val="24"/>
          <w:highlight w:val="none"/>
        </w:rPr>
        <w:t>额：</w:t>
      </w:r>
      <w:r>
        <w:rPr>
          <w:rFonts w:hint="eastAsia" w:ascii="宋体" w:hAnsi="宋体" w:eastAsia="宋体" w:cs="宋体"/>
          <w:sz w:val="24"/>
          <w:highlight w:val="none"/>
          <w:lang w:val="en-US" w:eastAsia="zh-CN"/>
        </w:rPr>
        <w:t>无</w:t>
      </w:r>
    </w:p>
    <w:p>
      <w:pPr>
        <w:pStyle w:val="7"/>
        <w:numPr>
          <w:ilvl w:val="0"/>
          <w:numId w:val="0"/>
        </w:numPr>
        <w:spacing w:before="120" w:after="120" w:line="41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12.3 计量</w:t>
      </w:r>
    </w:p>
    <w:p>
      <w:pPr>
        <w:topLinePunct/>
        <w:spacing w:line="410" w:lineRule="exact"/>
        <w:ind w:firstLine="480" w:firstLineChars="200"/>
        <w:rPr>
          <w:rFonts w:ascii="宋体" w:hAnsi="宋体" w:cs="宋体"/>
          <w:sz w:val="24"/>
          <w:highlight w:val="none"/>
        </w:rPr>
      </w:pPr>
      <w:r>
        <w:rPr>
          <w:rFonts w:hint="eastAsia" w:ascii="宋体" w:hAnsi="宋体" w:cs="宋体"/>
          <w:kern w:val="0"/>
          <w:sz w:val="24"/>
          <w:highlight w:val="none"/>
        </w:rPr>
        <w:t>12.3.1</w:t>
      </w:r>
      <w:r>
        <w:rPr>
          <w:rFonts w:hint="eastAsia" w:ascii="宋体" w:hAnsi="宋体" w:cs="宋体"/>
          <w:sz w:val="24"/>
          <w:highlight w:val="none"/>
        </w:rPr>
        <w:t xml:space="preserve"> 计量原则</w:t>
      </w:r>
    </w:p>
    <w:p>
      <w:pPr>
        <w:topLinePunct/>
        <w:spacing w:line="410" w:lineRule="exact"/>
        <w:ind w:firstLine="480" w:firstLineChars="200"/>
        <w:rPr>
          <w:rFonts w:hint="eastAsia" w:ascii="宋体" w:hAnsi="宋体" w:eastAsia="宋体" w:cs="宋体"/>
          <w:sz w:val="24"/>
          <w:highlight w:val="none"/>
          <w:u w:val="single"/>
          <w:lang w:eastAsia="zh-CN"/>
        </w:rPr>
      </w:pPr>
      <w:r>
        <w:rPr>
          <w:rFonts w:hint="eastAsia" w:ascii="宋体" w:hAnsi="宋体" w:cs="宋体"/>
          <w:sz w:val="24"/>
          <w:highlight w:val="none"/>
        </w:rPr>
        <w:t>工程量计算规则：</w:t>
      </w:r>
      <w:r>
        <w:rPr>
          <w:rFonts w:hint="eastAsia" w:ascii="宋体" w:hAnsi="宋体" w:cs="宋体"/>
          <w:sz w:val="24"/>
          <w:highlight w:val="none"/>
          <w:u w:val="single"/>
        </w:rPr>
        <w:t>工程量计算规则应以相关的国家标准、行业标准等为依据</w:t>
      </w:r>
      <w:r>
        <w:rPr>
          <w:rFonts w:hint="eastAsia" w:ascii="宋体" w:hAnsi="宋体" w:cs="宋体"/>
          <w:sz w:val="24"/>
          <w:highlight w:val="none"/>
          <w:u w:val="single"/>
          <w:lang w:eastAsia="zh-CN"/>
        </w:rPr>
        <w:t>。</w:t>
      </w:r>
    </w:p>
    <w:p>
      <w:pPr>
        <w:topLinePunct/>
        <w:spacing w:line="410" w:lineRule="exact"/>
        <w:ind w:firstLine="480" w:firstLineChars="200"/>
        <w:rPr>
          <w:rFonts w:ascii="宋体" w:hAnsi="宋体" w:cs="宋体"/>
          <w:sz w:val="24"/>
          <w:highlight w:val="none"/>
        </w:rPr>
      </w:pPr>
      <w:r>
        <w:rPr>
          <w:rFonts w:hint="eastAsia" w:ascii="宋体" w:hAnsi="宋体" w:cs="宋体"/>
          <w:kern w:val="0"/>
          <w:sz w:val="24"/>
          <w:highlight w:val="none"/>
        </w:rPr>
        <w:t xml:space="preserve">12.3.2 </w:t>
      </w:r>
      <w:r>
        <w:rPr>
          <w:rFonts w:hint="eastAsia" w:ascii="宋体" w:hAnsi="宋体" w:cs="宋体"/>
          <w:sz w:val="24"/>
          <w:highlight w:val="none"/>
        </w:rPr>
        <w:t>计量周期</w:t>
      </w:r>
    </w:p>
    <w:p>
      <w:pPr>
        <w:topLinePunct/>
        <w:spacing w:line="410" w:lineRule="exact"/>
        <w:ind w:firstLine="480" w:firstLineChars="200"/>
        <w:rPr>
          <w:rFonts w:ascii="宋体" w:hAnsi="宋体" w:cs="宋体"/>
          <w:sz w:val="24"/>
          <w:highlight w:val="none"/>
        </w:rPr>
      </w:pPr>
      <w:r>
        <w:rPr>
          <w:rFonts w:hint="eastAsia" w:ascii="宋体" w:hAnsi="宋体" w:cs="宋体"/>
          <w:sz w:val="24"/>
          <w:highlight w:val="none"/>
        </w:rPr>
        <w:t>关于计量周期的约定：</w:t>
      </w:r>
      <w:r>
        <w:rPr>
          <w:rFonts w:hint="eastAsia" w:ascii="宋体" w:hAnsi="宋体" w:cs="宋体"/>
          <w:sz w:val="24"/>
          <w:highlight w:val="none"/>
          <w:u w:val="single"/>
        </w:rPr>
        <w:t xml:space="preserve"> 发包人认为需要进行现场计量核实时，应在计量前24 小时通知承包人。</w:t>
      </w:r>
    </w:p>
    <w:p>
      <w:pPr>
        <w:spacing w:line="410" w:lineRule="exact"/>
        <w:ind w:firstLine="480" w:firstLineChars="200"/>
        <w:rPr>
          <w:rFonts w:ascii="宋体" w:hAnsi="宋体" w:cs="宋体"/>
          <w:bCs/>
          <w:sz w:val="24"/>
          <w:highlight w:val="none"/>
        </w:rPr>
      </w:pPr>
      <w:bookmarkStart w:id="448" w:name="_Toc296346712"/>
      <w:bookmarkStart w:id="449" w:name="_Toc296347210"/>
      <w:bookmarkStart w:id="450" w:name="_Toc297216215"/>
      <w:bookmarkStart w:id="451" w:name="_Toc297048397"/>
      <w:bookmarkStart w:id="452" w:name="_Toc297123556"/>
      <w:bookmarkStart w:id="453" w:name="_Toc297120511"/>
      <w:bookmarkStart w:id="454" w:name="_Toc296503211"/>
      <w:bookmarkStart w:id="455" w:name="_Toc292559921"/>
      <w:bookmarkStart w:id="456" w:name="_Toc296891251"/>
      <w:bookmarkStart w:id="457" w:name="_Toc296891039"/>
      <w:bookmarkStart w:id="458" w:name="_Toc296944550"/>
      <w:bookmarkStart w:id="459" w:name="_Toc300935006"/>
      <w:bookmarkStart w:id="460" w:name="_Toc292559416"/>
      <w:bookmarkStart w:id="461" w:name="_Toc303539163"/>
      <w:r>
        <w:rPr>
          <w:rFonts w:hint="eastAsia" w:ascii="宋体" w:hAnsi="宋体" w:cs="宋体"/>
          <w:bCs/>
          <w:sz w:val="24"/>
          <w:highlight w:val="none"/>
        </w:rPr>
        <w:t>12.4.1 付款周期</w:t>
      </w:r>
    </w:p>
    <w:p>
      <w:pPr>
        <w:spacing w:line="410" w:lineRule="exact"/>
        <w:ind w:firstLine="482" w:firstLineChars="200"/>
        <w:rPr>
          <w:rFonts w:hint="eastAsia"/>
          <w:b/>
          <w:bCs/>
          <w:sz w:val="24"/>
          <w:highlight w:val="none"/>
          <w:lang w:val="en-US" w:eastAsia="zh-CN"/>
        </w:rPr>
      </w:pPr>
      <w:r>
        <w:rPr>
          <w:rFonts w:hint="eastAsia"/>
          <w:b/>
          <w:bCs/>
          <w:sz w:val="24"/>
          <w:highlight w:val="none"/>
          <w:lang w:val="en-US" w:eastAsia="zh-CN"/>
        </w:rPr>
        <w:t xml:space="preserve"> 工程完工并经审计验收合格后付至合同价款60%，验收合格一年内付至合同价款97%，剩余3%作为质保金，质保期结束后无息付清。</w:t>
      </w:r>
    </w:p>
    <w:p>
      <w:pPr>
        <w:spacing w:line="410" w:lineRule="exact"/>
        <w:ind w:firstLine="480" w:firstLineChars="200"/>
        <w:rPr>
          <w:rFonts w:ascii="宋体" w:hAnsi="宋体" w:cs="宋体"/>
          <w:sz w:val="24"/>
          <w:highlight w:val="none"/>
        </w:rPr>
      </w:pPr>
      <w:r>
        <w:rPr>
          <w:rFonts w:hint="eastAsia" w:ascii="宋体" w:hAnsi="宋体" w:cs="宋体"/>
          <w:sz w:val="24"/>
          <w:highlight w:val="none"/>
        </w:rPr>
        <w:t>12.4.2 进度付款申请单的编制</w:t>
      </w:r>
    </w:p>
    <w:p>
      <w:pPr>
        <w:spacing w:line="410" w:lineRule="exact"/>
        <w:ind w:firstLine="600" w:firstLineChars="250"/>
        <w:jc w:val="left"/>
        <w:rPr>
          <w:rFonts w:ascii="宋体" w:hAnsi="宋体" w:cs="宋体"/>
          <w:sz w:val="24"/>
          <w:highlight w:val="none"/>
          <w:u w:val="single"/>
        </w:rPr>
      </w:pPr>
      <w:r>
        <w:rPr>
          <w:rFonts w:hint="eastAsia" w:ascii="宋体" w:hAnsi="宋体" w:cs="宋体"/>
          <w:sz w:val="24"/>
          <w:highlight w:val="none"/>
        </w:rPr>
        <w:t>关于进度付款申请单编制的约定：</w:t>
      </w:r>
      <w:r>
        <w:rPr>
          <w:rFonts w:hint="eastAsia" w:ascii="宋体" w:hAnsi="宋体" w:cs="宋体"/>
          <w:sz w:val="24"/>
          <w:highlight w:val="none"/>
          <w:u w:val="single"/>
        </w:rPr>
        <w:t>每月26日前提供月工程量报表一式两份，所报工程量应满足分项计量认证要求。</w:t>
      </w:r>
    </w:p>
    <w:p>
      <w:pPr>
        <w:spacing w:line="410" w:lineRule="exact"/>
        <w:ind w:firstLine="600" w:firstLineChars="250"/>
        <w:rPr>
          <w:rFonts w:ascii="宋体" w:hAnsi="宋体" w:cs="宋体"/>
          <w:sz w:val="24"/>
          <w:highlight w:val="none"/>
        </w:rPr>
      </w:pPr>
      <w:r>
        <w:rPr>
          <w:rFonts w:hint="eastAsia" w:ascii="宋体" w:hAnsi="宋体" w:cs="宋体"/>
          <w:sz w:val="24"/>
          <w:highlight w:val="none"/>
        </w:rPr>
        <w:t>1</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rFonts w:hint="eastAsia" w:ascii="宋体" w:hAnsi="宋体" w:cs="宋体"/>
          <w:sz w:val="24"/>
          <w:highlight w:val="none"/>
        </w:rPr>
        <w:t>2.4.3 进度付款申请单的提交</w:t>
      </w:r>
    </w:p>
    <w:p>
      <w:pPr>
        <w:spacing w:line="410" w:lineRule="exact"/>
        <w:ind w:firstLine="480" w:firstLineChars="200"/>
        <w:rPr>
          <w:rFonts w:ascii="宋体" w:hAnsi="宋体" w:cs="宋体"/>
          <w:sz w:val="24"/>
          <w:highlight w:val="none"/>
        </w:rPr>
      </w:pPr>
      <w:r>
        <w:rPr>
          <w:rFonts w:hint="eastAsia" w:ascii="宋体" w:hAnsi="宋体" w:cs="宋体"/>
          <w:sz w:val="24"/>
          <w:highlight w:val="none"/>
        </w:rPr>
        <w:t>（1）单价合同进度付款申请单提交的约定：</w:t>
      </w:r>
      <w:r>
        <w:rPr>
          <w:rFonts w:hint="eastAsia" w:ascii="宋体" w:hAnsi="宋体" w:cs="宋体"/>
          <w:sz w:val="24"/>
          <w:highlight w:val="none"/>
          <w:u w:val="single"/>
        </w:rPr>
        <w:t xml:space="preserve">    根据发包人通知提交   </w:t>
      </w:r>
      <w:r>
        <w:rPr>
          <w:rFonts w:hint="eastAsia" w:ascii="宋体" w:hAnsi="宋体" w:cs="宋体"/>
          <w:sz w:val="24"/>
          <w:highlight w:val="none"/>
        </w:rPr>
        <w:t>。</w:t>
      </w:r>
    </w:p>
    <w:p>
      <w:pPr>
        <w:spacing w:line="410" w:lineRule="exact"/>
        <w:ind w:firstLine="480" w:firstLineChars="200"/>
        <w:rPr>
          <w:rFonts w:ascii="宋体" w:hAnsi="宋体" w:cs="宋体"/>
          <w:sz w:val="24"/>
          <w:highlight w:val="none"/>
        </w:rPr>
      </w:pPr>
      <w:r>
        <w:rPr>
          <w:rFonts w:hint="eastAsia" w:ascii="宋体" w:hAnsi="宋体" w:cs="宋体"/>
          <w:sz w:val="24"/>
          <w:highlight w:val="none"/>
        </w:rPr>
        <w:t>（2）总价合同进度付款申请单提交的约定：</w:t>
      </w:r>
      <w:r>
        <w:rPr>
          <w:rFonts w:hint="eastAsia" w:ascii="宋体" w:hAnsi="宋体" w:cs="宋体"/>
          <w:sz w:val="24"/>
          <w:highlight w:val="none"/>
          <w:u w:val="single"/>
        </w:rPr>
        <w:t xml:space="preserve">     根据发包人通知提交   </w:t>
      </w:r>
      <w:r>
        <w:rPr>
          <w:rFonts w:hint="eastAsia" w:ascii="宋体" w:hAnsi="宋体" w:cs="宋体"/>
          <w:sz w:val="24"/>
          <w:highlight w:val="none"/>
        </w:rPr>
        <w:t>。</w:t>
      </w:r>
    </w:p>
    <w:p>
      <w:pPr>
        <w:spacing w:line="410" w:lineRule="exact"/>
        <w:ind w:firstLine="480" w:firstLineChars="200"/>
        <w:rPr>
          <w:rFonts w:ascii="宋体" w:hAnsi="宋体" w:cs="宋体"/>
          <w:sz w:val="24"/>
          <w:highlight w:val="none"/>
        </w:rPr>
      </w:pPr>
      <w:r>
        <w:rPr>
          <w:rFonts w:hint="eastAsia" w:ascii="宋体" w:hAnsi="宋体" w:cs="宋体"/>
          <w:sz w:val="24"/>
          <w:highlight w:val="none"/>
        </w:rPr>
        <w:t>（3）其他价格形式合同进度付款申请单提交的约定：</w:t>
      </w:r>
      <w:r>
        <w:rPr>
          <w:rFonts w:hint="eastAsia" w:ascii="宋体" w:hAnsi="宋体" w:cs="宋体"/>
          <w:sz w:val="24"/>
          <w:highlight w:val="none"/>
          <w:u w:val="single"/>
        </w:rPr>
        <w:t xml:space="preserve">  /     </w:t>
      </w:r>
      <w:r>
        <w:rPr>
          <w:rFonts w:hint="eastAsia" w:ascii="宋体" w:hAnsi="宋体" w:cs="宋体"/>
          <w:sz w:val="24"/>
          <w:highlight w:val="none"/>
        </w:rPr>
        <w:t>。</w:t>
      </w:r>
    </w:p>
    <w:bookmarkEnd w:id="424"/>
    <w:p>
      <w:pPr>
        <w:topLinePunct/>
        <w:spacing w:line="410" w:lineRule="exact"/>
        <w:ind w:firstLine="480" w:firstLineChars="200"/>
        <w:rPr>
          <w:rFonts w:ascii="宋体" w:hAnsi="宋体" w:cs="宋体"/>
          <w:sz w:val="24"/>
          <w:highlight w:val="none"/>
        </w:rPr>
      </w:pPr>
      <w:r>
        <w:rPr>
          <w:rFonts w:hint="eastAsia" w:ascii="宋体" w:hAnsi="宋体" w:cs="宋体"/>
          <w:kern w:val="0"/>
          <w:sz w:val="24"/>
          <w:highlight w:val="none"/>
        </w:rPr>
        <w:t>12.4.4</w:t>
      </w:r>
      <w:r>
        <w:rPr>
          <w:rFonts w:hint="eastAsia" w:ascii="宋体" w:hAnsi="宋体" w:cs="宋体"/>
          <w:sz w:val="24"/>
          <w:highlight w:val="none"/>
        </w:rPr>
        <w:t xml:space="preserve"> 进度款审核和支付</w:t>
      </w:r>
    </w:p>
    <w:p>
      <w:pPr>
        <w:topLinePunct/>
        <w:spacing w:line="410" w:lineRule="exact"/>
        <w:ind w:firstLine="480" w:firstLineChars="200"/>
        <w:rPr>
          <w:rFonts w:ascii="宋体" w:hAnsi="宋体" w:cs="宋体"/>
          <w:sz w:val="24"/>
          <w:highlight w:val="none"/>
          <w:u w:val="single"/>
        </w:rPr>
      </w:pPr>
      <w:r>
        <w:rPr>
          <w:rFonts w:hint="eastAsia" w:ascii="宋体" w:hAnsi="宋体" w:cs="宋体"/>
          <w:sz w:val="24"/>
          <w:highlight w:val="none"/>
        </w:rPr>
        <w:t>（1）监理人审查并报送发包人的期限：</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pPr>
        <w:topLinePunct/>
        <w:spacing w:line="410" w:lineRule="exact"/>
        <w:ind w:firstLine="480" w:firstLineChars="200"/>
        <w:rPr>
          <w:rFonts w:ascii="宋体" w:hAnsi="宋体" w:cs="宋体"/>
          <w:sz w:val="24"/>
          <w:highlight w:val="none"/>
        </w:rPr>
      </w:pPr>
      <w:r>
        <w:rPr>
          <w:rFonts w:hint="eastAsia" w:ascii="宋体" w:hAnsi="宋体" w:cs="宋体"/>
          <w:sz w:val="24"/>
          <w:highlight w:val="none"/>
        </w:rPr>
        <w:t>发包人完成审批并签发进度款支付证书的期限：</w:t>
      </w:r>
      <w:r>
        <w:rPr>
          <w:rFonts w:hint="eastAsia" w:ascii="宋体" w:hAnsi="宋体" w:cs="宋体"/>
          <w:sz w:val="24"/>
          <w:highlight w:val="none"/>
          <w:u w:val="single"/>
        </w:rPr>
        <w:t xml:space="preserve"> 双方另行协商。</w:t>
      </w:r>
    </w:p>
    <w:p>
      <w:pPr>
        <w:topLinePunct/>
        <w:spacing w:line="410" w:lineRule="exact"/>
        <w:ind w:firstLine="480" w:firstLineChars="200"/>
        <w:rPr>
          <w:rFonts w:ascii="宋体" w:hAnsi="宋体" w:cs="宋体"/>
          <w:sz w:val="24"/>
          <w:highlight w:val="none"/>
        </w:rPr>
      </w:pPr>
      <w:r>
        <w:rPr>
          <w:rFonts w:hint="eastAsia" w:ascii="宋体" w:hAnsi="宋体" w:cs="宋体"/>
          <w:sz w:val="24"/>
          <w:highlight w:val="none"/>
        </w:rPr>
        <w:t>（2）发包人支付进度款的期限：</w:t>
      </w:r>
      <w:r>
        <w:rPr>
          <w:rFonts w:hint="eastAsia" w:ascii="宋体" w:hAnsi="宋体" w:cs="宋体"/>
          <w:sz w:val="24"/>
          <w:highlight w:val="none"/>
          <w:u w:val="single"/>
        </w:rPr>
        <w:t xml:space="preserve"> 双方另行协商。</w:t>
      </w:r>
    </w:p>
    <w:p>
      <w:pPr>
        <w:topLinePunct/>
        <w:spacing w:line="410" w:lineRule="exact"/>
        <w:ind w:firstLine="480" w:firstLineChars="200"/>
        <w:rPr>
          <w:rFonts w:ascii="宋体" w:hAnsi="宋体" w:cs="宋体"/>
          <w:sz w:val="24"/>
          <w:highlight w:val="none"/>
        </w:rPr>
      </w:pPr>
      <w:r>
        <w:rPr>
          <w:rFonts w:hint="eastAsia" w:ascii="宋体" w:hAnsi="宋体" w:cs="宋体"/>
          <w:sz w:val="24"/>
          <w:highlight w:val="none"/>
        </w:rPr>
        <w:t>发包人逾期支付进度款的违约金的计算方式：</w:t>
      </w:r>
      <w:r>
        <w:rPr>
          <w:rFonts w:hint="eastAsia" w:ascii="宋体" w:hAnsi="宋体" w:cs="宋体"/>
          <w:sz w:val="24"/>
          <w:highlight w:val="none"/>
          <w:u w:val="single"/>
        </w:rPr>
        <w:t xml:space="preserve">   无。   </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12.4.6</w:t>
      </w:r>
      <w:r>
        <w:rPr>
          <w:rFonts w:hint="eastAsia" w:ascii="宋体" w:hAnsi="宋体" w:cs="宋体"/>
          <w:sz w:val="24"/>
          <w:highlight w:val="none"/>
        </w:rPr>
        <w:t xml:space="preserve"> 支付分解表的编制</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3、单价合同的总价项目支付分解表的编制与审批：</w:t>
      </w:r>
      <w:r>
        <w:rPr>
          <w:rFonts w:hint="eastAsia" w:ascii="宋体" w:hAnsi="宋体" w:cs="宋体"/>
          <w:sz w:val="24"/>
          <w:highlight w:val="none"/>
          <w:u w:val="single"/>
        </w:rPr>
        <w:t xml:space="preserve">执行通用条款 </w:t>
      </w:r>
      <w:r>
        <w:rPr>
          <w:rFonts w:hint="eastAsia" w:ascii="宋体" w:hAnsi="宋体" w:cs="宋体"/>
          <w:sz w:val="24"/>
          <w:highlight w:val="none"/>
        </w:rPr>
        <w:t>。</w:t>
      </w:r>
    </w:p>
    <w:p>
      <w:pPr>
        <w:pStyle w:val="6"/>
        <w:keepNext w:val="0"/>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13. 验收和工程试车</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13.1 分部分项工程验收</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13.1.2</w:t>
      </w:r>
      <w:r>
        <w:rPr>
          <w:rFonts w:hint="eastAsia" w:ascii="宋体" w:hAnsi="宋体" w:cs="宋体"/>
          <w:sz w:val="24"/>
          <w:highlight w:val="none"/>
        </w:rPr>
        <w:t>监理人不能按时进行验收时，应提前</w:t>
      </w:r>
      <w:r>
        <w:rPr>
          <w:rFonts w:hint="eastAsia" w:ascii="宋体" w:hAnsi="宋体" w:cs="宋体"/>
          <w:sz w:val="24"/>
          <w:highlight w:val="none"/>
          <w:u w:val="single"/>
        </w:rPr>
        <w:t xml:space="preserve"> 24 </w:t>
      </w:r>
      <w:r>
        <w:rPr>
          <w:rFonts w:hint="eastAsia" w:ascii="宋体" w:hAnsi="宋体" w:cs="宋体"/>
          <w:sz w:val="24"/>
          <w:highlight w:val="none"/>
        </w:rPr>
        <w:t>小时提交书面延期要求。</w:t>
      </w:r>
    </w:p>
    <w:p>
      <w:pPr>
        <w:topLinePunct/>
        <w:spacing w:line="400" w:lineRule="exact"/>
        <w:ind w:firstLine="480" w:firstLineChars="200"/>
        <w:rPr>
          <w:rFonts w:ascii="宋体" w:hAnsi="宋体" w:cs="宋体"/>
          <w:b/>
          <w:sz w:val="24"/>
          <w:highlight w:val="none"/>
        </w:rPr>
      </w:pPr>
      <w:r>
        <w:rPr>
          <w:rFonts w:hint="eastAsia" w:ascii="宋体" w:hAnsi="宋体" w:cs="宋体"/>
          <w:sz w:val="24"/>
          <w:highlight w:val="none"/>
        </w:rPr>
        <w:t>关于延期最长不得超过：</w:t>
      </w:r>
      <w:r>
        <w:rPr>
          <w:rFonts w:hint="eastAsia" w:ascii="宋体" w:hAnsi="宋体" w:cs="宋体"/>
          <w:sz w:val="24"/>
          <w:highlight w:val="none"/>
          <w:u w:val="single"/>
        </w:rPr>
        <w:t xml:space="preserve"> 48 </w:t>
      </w:r>
      <w:r>
        <w:rPr>
          <w:rFonts w:hint="eastAsia" w:ascii="宋体" w:hAnsi="宋体" w:cs="宋体"/>
          <w:sz w:val="24"/>
          <w:highlight w:val="none"/>
        </w:rPr>
        <w:t>小时。</w:t>
      </w:r>
    </w:p>
    <w:p>
      <w:pPr>
        <w:pStyle w:val="7"/>
        <w:numPr>
          <w:ilvl w:val="0"/>
          <w:numId w:val="0"/>
        </w:numPr>
        <w:spacing w:before="120" w:after="6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13.2 竣工验收</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13.2.1</w:t>
      </w:r>
      <w:r>
        <w:rPr>
          <w:rFonts w:hint="eastAsia" w:ascii="宋体" w:hAnsi="宋体" w:cs="宋体"/>
          <w:sz w:val="24"/>
          <w:highlight w:val="none"/>
        </w:rPr>
        <w:t>竣工验收程序</w:t>
      </w:r>
    </w:p>
    <w:p>
      <w:pPr>
        <w:topLinePunct/>
        <w:spacing w:line="400" w:lineRule="exact"/>
        <w:ind w:firstLine="482" w:firstLineChars="200"/>
        <w:rPr>
          <w:rFonts w:ascii="宋体" w:hAnsi="宋体" w:cs="宋体"/>
          <w:sz w:val="24"/>
          <w:highlight w:val="none"/>
          <w:u w:val="single"/>
        </w:rPr>
      </w:pPr>
      <w:r>
        <w:rPr>
          <w:rFonts w:hint="eastAsia" w:ascii="宋体" w:hAnsi="宋体" w:cs="宋体"/>
          <w:b/>
          <w:bCs/>
          <w:kern w:val="0"/>
          <w:sz w:val="24"/>
          <w:highlight w:val="none"/>
        </w:rPr>
        <w:t>关于竣工验收程序的约定</w:t>
      </w:r>
      <w:r>
        <w:rPr>
          <w:rFonts w:hint="eastAsia" w:ascii="宋体" w:hAnsi="宋体" w:cs="宋体"/>
          <w:kern w:val="0"/>
          <w:sz w:val="24"/>
          <w:highlight w:val="none"/>
        </w:rPr>
        <w:t>：由采购人组织，供应商负责协调验收事宜。</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发包人不按照本项约定组织竣工验收、颁发工程接收证书的违约金的计算方法：</w:t>
      </w:r>
      <w:r>
        <w:rPr>
          <w:rFonts w:hint="eastAsia" w:ascii="宋体" w:hAnsi="宋体" w:cs="宋体"/>
          <w:kern w:val="0"/>
          <w:sz w:val="24"/>
          <w:highlight w:val="none"/>
          <w:u w:val="single"/>
        </w:rPr>
        <w:t xml:space="preserve"> 发包人不承担违约责任，但</w:t>
      </w:r>
      <w:r>
        <w:rPr>
          <w:rFonts w:hint="eastAsia" w:ascii="宋体" w:hAnsi="宋体" w:cs="宋体"/>
          <w:sz w:val="24"/>
          <w:highlight w:val="none"/>
          <w:u w:val="single"/>
        </w:rPr>
        <w:t>承担工程照管、成品保护、保管等与工程有关的各项费用</w:t>
      </w:r>
      <w:r>
        <w:rPr>
          <w:rFonts w:hint="eastAsia" w:ascii="宋体" w:hAnsi="宋体" w:cs="宋体"/>
          <w:kern w:val="0"/>
          <w:sz w:val="24"/>
          <w:highlight w:val="none"/>
          <w:u w:val="single"/>
        </w:rPr>
        <w:t>。</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13.2.2</w:t>
      </w:r>
      <w:r>
        <w:rPr>
          <w:rFonts w:hint="eastAsia" w:ascii="宋体" w:hAnsi="宋体" w:cs="宋体"/>
          <w:sz w:val="24"/>
          <w:highlight w:val="none"/>
        </w:rPr>
        <w:t>移交、接收全部与部分工程</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承包人向发包人移交工程的期限：</w:t>
      </w:r>
      <w:r>
        <w:rPr>
          <w:rFonts w:hint="eastAsia" w:ascii="宋体" w:hAnsi="宋体" w:cs="宋体"/>
          <w:sz w:val="24"/>
          <w:highlight w:val="none"/>
          <w:u w:val="single"/>
        </w:rPr>
        <w:t xml:space="preserve"> 执行通用条款。</w:t>
      </w:r>
    </w:p>
    <w:p>
      <w:pPr>
        <w:topLinePunct/>
        <w:spacing w:line="400" w:lineRule="exact"/>
        <w:ind w:firstLine="480" w:firstLineChars="200"/>
        <w:rPr>
          <w:rFonts w:ascii="宋体" w:hAnsi="宋体" w:cs="宋体"/>
          <w:sz w:val="24"/>
          <w:highlight w:val="none"/>
          <w:u w:val="single"/>
        </w:rPr>
      </w:pPr>
      <w:r>
        <w:rPr>
          <w:rFonts w:hint="eastAsia" w:ascii="宋体" w:hAnsi="宋体" w:cs="宋体"/>
          <w:kern w:val="0"/>
          <w:sz w:val="24"/>
          <w:highlight w:val="none"/>
        </w:rPr>
        <w:t>发包人未按本合同约定接收全部或部分工程的，违约金的计算方法为：</w:t>
      </w:r>
      <w:r>
        <w:rPr>
          <w:rFonts w:hint="eastAsia" w:ascii="宋体" w:hAnsi="宋体" w:cs="宋体"/>
          <w:kern w:val="0"/>
          <w:sz w:val="24"/>
          <w:highlight w:val="none"/>
          <w:u w:val="single"/>
        </w:rPr>
        <w:t xml:space="preserve"> 发包人不承担违约责任，但</w:t>
      </w:r>
      <w:r>
        <w:rPr>
          <w:rFonts w:hint="eastAsia" w:ascii="宋体" w:hAnsi="宋体" w:cs="宋体"/>
          <w:sz w:val="24"/>
          <w:highlight w:val="none"/>
          <w:u w:val="single"/>
        </w:rPr>
        <w:t>承担工程照管、成品保护、保管等与工程有关的各项费用。</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承包人未按时移交工程的，违约金的计算方法为：</w:t>
      </w:r>
      <w:r>
        <w:rPr>
          <w:rFonts w:hint="eastAsia" w:ascii="宋体" w:hAnsi="宋体" w:cs="宋体"/>
          <w:sz w:val="24"/>
          <w:highlight w:val="none"/>
          <w:u w:val="single"/>
        </w:rPr>
        <w:t>承包人除承担工程照管、成品保护、保管等与工程有关的各项费用外，按7.5.2条工期延误约定向发包人支付违约金。</w:t>
      </w:r>
    </w:p>
    <w:p>
      <w:pPr>
        <w:pStyle w:val="7"/>
        <w:numPr>
          <w:ilvl w:val="0"/>
          <w:numId w:val="0"/>
        </w:numPr>
        <w:spacing w:before="120" w:after="60" w:line="400" w:lineRule="exact"/>
        <w:ind w:firstLine="470" w:firstLineChars="195"/>
        <w:rPr>
          <w:rFonts w:ascii="宋体" w:hAnsi="宋体" w:cs="宋体"/>
          <w:bCs w:val="0"/>
          <w:sz w:val="24"/>
          <w:szCs w:val="24"/>
          <w:highlight w:val="none"/>
        </w:rPr>
      </w:pPr>
      <w:r>
        <w:rPr>
          <w:rFonts w:hint="eastAsia" w:ascii="宋体" w:hAnsi="宋体" w:cs="宋体"/>
          <w:bCs w:val="0"/>
          <w:sz w:val="24"/>
          <w:szCs w:val="24"/>
          <w:highlight w:val="none"/>
        </w:rPr>
        <w:t>13.3 工程试车</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13.3.1 试车程序</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工程试车内容：</w:t>
      </w:r>
      <w:r>
        <w:rPr>
          <w:rFonts w:hint="eastAsia" w:ascii="宋体" w:hAnsi="宋体" w:cs="宋体"/>
          <w:sz w:val="24"/>
          <w:highlight w:val="none"/>
          <w:u w:val="single"/>
        </w:rPr>
        <w:t xml:space="preserve">  与承包范围一致  。</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（1）单机无负荷试车费用由</w:t>
      </w:r>
      <w:r>
        <w:rPr>
          <w:rFonts w:hint="eastAsia" w:ascii="宋体" w:hAnsi="宋体" w:cs="宋体"/>
          <w:sz w:val="24"/>
          <w:highlight w:val="none"/>
          <w:u w:val="single"/>
        </w:rPr>
        <w:t xml:space="preserve"> 承包人 </w:t>
      </w:r>
      <w:r>
        <w:rPr>
          <w:rFonts w:hint="eastAsia" w:ascii="宋体" w:hAnsi="宋体" w:cs="宋体"/>
          <w:kern w:val="0"/>
          <w:sz w:val="24"/>
          <w:highlight w:val="none"/>
        </w:rPr>
        <w:t>承担；</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（2）无负荷联动试车费用由</w:t>
      </w:r>
      <w:r>
        <w:rPr>
          <w:rFonts w:hint="eastAsia" w:ascii="宋体" w:hAnsi="宋体" w:cs="宋体"/>
          <w:sz w:val="24"/>
          <w:highlight w:val="none"/>
          <w:u w:val="single"/>
        </w:rPr>
        <w:t xml:space="preserve"> 承包人 </w:t>
      </w:r>
      <w:r>
        <w:rPr>
          <w:rFonts w:hint="eastAsia" w:ascii="宋体" w:hAnsi="宋体" w:cs="宋体"/>
          <w:kern w:val="0"/>
          <w:sz w:val="24"/>
          <w:highlight w:val="none"/>
        </w:rPr>
        <w:t>承担。</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13.3.2 投料试车</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关于投料试车相关事项的约定：</w:t>
      </w:r>
      <w:r>
        <w:rPr>
          <w:rFonts w:hint="eastAsia" w:ascii="宋体" w:hAnsi="宋体" w:cs="宋体"/>
          <w:sz w:val="24"/>
          <w:highlight w:val="none"/>
          <w:u w:val="single"/>
        </w:rPr>
        <w:t>投料试运行应在工程竣工验收后由发包人负责，如发包人要求在工程竣工验收前进行或需要承包人配合时，应征得承包人同意，另行签订补充协议。</w:t>
      </w:r>
    </w:p>
    <w:p>
      <w:pPr>
        <w:pStyle w:val="7"/>
        <w:keepNext w:val="0"/>
        <w:numPr>
          <w:ilvl w:val="0"/>
          <w:numId w:val="0"/>
        </w:numPr>
        <w:spacing w:before="120" w:after="8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13.4 竣工退场</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13.4.1 竣工退场</w:t>
      </w:r>
    </w:p>
    <w:p>
      <w:pPr>
        <w:spacing w:line="400" w:lineRule="exact"/>
        <w:ind w:firstLine="480" w:firstLineChars="200"/>
        <w:jc w:val="left"/>
        <w:rPr>
          <w:rFonts w:ascii="宋体" w:hAnsi="宋体" w:cs="宋体"/>
          <w:sz w:val="24"/>
          <w:highlight w:val="none"/>
          <w:u w:val="single"/>
        </w:rPr>
      </w:pPr>
      <w:r>
        <w:rPr>
          <w:rFonts w:hint="eastAsia" w:ascii="宋体" w:hAnsi="宋体" w:cs="宋体"/>
          <w:kern w:val="0"/>
          <w:sz w:val="24"/>
          <w:highlight w:val="none"/>
        </w:rPr>
        <w:t>承包人完成竣工退场的期限：</w:t>
      </w:r>
      <w:r>
        <w:rPr>
          <w:rFonts w:hint="eastAsia" w:ascii="宋体" w:hAnsi="宋体" w:cs="宋体"/>
          <w:sz w:val="24"/>
          <w:highlight w:val="none"/>
          <w:u w:val="single"/>
        </w:rPr>
        <w:t>工程接收证书颁发后56天内，承包人除留3-5人善后外，其余人员和施工设备应全部撤离施工场地。承包人逾期未撤离施工现场的，发包人向承包人收取地(房)租和有关费用，其费用由发包人参照项目所在地有关市场价格标准自行确定，并在工程结算款中扣除地(房)租金额。</w:t>
      </w:r>
    </w:p>
    <w:p>
      <w:pPr>
        <w:pStyle w:val="6"/>
        <w:keepNext w:val="0"/>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14. 竣工结算</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14.1 竣工付款申请</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承包人提交竣工付款申请单的期限：</w:t>
      </w:r>
      <w:r>
        <w:rPr>
          <w:rFonts w:hint="eastAsia" w:ascii="宋体" w:hAnsi="宋体" w:cs="宋体"/>
          <w:sz w:val="24"/>
          <w:highlight w:val="none"/>
          <w:u w:val="single"/>
        </w:rPr>
        <w:t xml:space="preserve"> 执行通用条款。</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竣工付款申请单应包括的内容：</w:t>
      </w:r>
      <w:r>
        <w:rPr>
          <w:rFonts w:hint="eastAsia" w:ascii="宋体" w:hAnsi="宋体" w:cs="宋体"/>
          <w:sz w:val="24"/>
          <w:highlight w:val="none"/>
          <w:u w:val="single"/>
        </w:rPr>
        <w:t xml:space="preserve"> 结算审计报告要求执行。</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14.2 竣工结算审核</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发包人审批竣工付款申请单的期限：</w:t>
      </w:r>
      <w:r>
        <w:rPr>
          <w:rFonts w:hint="eastAsia" w:ascii="宋体" w:hAnsi="宋体" w:cs="宋体"/>
          <w:sz w:val="24"/>
          <w:highlight w:val="none"/>
          <w:u w:val="single"/>
        </w:rPr>
        <w:t xml:space="preserve"> /。</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发包人完成竣工付款的期限：</w:t>
      </w:r>
      <w:r>
        <w:rPr>
          <w:rFonts w:hint="eastAsia" w:ascii="宋体" w:hAnsi="宋体" w:cs="宋体"/>
          <w:sz w:val="24"/>
          <w:highlight w:val="none"/>
          <w:u w:val="single"/>
        </w:rPr>
        <w:t xml:space="preserve"> 根据发包人资金情况双方另行协商。</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关于竣工付款证书异议部分复核的方式和程序：</w:t>
      </w:r>
      <w:r>
        <w:rPr>
          <w:rFonts w:hint="eastAsia" w:ascii="宋体" w:hAnsi="宋体" w:cs="宋体"/>
          <w:sz w:val="24"/>
          <w:highlight w:val="none"/>
          <w:u w:val="single"/>
        </w:rPr>
        <w:t>报汶上或济宁市工程建设造价管理站裁定。</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14.3 最终结清</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本条不适用。</w:t>
      </w:r>
    </w:p>
    <w:p>
      <w:pPr>
        <w:pStyle w:val="6"/>
        <w:keepNext w:val="0"/>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15. 保修</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15.1 质量保证金</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关于质量保证金的约定：</w:t>
      </w:r>
      <w:r>
        <w:rPr>
          <w:rFonts w:hint="eastAsia" w:ascii="宋体" w:hAnsi="宋体" w:cs="宋体"/>
          <w:sz w:val="24"/>
          <w:highlight w:val="none"/>
          <w:u w:val="single"/>
          <w:lang w:val="en-US" w:eastAsia="zh-CN"/>
        </w:rPr>
        <w:t xml:space="preserve">   3%</w:t>
      </w:r>
      <w:r>
        <w:rPr>
          <w:rFonts w:hint="eastAsia" w:ascii="宋体" w:hAnsi="宋体" w:cs="宋体"/>
          <w:kern w:val="0"/>
          <w:sz w:val="24"/>
          <w:highlight w:val="none"/>
          <w:u w:val="single"/>
        </w:rPr>
        <w:t>。</w:t>
      </w:r>
    </w:p>
    <w:p>
      <w:pPr>
        <w:pStyle w:val="7"/>
        <w:keepNext w:val="0"/>
        <w:numPr>
          <w:ilvl w:val="0"/>
          <w:numId w:val="0"/>
        </w:numPr>
        <w:spacing w:before="120" w:after="6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15.2保修</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15.2.1</w:t>
      </w:r>
      <w:r>
        <w:rPr>
          <w:rFonts w:hint="eastAsia" w:ascii="宋体" w:hAnsi="宋体" w:cs="宋体"/>
          <w:sz w:val="24"/>
          <w:highlight w:val="none"/>
        </w:rPr>
        <w:t xml:space="preserve"> 保修责任</w:t>
      </w:r>
    </w:p>
    <w:p>
      <w:pPr>
        <w:spacing w:line="400" w:lineRule="exact"/>
        <w:ind w:firstLine="480" w:firstLineChars="200"/>
        <w:rPr>
          <w:rFonts w:ascii="宋体" w:hAnsi="宋体" w:cs="宋体"/>
          <w:b/>
          <w:kern w:val="0"/>
          <w:sz w:val="24"/>
          <w:highlight w:val="none"/>
        </w:rPr>
      </w:pPr>
      <w:r>
        <w:rPr>
          <w:rFonts w:hint="eastAsia" w:ascii="宋体" w:hAnsi="宋体" w:cs="宋体"/>
          <w:sz w:val="24"/>
          <w:highlight w:val="none"/>
        </w:rPr>
        <w:t>质保期为：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2</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bCs/>
          <w:sz w:val="24"/>
          <w:highlight w:val="none"/>
        </w:rPr>
        <w:t>；</w:t>
      </w:r>
    </w:p>
    <w:p>
      <w:pPr>
        <w:spacing w:line="400" w:lineRule="exact"/>
        <w:ind w:firstLine="480" w:firstLineChars="200"/>
        <w:rPr>
          <w:rFonts w:ascii="宋体" w:hAnsi="宋体" w:cs="宋体"/>
          <w:b/>
          <w:kern w:val="0"/>
          <w:sz w:val="24"/>
          <w:highlight w:val="none"/>
        </w:rPr>
      </w:pPr>
      <w:r>
        <w:rPr>
          <w:rFonts w:hint="eastAsia" w:ascii="宋体" w:hAnsi="宋体" w:cs="宋体"/>
          <w:kern w:val="0"/>
          <w:sz w:val="24"/>
          <w:highlight w:val="none"/>
        </w:rPr>
        <w:t>15.2.2</w:t>
      </w:r>
      <w:r>
        <w:rPr>
          <w:rFonts w:hint="eastAsia" w:ascii="宋体" w:hAnsi="宋体" w:cs="宋体"/>
          <w:sz w:val="24"/>
          <w:highlight w:val="none"/>
        </w:rPr>
        <w:t xml:space="preserve"> 修复通知</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承包人收到保修通知并到达工程现场的合理时间：</w:t>
      </w:r>
      <w:r>
        <w:rPr>
          <w:rFonts w:hint="eastAsia" w:ascii="宋体" w:hAnsi="宋体" w:cs="宋体"/>
          <w:kern w:val="0"/>
          <w:sz w:val="24"/>
          <w:highlight w:val="none"/>
          <w:u w:val="single"/>
        </w:rPr>
        <w:t xml:space="preserve"> 24小时内。</w:t>
      </w:r>
    </w:p>
    <w:p>
      <w:pPr>
        <w:pStyle w:val="6"/>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16. 违约</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16.1 发包人违约</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16.1.1</w:t>
      </w:r>
      <w:r>
        <w:rPr>
          <w:rFonts w:hint="eastAsia" w:ascii="宋体" w:hAnsi="宋体" w:cs="宋体"/>
          <w:sz w:val="24"/>
          <w:highlight w:val="none"/>
        </w:rPr>
        <w:t>发包人违约的情形</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发包人违约的其他情形：</w:t>
      </w:r>
      <w:r>
        <w:rPr>
          <w:rFonts w:hint="eastAsia" w:ascii="宋体" w:hAnsi="宋体" w:cs="宋体"/>
          <w:sz w:val="24"/>
          <w:highlight w:val="none"/>
          <w:u w:val="single"/>
        </w:rPr>
        <w:t>双方另行协商。</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16.1.2 发包人违约的责任</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发包人违约责任的承担方式和计算方法：</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（1）因发包人原因未能在计划开工日期前7天内下达开工通知的违约责任：</w:t>
      </w:r>
      <w:r>
        <w:rPr>
          <w:rFonts w:hint="eastAsia" w:ascii="宋体" w:hAnsi="宋体" w:cs="宋体"/>
          <w:kern w:val="0"/>
          <w:sz w:val="24"/>
          <w:highlight w:val="none"/>
          <w:u w:val="single"/>
        </w:rPr>
        <w:t xml:space="preserve"> 工期可适当顺延，但发包人不承担任何费用补偿。</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（2）因发包人原因未能按合同约定支付合同价款的违约责任：</w:t>
      </w:r>
      <w:r>
        <w:rPr>
          <w:rFonts w:hint="eastAsia" w:ascii="宋体" w:hAnsi="宋体" w:cs="宋体"/>
          <w:kern w:val="0"/>
          <w:sz w:val="24"/>
          <w:highlight w:val="none"/>
          <w:u w:val="single"/>
        </w:rPr>
        <w:t>发包人不承担违约责任。</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（3）发包人违反第10.1款〔变更的范围〕第（2）项约定，自行实施被取消的工作或转由他人实施的违约责任：</w:t>
      </w:r>
      <w:r>
        <w:rPr>
          <w:rFonts w:hint="eastAsia" w:ascii="宋体" w:hAnsi="宋体" w:cs="宋体"/>
          <w:kern w:val="0"/>
          <w:sz w:val="24"/>
          <w:highlight w:val="none"/>
          <w:u w:val="single"/>
        </w:rPr>
        <w:t xml:space="preserve"> 双方另行协商。</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kern w:val="0"/>
          <w:sz w:val="24"/>
          <w:highlight w:val="none"/>
          <w:u w:val="single"/>
        </w:rPr>
        <w:t xml:space="preserve"> 工期可适当顺延。</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（5）因发包人违反合同约定造成暂停施工的违约责任：</w:t>
      </w:r>
      <w:r>
        <w:rPr>
          <w:rFonts w:hint="eastAsia" w:ascii="宋体" w:hAnsi="宋体" w:cs="宋体"/>
          <w:kern w:val="0"/>
          <w:sz w:val="24"/>
          <w:highlight w:val="none"/>
          <w:u w:val="single"/>
        </w:rPr>
        <w:t xml:space="preserve"> 工期可适当顺延。</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（6）发包人无正当理由没有在约定期限内发出复工指示，导致承包人无法复工的违约责任：</w:t>
      </w:r>
      <w:r>
        <w:rPr>
          <w:rFonts w:hint="eastAsia" w:ascii="宋体" w:hAnsi="宋体" w:cs="宋体"/>
          <w:kern w:val="0"/>
          <w:sz w:val="24"/>
          <w:highlight w:val="none"/>
          <w:u w:val="single"/>
        </w:rPr>
        <w:t xml:space="preserve"> 工期可适当顺延。</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（7）其他：</w:t>
      </w:r>
      <w:r>
        <w:rPr>
          <w:rFonts w:hint="eastAsia" w:ascii="宋体" w:hAnsi="宋体" w:cs="宋体"/>
          <w:kern w:val="0"/>
          <w:sz w:val="24"/>
          <w:highlight w:val="none"/>
          <w:u w:val="single"/>
        </w:rPr>
        <w:t xml:space="preserve">       /       </w:t>
      </w:r>
      <w:r>
        <w:rPr>
          <w:rFonts w:hint="eastAsia" w:ascii="宋体" w:hAnsi="宋体" w:cs="宋体"/>
          <w:kern w:val="0"/>
          <w:sz w:val="24"/>
          <w:highlight w:val="none"/>
        </w:rPr>
        <w:t>。</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 xml:space="preserve">16.1.3 </w:t>
      </w:r>
      <w:r>
        <w:rPr>
          <w:rFonts w:hint="eastAsia" w:ascii="宋体" w:hAnsi="宋体" w:cs="宋体"/>
          <w:sz w:val="24"/>
          <w:highlight w:val="none"/>
        </w:rPr>
        <w:t>因发包人违约解除合同</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承包人按16.1.1项〔发包人违约的情形，不包括发包人未能按合同约定支付合同价款〕约定暂停施工满</w:t>
      </w:r>
      <w:r>
        <w:rPr>
          <w:rFonts w:hint="eastAsia" w:ascii="宋体" w:hAnsi="宋体" w:cs="宋体"/>
          <w:kern w:val="0"/>
          <w:sz w:val="24"/>
          <w:highlight w:val="none"/>
          <w:u w:val="single"/>
        </w:rPr>
        <w:t xml:space="preserve"> 30 </w:t>
      </w:r>
      <w:r>
        <w:rPr>
          <w:rFonts w:hint="eastAsia" w:ascii="宋体" w:hAnsi="宋体" w:cs="宋体"/>
          <w:kern w:val="0"/>
          <w:sz w:val="24"/>
          <w:highlight w:val="none"/>
        </w:rPr>
        <w:t>天后发包人仍不纠正其违约行为并致使合同目的不能实现的，承包人有权解除合同。</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16.2 承包人违约</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16.2.1 承包人违约的情形</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承包人违约的其他情形：</w:t>
      </w:r>
      <w:r>
        <w:rPr>
          <w:rFonts w:hint="eastAsia" w:ascii="宋体" w:hAnsi="宋体" w:cs="宋体"/>
          <w:kern w:val="0"/>
          <w:sz w:val="24"/>
          <w:highlight w:val="none"/>
          <w:u w:val="single"/>
        </w:rPr>
        <w:t xml:space="preserve"> 承包人违反下列约定，发包人有权对承包人进行处罚，罚金在下期支付工程进度款前支付给发包人，否则发包人有权不再支付进度款。</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⑴ 若承包人未按照约定清理现场、保持工地及周围环境整洁、未按国家规定的安全文明施工标准施工，发现一处罚款500元，发现两处罚款1000元，同时必须整改达标，累计达三次以上发包人不支付安全文明施工专项费用，已支付的在下期工程进度款中扣减。</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⑵ 承包人所采购的材料、半成品、成品必须经监理检查，并按规定在监理的见证下送样试验，合格后方可使用，若未经检查或试验便擅自用于工程的，第一次罚款1000元，第二次罚款2000元，三次及以上每次罚款5000元，并无条件更换。</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u w:val="single"/>
        </w:rPr>
        <w:t>⑶ 上一工序或上阶段工程必须经验收合格后方可进入下道工序或下阶段工程施工。未经验收便进入下道工序或下阶段工程施工，未造成质量安全问题的，每次罚款5000元，造成质量安全问题每次罚款10000元，并无条件返工。</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16.2.2承包人违约的责任</w:t>
      </w:r>
    </w:p>
    <w:p>
      <w:pPr>
        <w:topLinePunct/>
        <w:spacing w:line="400" w:lineRule="exact"/>
        <w:ind w:firstLine="472" w:firstLineChars="200"/>
        <w:rPr>
          <w:rFonts w:ascii="宋体" w:hAnsi="宋体" w:cs="宋体"/>
          <w:spacing w:val="-2"/>
          <w:kern w:val="0"/>
          <w:sz w:val="24"/>
          <w:highlight w:val="none"/>
          <w:u w:val="single"/>
        </w:rPr>
      </w:pPr>
      <w:r>
        <w:rPr>
          <w:rFonts w:hint="eastAsia" w:ascii="宋体" w:hAnsi="宋体" w:cs="宋体"/>
          <w:spacing w:val="-2"/>
          <w:kern w:val="0"/>
          <w:sz w:val="24"/>
          <w:highlight w:val="none"/>
        </w:rPr>
        <w:t>承包人违约责任的承担方式和计算方法：</w:t>
      </w:r>
      <w:r>
        <w:rPr>
          <w:rFonts w:hint="eastAsia" w:ascii="宋体" w:hAnsi="宋体" w:cs="宋体"/>
          <w:spacing w:val="-2"/>
          <w:kern w:val="0"/>
          <w:sz w:val="24"/>
          <w:highlight w:val="none"/>
          <w:u w:val="single"/>
        </w:rPr>
        <w:t xml:space="preserve"> 罚金等计算方式按上款之规定，处罚不影响承包人同时承担损失赔偿及继续履行义务，凡承包人违约行为影响工程质量的，须相应延长3个月缺陷责任期，造成质量和安全事故的，还应承担相应行政处罚或刑事责任</w:t>
      </w:r>
      <w:r>
        <w:rPr>
          <w:rFonts w:hint="eastAsia" w:ascii="宋体" w:hAnsi="宋体" w:cs="宋体"/>
          <w:spacing w:val="-2"/>
          <w:kern w:val="0"/>
          <w:sz w:val="24"/>
          <w:highlight w:val="none"/>
        </w:rPr>
        <w:t>。</w:t>
      </w:r>
    </w:p>
    <w:p>
      <w:pPr>
        <w:topLinePunct/>
        <w:spacing w:line="400" w:lineRule="exact"/>
        <w:ind w:firstLine="480" w:firstLineChars="200"/>
        <w:rPr>
          <w:rFonts w:ascii="宋体" w:hAnsi="宋体" w:cs="宋体"/>
          <w:sz w:val="24"/>
          <w:highlight w:val="none"/>
        </w:rPr>
      </w:pPr>
      <w:r>
        <w:rPr>
          <w:rFonts w:hint="eastAsia" w:ascii="宋体" w:hAnsi="宋体" w:cs="宋体"/>
          <w:kern w:val="0"/>
          <w:sz w:val="24"/>
          <w:highlight w:val="none"/>
        </w:rPr>
        <w:t xml:space="preserve">16.2.3 </w:t>
      </w:r>
      <w:r>
        <w:rPr>
          <w:rFonts w:hint="eastAsia" w:ascii="宋体" w:hAnsi="宋体" w:cs="宋体"/>
          <w:sz w:val="24"/>
          <w:highlight w:val="none"/>
        </w:rPr>
        <w:t>因承包人违约解除合同</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关于承包人违约解除合同的特别约定：</w:t>
      </w:r>
      <w:r>
        <w:rPr>
          <w:rFonts w:hint="eastAsia" w:ascii="宋体" w:hAnsi="宋体" w:cs="宋体"/>
          <w:kern w:val="0"/>
          <w:sz w:val="24"/>
          <w:highlight w:val="none"/>
          <w:u w:val="single"/>
        </w:rPr>
        <w:t xml:space="preserve"> ①承包人施工工程质量低劣，或发生严格安全事故的，或严重无故托延工期，发包人均有权无条件终止合同。 ②承包人出现任何其他违约行为，经发包人或监理人催告仍不改正，发包人认为须解除合同的任何情形，发包人均有权单方无条件解除合同。 ③承包人从收到发包人要求撤离现场书面通知之日起7日内，必须无条件撤离现场，并自行承担撤离现场所发生的一切费用，但所有未使用的材料、成品、半成品、设备、机械，未经发包人允许不得擅动。 ④因承包人违约解除合同或承包人单方面停止履行合同，所造成的一切损失及另行发包所增加的费用均由承包人负责赔偿。承包人完成的工程量以发包人核定为准，待工程竣工验收后以发包人签证为准进行结算，结算价款以经审计后发包人认可的数额分期拨付。</w:t>
      </w:r>
    </w:p>
    <w:p>
      <w:pPr>
        <w:topLinePunct/>
        <w:spacing w:line="400" w:lineRule="exact"/>
        <w:ind w:firstLine="480" w:firstLineChars="200"/>
        <w:rPr>
          <w:rFonts w:ascii="宋体" w:hAnsi="宋体" w:cs="宋体"/>
          <w:kern w:val="0"/>
          <w:sz w:val="24"/>
          <w:highlight w:val="none"/>
        </w:rPr>
      </w:pPr>
      <w:r>
        <w:rPr>
          <w:rFonts w:hint="eastAsia" w:ascii="宋体" w:hAnsi="宋体" w:cs="宋体"/>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kern w:val="0"/>
          <w:sz w:val="24"/>
          <w:highlight w:val="none"/>
          <w:u w:val="single"/>
        </w:rPr>
        <w:t xml:space="preserve"> 无偿使用。</w:t>
      </w:r>
    </w:p>
    <w:p>
      <w:pPr>
        <w:pStyle w:val="6"/>
        <w:keepNext w:val="0"/>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 xml:space="preserve">17. 不可抗力 </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17.1 不可抗力的确认</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sz w:val="24"/>
          <w:highlight w:val="none"/>
        </w:rPr>
        <w:t xml:space="preserve">除通用合同条款约定的不可抗力事件之外，视为不可抗力的其他情形： </w:t>
      </w:r>
      <w:r>
        <w:rPr>
          <w:rFonts w:hint="eastAsia" w:ascii="宋体" w:hAnsi="宋体" w:cs="宋体"/>
          <w:kern w:val="0"/>
          <w:sz w:val="24"/>
          <w:highlight w:val="none"/>
          <w:u w:val="single"/>
        </w:rPr>
        <w:t xml:space="preserve"> 无。</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17.2 因不可抗力解除合同</w:t>
      </w:r>
    </w:p>
    <w:p>
      <w:pPr>
        <w:topLinePunct/>
        <w:spacing w:line="400" w:lineRule="exact"/>
        <w:ind w:firstLine="472" w:firstLineChars="200"/>
        <w:rPr>
          <w:rFonts w:ascii="宋体" w:hAnsi="宋体" w:cs="宋体"/>
          <w:spacing w:val="-2"/>
          <w:kern w:val="0"/>
          <w:sz w:val="24"/>
          <w:highlight w:val="none"/>
        </w:rPr>
      </w:pPr>
      <w:r>
        <w:rPr>
          <w:rFonts w:hint="eastAsia" w:ascii="宋体" w:hAnsi="宋体" w:cs="宋体"/>
          <w:spacing w:val="-2"/>
          <w:kern w:val="0"/>
          <w:sz w:val="24"/>
          <w:highlight w:val="none"/>
        </w:rPr>
        <w:t>合同解除后，发包人应在商定或确定发包人应支付款项后</w:t>
      </w:r>
      <w:r>
        <w:rPr>
          <w:rFonts w:hint="eastAsia" w:ascii="宋体" w:hAnsi="宋体" w:cs="宋体"/>
          <w:spacing w:val="-2"/>
          <w:kern w:val="0"/>
          <w:sz w:val="24"/>
          <w:highlight w:val="none"/>
          <w:u w:val="single"/>
        </w:rPr>
        <w:t xml:space="preserve"> 28</w:t>
      </w:r>
      <w:r>
        <w:rPr>
          <w:rFonts w:hint="eastAsia" w:ascii="宋体" w:hAnsi="宋体" w:cs="宋体"/>
          <w:spacing w:val="-2"/>
          <w:kern w:val="0"/>
          <w:sz w:val="24"/>
          <w:highlight w:val="none"/>
        </w:rPr>
        <w:t>天内完成款项的支付。</w:t>
      </w:r>
    </w:p>
    <w:p>
      <w:pPr>
        <w:pStyle w:val="6"/>
        <w:keepNext w:val="0"/>
        <w:spacing w:before="120" w:after="120" w:line="400" w:lineRule="exact"/>
        <w:ind w:firstLine="482" w:firstLineChars="200"/>
        <w:rPr>
          <w:rFonts w:ascii="宋体" w:hAnsi="宋体" w:eastAsia="宋体" w:cs="宋体"/>
          <w:bCs w:val="0"/>
          <w:sz w:val="24"/>
          <w:szCs w:val="24"/>
          <w:highlight w:val="none"/>
        </w:rPr>
      </w:pPr>
      <w:r>
        <w:rPr>
          <w:rFonts w:hint="eastAsia" w:ascii="宋体" w:hAnsi="宋体" w:eastAsia="宋体" w:cs="宋体"/>
          <w:bCs w:val="0"/>
          <w:sz w:val="24"/>
          <w:szCs w:val="24"/>
          <w:highlight w:val="none"/>
        </w:rPr>
        <w:t>18. 保险</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18.1 工程保险</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关于工程保险的特别约定：</w:t>
      </w:r>
      <w:r>
        <w:rPr>
          <w:rFonts w:hint="eastAsia" w:ascii="宋体" w:hAnsi="宋体" w:cs="宋体"/>
          <w:kern w:val="0"/>
          <w:sz w:val="24"/>
          <w:highlight w:val="none"/>
          <w:u w:val="single"/>
        </w:rPr>
        <w:t>本合同工程项目由承包人办理应由其办理的一切险并承担所有保险费用，由发包人查验保险收费票据。承包人若不投保，施工期间所发生的一切与本工程有关的人员、工程、财产等意外伤害、损失，由承包人承担全部责任和费用。</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18.2 其他保险</w:t>
      </w:r>
    </w:p>
    <w:p>
      <w:pPr>
        <w:topLinePunct/>
        <w:spacing w:line="400" w:lineRule="exact"/>
        <w:ind w:firstLine="480" w:firstLineChars="200"/>
        <w:rPr>
          <w:rFonts w:ascii="宋体" w:hAnsi="宋体" w:cs="宋体"/>
          <w:kern w:val="0"/>
          <w:sz w:val="24"/>
          <w:highlight w:val="none"/>
          <w:u w:val="single"/>
        </w:rPr>
      </w:pPr>
      <w:r>
        <w:rPr>
          <w:rFonts w:hint="eastAsia" w:ascii="宋体" w:hAnsi="宋体" w:cs="宋体"/>
          <w:sz w:val="24"/>
          <w:highlight w:val="none"/>
        </w:rPr>
        <w:t>关于其他保险的约定：</w:t>
      </w:r>
      <w:r>
        <w:rPr>
          <w:rFonts w:hint="eastAsia" w:ascii="宋体" w:hAnsi="宋体" w:cs="宋体"/>
          <w:kern w:val="0"/>
          <w:sz w:val="24"/>
          <w:highlight w:val="none"/>
          <w:u w:val="single"/>
        </w:rPr>
        <w:t>承包人必须为其施工现场的全部人员办理意外伤害保险并支付保险费，包括其员工及为履行合同聘请的第三方的人员。</w:t>
      </w:r>
    </w:p>
    <w:p>
      <w:pPr>
        <w:spacing w:line="40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承包人是否应为其施工设备等办理财产保险：</w:t>
      </w:r>
      <w:r>
        <w:rPr>
          <w:rFonts w:hint="eastAsia" w:ascii="宋体" w:hAnsi="宋体" w:cs="宋体"/>
          <w:kern w:val="0"/>
          <w:sz w:val="24"/>
          <w:highlight w:val="none"/>
          <w:u w:val="single"/>
        </w:rPr>
        <w:t>承包人为其现场工程施工设备、进入施工现场的建筑材料和工程设备及器具等办理投保保险。保险期为合同工程开工之日至工程接收证书颁发之日认整月计算。费用由承包人承担。</w:t>
      </w:r>
    </w:p>
    <w:p>
      <w:pPr>
        <w:pStyle w:val="7"/>
        <w:keepNext w:val="0"/>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18.3 通知义务</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关于变更保险合同时的通知义务的约定：</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pPr>
        <w:pStyle w:val="6"/>
        <w:keepNext w:val="0"/>
        <w:spacing w:before="120" w:after="120" w:line="400" w:lineRule="exact"/>
        <w:ind w:firstLine="482" w:firstLineChars="200"/>
        <w:rPr>
          <w:rFonts w:ascii="宋体" w:hAnsi="宋体" w:eastAsia="宋体" w:cs="宋体"/>
          <w:b w:val="0"/>
          <w:sz w:val="24"/>
          <w:szCs w:val="24"/>
          <w:highlight w:val="none"/>
        </w:rPr>
      </w:pPr>
      <w:r>
        <w:rPr>
          <w:rFonts w:hint="eastAsia" w:ascii="宋体" w:hAnsi="宋体" w:eastAsia="宋体" w:cs="宋体"/>
          <w:bCs w:val="0"/>
          <w:sz w:val="24"/>
          <w:szCs w:val="24"/>
          <w:highlight w:val="none"/>
        </w:rPr>
        <w:t>19. 争议解决</w:t>
      </w:r>
    </w:p>
    <w:p>
      <w:pPr>
        <w:spacing w:line="400" w:lineRule="exact"/>
        <w:ind w:firstLine="470" w:firstLineChars="196"/>
        <w:rPr>
          <w:rFonts w:ascii="宋体" w:hAnsi="宋体" w:cs="宋体"/>
          <w:bCs/>
          <w:sz w:val="24"/>
          <w:highlight w:val="none"/>
        </w:rPr>
      </w:pPr>
      <w:r>
        <w:rPr>
          <w:rFonts w:hint="eastAsia" w:ascii="宋体" w:hAnsi="宋体" w:cs="宋体"/>
          <w:bCs/>
          <w:sz w:val="24"/>
          <w:highlight w:val="none"/>
        </w:rPr>
        <w:t>19.1 争议评审</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合同当事人是否同意将工程争议提交争议评审小组决定：</w:t>
      </w:r>
      <w:r>
        <w:rPr>
          <w:rFonts w:hint="eastAsia" w:ascii="宋体" w:hAnsi="宋体" w:cs="宋体"/>
          <w:sz w:val="24"/>
          <w:highlight w:val="none"/>
          <w:u w:val="single"/>
        </w:rPr>
        <w:t>合同当事人同意采取争议评审方式解决争议</w:t>
      </w:r>
      <w:r>
        <w:rPr>
          <w:rFonts w:hint="eastAsia" w:ascii="宋体" w:hAnsi="宋体" w:cs="宋体"/>
          <w:sz w:val="24"/>
          <w:highlight w:val="none"/>
        </w:rPr>
        <w:t xml:space="preserve">。  </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19.1.1 争议评审小组的确定</w:t>
      </w:r>
    </w:p>
    <w:p>
      <w:pPr>
        <w:spacing w:line="400" w:lineRule="exact"/>
        <w:ind w:firstLine="480" w:firstLineChars="200"/>
        <w:jc w:val="left"/>
        <w:rPr>
          <w:rFonts w:ascii="宋体" w:hAnsi="宋体" w:cs="宋体"/>
          <w:sz w:val="24"/>
          <w:highlight w:val="none"/>
          <w:u w:val="single"/>
        </w:rPr>
      </w:pPr>
      <w:r>
        <w:rPr>
          <w:rFonts w:hint="eastAsia" w:ascii="宋体" w:hAnsi="宋体" w:cs="宋体"/>
          <w:sz w:val="24"/>
          <w:highlight w:val="none"/>
        </w:rPr>
        <w:t>争议评审小组成员的确定：</w:t>
      </w:r>
      <w:r>
        <w:rPr>
          <w:rFonts w:hint="eastAsia" w:ascii="宋体" w:hAnsi="宋体" w:cs="宋体"/>
          <w:sz w:val="24"/>
          <w:highlight w:val="none"/>
          <w:u w:val="single"/>
        </w:rPr>
        <w:t>合同当事人可以共同选择三名争议评审员，组成争议评审小组。</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选定争议评审员的期限：</w:t>
      </w:r>
      <w:r>
        <w:rPr>
          <w:rFonts w:hint="eastAsia" w:ascii="宋体" w:hAnsi="宋体" w:cs="宋体"/>
          <w:sz w:val="24"/>
          <w:highlight w:val="none"/>
          <w:u w:val="single"/>
        </w:rPr>
        <w:t xml:space="preserve">  争议发生后14天内选定争议评审员 </w:t>
      </w:r>
      <w:r>
        <w:rPr>
          <w:rFonts w:hint="eastAsia" w:ascii="宋体" w:hAnsi="宋体" w:cs="宋体"/>
          <w:sz w:val="24"/>
          <w:highlight w:val="none"/>
        </w:rPr>
        <w:t>。</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争议评审小组成员的报酬承担方式：</w:t>
      </w:r>
      <w:r>
        <w:rPr>
          <w:rFonts w:hint="eastAsia" w:ascii="宋体" w:hAnsi="宋体" w:cs="宋体"/>
          <w:sz w:val="24"/>
          <w:highlight w:val="none"/>
          <w:u w:val="single"/>
        </w:rPr>
        <w:t>评审员报酬由发包人和承包人各承担一半。</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其他事项的约定：</w:t>
      </w:r>
      <w:r>
        <w:rPr>
          <w:rFonts w:hint="eastAsia" w:ascii="宋体" w:hAnsi="宋体" w:cs="宋体"/>
          <w:sz w:val="24"/>
          <w:highlight w:val="none"/>
          <w:u w:val="single"/>
        </w:rPr>
        <w:t xml:space="preserve">      /   </w:t>
      </w:r>
      <w:r>
        <w:rPr>
          <w:rFonts w:hint="eastAsia" w:ascii="宋体" w:hAnsi="宋体" w:cs="宋体"/>
          <w:sz w:val="24"/>
          <w:highlight w:val="none"/>
        </w:rPr>
        <w:t>。</w:t>
      </w:r>
    </w:p>
    <w:p>
      <w:pPr>
        <w:autoSpaceDE w:val="0"/>
        <w:autoSpaceDN w:val="0"/>
        <w:adjustRightInd w:val="0"/>
        <w:spacing w:line="40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19.1.2 争议评审小组的决定</w:t>
      </w:r>
    </w:p>
    <w:p>
      <w:pPr>
        <w:spacing w:line="400" w:lineRule="exact"/>
        <w:ind w:firstLine="480" w:firstLineChars="200"/>
        <w:jc w:val="left"/>
        <w:rPr>
          <w:rFonts w:ascii="宋体" w:hAnsi="宋体" w:cs="宋体"/>
          <w:sz w:val="24"/>
          <w:highlight w:val="none"/>
        </w:rPr>
      </w:pPr>
      <w:r>
        <w:rPr>
          <w:rFonts w:hint="eastAsia" w:ascii="宋体" w:hAnsi="宋体" w:cs="宋体"/>
          <w:sz w:val="24"/>
          <w:highlight w:val="none"/>
        </w:rPr>
        <w:t>合同当事人关于本项的约定：</w:t>
      </w:r>
      <w:r>
        <w:rPr>
          <w:rFonts w:hint="eastAsia" w:ascii="宋体" w:hAnsi="宋体" w:cs="宋体"/>
          <w:sz w:val="24"/>
          <w:highlight w:val="none"/>
          <w:u w:val="single"/>
        </w:rPr>
        <w:t xml:space="preserve">  执行通用条款 </w:t>
      </w:r>
      <w:r>
        <w:rPr>
          <w:rFonts w:hint="eastAsia" w:ascii="宋体" w:hAnsi="宋体" w:cs="宋体"/>
          <w:sz w:val="24"/>
          <w:highlight w:val="none"/>
        </w:rPr>
        <w:t>。</w:t>
      </w:r>
    </w:p>
    <w:p>
      <w:pPr>
        <w:pStyle w:val="7"/>
        <w:numPr>
          <w:ilvl w:val="0"/>
          <w:numId w:val="0"/>
        </w:numPr>
        <w:spacing w:before="120" w:after="120" w:line="400" w:lineRule="exact"/>
        <w:ind w:firstLine="472" w:firstLineChars="196"/>
        <w:rPr>
          <w:rFonts w:ascii="宋体" w:hAnsi="宋体" w:cs="宋体"/>
          <w:bCs w:val="0"/>
          <w:sz w:val="24"/>
          <w:szCs w:val="24"/>
          <w:highlight w:val="none"/>
        </w:rPr>
      </w:pPr>
      <w:r>
        <w:rPr>
          <w:rFonts w:hint="eastAsia" w:ascii="宋体" w:hAnsi="宋体" w:cs="宋体"/>
          <w:bCs w:val="0"/>
          <w:sz w:val="24"/>
          <w:szCs w:val="24"/>
          <w:highlight w:val="none"/>
        </w:rPr>
        <w:t>19.2仲裁或诉讼</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因合同及合同有关事项发生的争议，按下列第</w:t>
      </w:r>
      <w:r>
        <w:rPr>
          <w:rFonts w:hint="eastAsia" w:ascii="宋体" w:hAnsi="宋体" w:cs="宋体"/>
          <w:sz w:val="24"/>
          <w:highlight w:val="none"/>
          <w:u w:val="single"/>
        </w:rPr>
        <w:t xml:space="preserve"> (2) </w:t>
      </w:r>
      <w:r>
        <w:rPr>
          <w:rFonts w:hint="eastAsia" w:ascii="宋体" w:hAnsi="宋体" w:cs="宋体"/>
          <w:sz w:val="24"/>
          <w:highlight w:val="none"/>
        </w:rPr>
        <w:t>种方式解决：</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（1）向</w:t>
      </w:r>
      <w:r>
        <w:rPr>
          <w:rFonts w:hint="eastAsia" w:ascii="宋体" w:hAnsi="宋体" w:cs="宋体"/>
          <w:sz w:val="24"/>
          <w:highlight w:val="none"/>
          <w:u w:val="single"/>
        </w:rPr>
        <w:t xml:space="preserve"> 济宁 </w:t>
      </w:r>
      <w:r>
        <w:rPr>
          <w:rFonts w:hint="eastAsia" w:ascii="宋体" w:hAnsi="宋体" w:cs="宋体"/>
          <w:sz w:val="24"/>
          <w:highlight w:val="none"/>
        </w:rPr>
        <w:t>仲裁委员会申请仲裁；</w:t>
      </w:r>
    </w:p>
    <w:p>
      <w:pPr>
        <w:topLinePunct/>
        <w:spacing w:line="400" w:lineRule="exact"/>
        <w:ind w:firstLine="480" w:firstLineChars="200"/>
        <w:rPr>
          <w:rFonts w:ascii="宋体" w:hAnsi="宋体" w:cs="宋体"/>
          <w:sz w:val="24"/>
          <w:highlight w:val="none"/>
        </w:rPr>
      </w:pPr>
      <w:r>
        <w:rPr>
          <w:rFonts w:hint="eastAsia" w:ascii="宋体" w:hAnsi="宋体" w:cs="宋体"/>
          <w:sz w:val="24"/>
          <w:highlight w:val="none"/>
        </w:rPr>
        <w:t>（2）向</w:t>
      </w:r>
      <w:r>
        <w:rPr>
          <w:rFonts w:hint="eastAsia" w:ascii="宋体" w:hAnsi="宋体" w:cs="宋体"/>
          <w:sz w:val="24"/>
          <w:highlight w:val="none"/>
          <w:u w:val="single"/>
        </w:rPr>
        <w:t xml:space="preserve"> 工程所在地 </w:t>
      </w:r>
      <w:r>
        <w:rPr>
          <w:rFonts w:hint="eastAsia" w:ascii="宋体" w:hAnsi="宋体" w:cs="宋体"/>
          <w:sz w:val="24"/>
          <w:highlight w:val="none"/>
        </w:rPr>
        <w:t>人民法院起诉。</w:t>
      </w:r>
    </w:p>
    <w:p>
      <w:pPr>
        <w:pStyle w:val="6"/>
        <w:spacing w:before="120" w:after="120" w:line="400" w:lineRule="exact"/>
        <w:ind w:firstLine="482" w:firstLineChars="200"/>
        <w:rPr>
          <w:rFonts w:ascii="宋体" w:hAnsi="宋体" w:eastAsia="宋体" w:cs="宋体"/>
          <w:sz w:val="24"/>
          <w:highlight w:val="none"/>
        </w:rPr>
      </w:pPr>
      <w:r>
        <w:rPr>
          <w:rFonts w:hint="eastAsia" w:ascii="宋体" w:hAnsi="宋体" w:eastAsia="宋体" w:cs="宋体"/>
          <w:bCs w:val="0"/>
          <w:sz w:val="24"/>
          <w:szCs w:val="24"/>
          <w:highlight w:val="none"/>
        </w:rPr>
        <w:t>20、补充条款</w:t>
      </w:r>
    </w:p>
    <w:p>
      <w:pPr>
        <w:topLinePunct/>
        <w:spacing w:line="400" w:lineRule="exact"/>
        <w:ind w:firstLine="480" w:firstLineChars="200"/>
        <w:rPr>
          <w:rFonts w:ascii="宋体" w:hAnsi="宋体" w:cs="宋体"/>
          <w:sz w:val="24"/>
          <w:highlight w:val="none"/>
          <w:u w:val="single"/>
        </w:rPr>
      </w:pPr>
      <w:r>
        <w:rPr>
          <w:rFonts w:hint="eastAsia" w:ascii="宋体" w:hAnsi="宋体" w:cs="宋体"/>
          <w:sz w:val="24"/>
          <w:highlight w:val="none"/>
          <w:u w:val="single"/>
        </w:rPr>
        <w:t>(1)施工单位应该按照《济宁市建筑工地扬尘治理工作导则》要求，必须在施工现场配备自动洗车设施、视频监控设施、空气自动监测微站等环保设施，并结合施工现场实际，建立健全扬尘污染防治责任制，制定切实可行的扬尘污染防治专项方案，落实各项具体控尘措施。</w:t>
      </w:r>
    </w:p>
    <w:p>
      <w:pPr>
        <w:pStyle w:val="328"/>
        <w:spacing w:after="240" w:afterLines="100"/>
        <w:rPr>
          <w:rFonts w:hint="eastAsia"/>
          <w:color w:val="auto"/>
          <w:sz w:val="44"/>
          <w:szCs w:val="44"/>
          <w:highlight w:val="none"/>
        </w:rPr>
      </w:pPr>
    </w:p>
    <w:p>
      <w:pPr>
        <w:pStyle w:val="328"/>
        <w:spacing w:after="240" w:afterLines="100"/>
        <w:rPr>
          <w:rFonts w:hint="eastAsia"/>
          <w:color w:val="auto"/>
          <w:sz w:val="44"/>
          <w:szCs w:val="44"/>
          <w:highlight w:val="none"/>
        </w:rPr>
      </w:pPr>
    </w:p>
    <w:p>
      <w:pPr>
        <w:pStyle w:val="328"/>
        <w:spacing w:after="240" w:afterLines="100"/>
        <w:rPr>
          <w:rFonts w:hint="eastAsia"/>
          <w:color w:val="auto"/>
          <w:sz w:val="44"/>
          <w:szCs w:val="44"/>
          <w:highlight w:val="none"/>
        </w:rPr>
      </w:pPr>
    </w:p>
    <w:p>
      <w:pPr>
        <w:pStyle w:val="328"/>
        <w:spacing w:after="240" w:afterLines="100"/>
        <w:rPr>
          <w:rFonts w:hint="eastAsia"/>
          <w:color w:val="auto"/>
          <w:sz w:val="44"/>
          <w:szCs w:val="44"/>
          <w:highlight w:val="none"/>
        </w:rPr>
      </w:pPr>
    </w:p>
    <w:p>
      <w:pPr>
        <w:widowControl/>
        <w:jc w:val="left"/>
        <w:rPr>
          <w:rFonts w:asciiTheme="minorEastAsia" w:hAnsiTheme="minorEastAsia"/>
          <w:b/>
          <w:sz w:val="22"/>
          <w:highlight w:val="none"/>
        </w:rPr>
      </w:pPr>
      <w:r>
        <w:rPr>
          <w:rFonts w:asciiTheme="minorEastAsia" w:hAnsiTheme="minorEastAsia"/>
          <w:b/>
          <w:sz w:val="22"/>
          <w:highlight w:val="none"/>
        </w:rPr>
        <w:br w:type="page"/>
      </w:r>
    </w:p>
    <w:p>
      <w:pPr>
        <w:spacing w:line="460" w:lineRule="exact"/>
        <w:jc w:val="center"/>
        <w:rPr>
          <w:rFonts w:asciiTheme="minorEastAsia" w:hAnsiTheme="minorEastAsia"/>
          <w:b/>
          <w:sz w:val="22"/>
          <w:highlight w:val="none"/>
        </w:rPr>
        <w:sectPr>
          <w:footerReference r:id="rId6" w:type="default"/>
          <w:pgSz w:w="11911" w:h="16838"/>
          <w:pgMar w:top="907" w:right="1021" w:bottom="907" w:left="1021" w:header="0" w:footer="1378" w:gutter="0"/>
          <w:pgNumType w:fmt="decimal"/>
          <w:cols w:space="425" w:num="1"/>
          <w:docGrid w:linePitch="312" w:charSpace="0"/>
        </w:sectPr>
      </w:pPr>
    </w:p>
    <w:bookmarkEnd w:id="366"/>
    <w:p>
      <w:pPr>
        <w:pStyle w:val="45"/>
        <w:spacing w:before="0" w:after="0" w:line="460" w:lineRule="exact"/>
        <w:rPr>
          <w:sz w:val="44"/>
          <w:highlight w:val="none"/>
        </w:rPr>
      </w:pPr>
      <w:bookmarkStart w:id="462" w:name="_Toc467665735"/>
      <w:bookmarkStart w:id="463" w:name="_Toc40190853"/>
      <w:r>
        <w:rPr>
          <w:rFonts w:hint="eastAsia"/>
          <w:sz w:val="44"/>
          <w:highlight w:val="none"/>
        </w:rPr>
        <w:t>第五章</w:t>
      </w:r>
      <w:r>
        <w:rPr>
          <w:sz w:val="44"/>
          <w:highlight w:val="none"/>
        </w:rPr>
        <w:t>报价文件格式</w:t>
      </w:r>
      <w:bookmarkEnd w:id="462"/>
      <w:bookmarkEnd w:id="463"/>
    </w:p>
    <w:p>
      <w:pPr>
        <w:spacing w:line="460" w:lineRule="exact"/>
        <w:rPr>
          <w:szCs w:val="21"/>
          <w:highlight w:val="none"/>
        </w:rPr>
      </w:pPr>
    </w:p>
    <w:p>
      <w:pPr>
        <w:autoSpaceDE w:val="0"/>
        <w:autoSpaceDN w:val="0"/>
        <w:adjustRightInd w:val="0"/>
        <w:spacing w:line="460" w:lineRule="exact"/>
        <w:ind w:firstLine="6160" w:firstLineChars="1400"/>
        <w:jc w:val="left"/>
        <w:outlineLvl w:val="1"/>
        <w:rPr>
          <w:rFonts w:eastAsia="黑体"/>
          <w:kern w:val="0"/>
          <w:sz w:val="44"/>
          <w:szCs w:val="44"/>
          <w:highlight w:val="none"/>
        </w:rPr>
      </w:pPr>
      <w:r>
        <w:rPr>
          <w:rFonts w:hint="eastAsia" w:ascii="Times New Roman" w:hAnsi="Times New Roman" w:eastAsia="黑体" w:cs="黑体"/>
          <w:kern w:val="0"/>
          <w:sz w:val="44"/>
          <w:szCs w:val="44"/>
          <w:highlight w:val="none"/>
          <w:bdr w:val="single" w:color="000000" w:sz="4" w:space="0"/>
        </w:rPr>
        <w:t>正本</w:t>
      </w:r>
      <w:r>
        <w:rPr>
          <w:rFonts w:ascii="Times New Roman" w:hAnsi="Times New Roman" w:eastAsia="黑体" w:cs="Times New Roman"/>
          <w:kern w:val="0"/>
          <w:sz w:val="44"/>
          <w:szCs w:val="44"/>
          <w:highlight w:val="none"/>
          <w:bdr w:val="single" w:color="000000" w:sz="4" w:space="0"/>
        </w:rPr>
        <w:t>/</w:t>
      </w:r>
      <w:r>
        <w:rPr>
          <w:rFonts w:hint="eastAsia" w:ascii="Times New Roman" w:hAnsi="Times New Roman" w:eastAsia="黑体" w:cs="黑体"/>
          <w:kern w:val="0"/>
          <w:sz w:val="44"/>
          <w:szCs w:val="44"/>
          <w:highlight w:val="none"/>
          <w:bdr w:val="single" w:color="000000" w:sz="4" w:space="0"/>
        </w:rPr>
        <w:t>副本</w:t>
      </w:r>
    </w:p>
    <w:p>
      <w:pPr>
        <w:spacing w:line="460" w:lineRule="exact"/>
        <w:rPr>
          <w:szCs w:val="21"/>
          <w:highlight w:val="none"/>
        </w:rPr>
      </w:pPr>
    </w:p>
    <w:p>
      <w:pPr>
        <w:spacing w:line="460" w:lineRule="exact"/>
        <w:rPr>
          <w:szCs w:val="21"/>
          <w:highlight w:val="none"/>
        </w:rPr>
      </w:pPr>
    </w:p>
    <w:p>
      <w:pPr>
        <w:spacing w:line="460" w:lineRule="exact"/>
        <w:jc w:val="center"/>
        <w:outlineLvl w:val="1"/>
        <w:rPr>
          <w:rFonts w:eastAsia="黑体"/>
          <w:sz w:val="36"/>
          <w:szCs w:val="36"/>
          <w:highlight w:val="none"/>
        </w:rPr>
      </w:pPr>
      <w:r>
        <w:rPr>
          <w:rFonts w:hint="eastAsia" w:ascii="Times New Roman" w:hAnsi="Times New Roman" w:eastAsia="黑体" w:cs="黑体"/>
          <w:sz w:val="36"/>
          <w:szCs w:val="36"/>
          <w:highlight w:val="none"/>
        </w:rPr>
        <w:t>（项目名称）</w:t>
      </w:r>
    </w:p>
    <w:p>
      <w:pPr>
        <w:spacing w:line="460" w:lineRule="exact"/>
        <w:rPr>
          <w:b/>
          <w:szCs w:val="21"/>
          <w:highlight w:val="none"/>
        </w:rPr>
      </w:pPr>
    </w:p>
    <w:p>
      <w:pPr>
        <w:spacing w:line="460" w:lineRule="exact"/>
        <w:rPr>
          <w:b/>
          <w:szCs w:val="21"/>
          <w:highlight w:val="none"/>
        </w:rPr>
      </w:pPr>
    </w:p>
    <w:p>
      <w:pPr>
        <w:spacing w:line="460" w:lineRule="exact"/>
        <w:jc w:val="center"/>
        <w:outlineLvl w:val="1"/>
        <w:rPr>
          <w:rFonts w:hint="default" w:ascii="Times New Roman" w:hAnsi="Times New Roman" w:eastAsia="黑体" w:cs="黑体"/>
          <w:sz w:val="36"/>
          <w:szCs w:val="36"/>
          <w:highlight w:val="none"/>
          <w:lang w:val="en-US" w:eastAsia="zh-CN"/>
        </w:rPr>
      </w:pPr>
      <w:r>
        <w:rPr>
          <w:rFonts w:hint="eastAsia" w:ascii="Times New Roman" w:hAnsi="Times New Roman" w:eastAsia="黑体" w:cs="黑体"/>
          <w:sz w:val="36"/>
          <w:szCs w:val="36"/>
          <w:highlight w:val="none"/>
          <w:u w:val="single"/>
          <w:lang w:val="en-US" w:eastAsia="zh-CN"/>
        </w:rPr>
        <w:t xml:space="preserve">       </w:t>
      </w:r>
      <w:r>
        <w:rPr>
          <w:rFonts w:hint="eastAsia" w:ascii="Times New Roman" w:hAnsi="Times New Roman" w:eastAsia="黑体" w:cs="黑体"/>
          <w:sz w:val="36"/>
          <w:szCs w:val="36"/>
          <w:highlight w:val="none"/>
          <w:lang w:val="en-US" w:eastAsia="zh-CN"/>
        </w:rPr>
        <w:t>标段</w:t>
      </w:r>
    </w:p>
    <w:p>
      <w:pPr>
        <w:spacing w:line="480" w:lineRule="auto"/>
        <w:rPr>
          <w:b/>
          <w:szCs w:val="21"/>
          <w:highlight w:val="none"/>
        </w:rPr>
      </w:pPr>
    </w:p>
    <w:p>
      <w:pPr>
        <w:spacing w:line="480" w:lineRule="auto"/>
        <w:jc w:val="center"/>
        <w:outlineLvl w:val="1"/>
        <w:rPr>
          <w:rFonts w:eastAsia="黑体"/>
          <w:sz w:val="72"/>
          <w:szCs w:val="72"/>
          <w:highlight w:val="none"/>
        </w:rPr>
      </w:pPr>
      <w:r>
        <w:rPr>
          <w:rFonts w:hint="eastAsia" w:ascii="Times New Roman" w:hAnsi="Times New Roman" w:eastAsia="黑体" w:cs="黑体"/>
          <w:sz w:val="72"/>
          <w:szCs w:val="72"/>
          <w:highlight w:val="none"/>
        </w:rPr>
        <w:t>竞争性谈判报价文件</w:t>
      </w:r>
    </w:p>
    <w:p>
      <w:pPr>
        <w:spacing w:line="480" w:lineRule="auto"/>
        <w:rPr>
          <w:szCs w:val="21"/>
          <w:highlight w:val="none"/>
        </w:rPr>
      </w:pPr>
    </w:p>
    <w:p>
      <w:pPr>
        <w:spacing w:line="460" w:lineRule="exact"/>
        <w:rPr>
          <w:szCs w:val="21"/>
          <w:highlight w:val="none"/>
        </w:rPr>
      </w:pPr>
    </w:p>
    <w:p>
      <w:pPr>
        <w:spacing w:line="460" w:lineRule="exact"/>
        <w:rPr>
          <w:szCs w:val="21"/>
          <w:highlight w:val="none"/>
        </w:rPr>
      </w:pPr>
    </w:p>
    <w:p>
      <w:pPr>
        <w:pStyle w:val="21"/>
        <w:spacing w:after="0" w:line="460" w:lineRule="exact"/>
        <w:rPr>
          <w:highlight w:val="none"/>
        </w:rPr>
      </w:pPr>
    </w:p>
    <w:p>
      <w:pPr>
        <w:pStyle w:val="21"/>
        <w:spacing w:after="0" w:line="460" w:lineRule="exact"/>
        <w:rPr>
          <w:highlight w:val="none"/>
        </w:rPr>
      </w:pPr>
    </w:p>
    <w:p>
      <w:pPr>
        <w:pStyle w:val="21"/>
        <w:spacing w:after="0" w:line="460" w:lineRule="exact"/>
        <w:rPr>
          <w:highlight w:val="none"/>
        </w:rPr>
      </w:pPr>
    </w:p>
    <w:p>
      <w:pPr>
        <w:pStyle w:val="21"/>
        <w:spacing w:after="0" w:line="460" w:lineRule="exact"/>
        <w:rPr>
          <w:highlight w:val="none"/>
        </w:rPr>
      </w:pPr>
    </w:p>
    <w:p>
      <w:pPr>
        <w:pStyle w:val="21"/>
        <w:spacing w:after="0" w:line="460" w:lineRule="exact"/>
        <w:rPr>
          <w:highlight w:val="none"/>
        </w:rPr>
      </w:pPr>
    </w:p>
    <w:p>
      <w:pPr>
        <w:pStyle w:val="21"/>
        <w:spacing w:after="0" w:line="460" w:lineRule="exact"/>
        <w:rPr>
          <w:highlight w:val="none"/>
        </w:rPr>
      </w:pPr>
    </w:p>
    <w:p>
      <w:pPr>
        <w:spacing w:line="360" w:lineRule="auto"/>
        <w:jc w:val="center"/>
        <w:outlineLvl w:val="1"/>
        <w:rPr>
          <w:rFonts w:ascii="宋体" w:hAnsi="Times New Roman" w:eastAsia="宋体" w:cs="宋体"/>
          <w:sz w:val="28"/>
          <w:szCs w:val="28"/>
          <w:highlight w:val="none"/>
          <w:u w:val="single"/>
        </w:rPr>
      </w:pPr>
      <w:r>
        <w:rPr>
          <w:rFonts w:hint="eastAsia" w:ascii="宋体" w:hAnsi="宋体" w:eastAsia="宋体" w:cs="宋体"/>
          <w:sz w:val="28"/>
          <w:szCs w:val="28"/>
          <w:highlight w:val="none"/>
        </w:rPr>
        <w:t>供  应  商：             （盖单位公章）</w:t>
      </w:r>
    </w:p>
    <w:p>
      <w:pPr>
        <w:spacing w:line="360" w:lineRule="auto"/>
        <w:jc w:val="center"/>
        <w:outlineLvl w:val="1"/>
        <w:rPr>
          <w:rFonts w:ascii="宋体" w:hAnsi="Times New Roman" w:eastAsia="宋体" w:cs="宋体"/>
          <w:sz w:val="28"/>
          <w:szCs w:val="28"/>
          <w:highlight w:val="none"/>
        </w:rPr>
      </w:pPr>
      <w:r>
        <w:rPr>
          <w:rFonts w:hint="eastAsia" w:ascii="宋体" w:hAnsi="宋体" w:eastAsia="宋体" w:cs="宋体"/>
          <w:sz w:val="28"/>
          <w:szCs w:val="28"/>
          <w:highlight w:val="none"/>
        </w:rPr>
        <w:t>法定代表人或其委托代理人：       （签字或盖章）</w:t>
      </w:r>
    </w:p>
    <w:p>
      <w:pPr>
        <w:spacing w:line="360" w:lineRule="auto"/>
        <w:jc w:val="center"/>
        <w:outlineLvl w:val="1"/>
        <w:rPr>
          <w:rFonts w:ascii="宋体" w:hAnsi="Times New Roman" w:eastAsia="宋体" w:cs="宋体"/>
          <w:sz w:val="28"/>
          <w:szCs w:val="28"/>
          <w:highlight w:val="none"/>
        </w:rPr>
      </w:pPr>
      <w:r>
        <w:rPr>
          <w:rFonts w:hint="eastAsia" w:ascii="宋体" w:hAnsi="宋体" w:eastAsia="宋体" w:cs="宋体"/>
          <w:sz w:val="28"/>
          <w:szCs w:val="28"/>
          <w:highlight w:val="none"/>
        </w:rPr>
        <w:t>年   月   日</w:t>
      </w:r>
    </w:p>
    <w:p>
      <w:pPr>
        <w:pStyle w:val="21"/>
        <w:widowControl/>
        <w:spacing w:after="0" w:line="460" w:lineRule="exact"/>
        <w:jc w:val="center"/>
        <w:outlineLvl w:val="1"/>
        <w:rPr>
          <w:rFonts w:ascii="Times New Roman" w:hAnsi="Times New Roman" w:cs="宋体"/>
          <w:b/>
          <w:sz w:val="32"/>
          <w:szCs w:val="32"/>
          <w:highlight w:val="none"/>
        </w:rPr>
      </w:pPr>
      <w:r>
        <w:rPr>
          <w:rFonts w:ascii="Times New Roman" w:hAnsi="Times New Roman"/>
          <w:sz w:val="24"/>
          <w:highlight w:val="none"/>
        </w:rPr>
        <w:br w:type="page"/>
      </w:r>
      <w:r>
        <w:rPr>
          <w:rFonts w:hint="eastAsia" w:ascii="Times New Roman" w:hAnsi="Times New Roman" w:cs="宋体"/>
          <w:b/>
          <w:sz w:val="32"/>
          <w:szCs w:val="32"/>
          <w:highlight w:val="none"/>
        </w:rPr>
        <w:t>目录</w:t>
      </w:r>
    </w:p>
    <w:p>
      <w:pPr>
        <w:pStyle w:val="21"/>
        <w:widowControl/>
        <w:spacing w:after="0" w:line="460" w:lineRule="exact"/>
        <w:jc w:val="center"/>
        <w:rPr>
          <w:b/>
          <w:sz w:val="24"/>
          <w:highlight w:val="none"/>
        </w:rPr>
      </w:pPr>
    </w:p>
    <w:p>
      <w:pPr>
        <w:autoSpaceDE w:val="0"/>
        <w:autoSpaceDN w:val="0"/>
        <w:adjustRightInd w:val="0"/>
        <w:spacing w:line="360" w:lineRule="auto"/>
        <w:rPr>
          <w:rFonts w:ascii="宋体" w:hAnsi="宋体"/>
          <w:sz w:val="24"/>
          <w:highlight w:val="none"/>
        </w:rPr>
      </w:pPr>
      <w:r>
        <w:rPr>
          <w:rFonts w:hint="eastAsia" w:ascii="宋体" w:hAnsi="宋体"/>
          <w:sz w:val="24"/>
          <w:highlight w:val="none"/>
        </w:rPr>
        <w:t>一、报价部分</w:t>
      </w:r>
    </w:p>
    <w:p>
      <w:pPr>
        <w:autoSpaceDE w:val="0"/>
        <w:autoSpaceDN w:val="0"/>
        <w:adjustRightInd w:val="0"/>
        <w:spacing w:line="360" w:lineRule="auto"/>
        <w:rPr>
          <w:rFonts w:hAnsi="宋体"/>
          <w:sz w:val="24"/>
          <w:highlight w:val="none"/>
        </w:rPr>
      </w:pPr>
      <w:r>
        <w:rPr>
          <w:rFonts w:hint="eastAsia" w:hAnsi="宋体"/>
          <w:sz w:val="24"/>
          <w:highlight w:val="none"/>
        </w:rPr>
        <w:t>1.1 法定代表人或授权代表签署的报价函</w:t>
      </w:r>
    </w:p>
    <w:p>
      <w:pPr>
        <w:autoSpaceDE w:val="0"/>
        <w:autoSpaceDN w:val="0"/>
        <w:adjustRightInd w:val="0"/>
        <w:spacing w:line="360" w:lineRule="auto"/>
        <w:rPr>
          <w:rFonts w:hint="eastAsia"/>
          <w:sz w:val="24"/>
          <w:highlight w:val="none"/>
        </w:rPr>
      </w:pPr>
      <w:r>
        <w:rPr>
          <w:rFonts w:hint="eastAsia"/>
          <w:sz w:val="24"/>
          <w:highlight w:val="none"/>
        </w:rPr>
        <w:t>1.2 法定代表人身份证明及授权委托书</w:t>
      </w:r>
    </w:p>
    <w:p>
      <w:pPr>
        <w:autoSpaceDE w:val="0"/>
        <w:autoSpaceDN w:val="0"/>
        <w:adjustRightInd w:val="0"/>
        <w:spacing w:line="360" w:lineRule="auto"/>
        <w:rPr>
          <w:rFonts w:hint="eastAsia"/>
          <w:sz w:val="24"/>
          <w:highlight w:val="none"/>
        </w:rPr>
      </w:pPr>
      <w:r>
        <w:rPr>
          <w:rFonts w:hint="eastAsia"/>
          <w:sz w:val="24"/>
          <w:highlight w:val="none"/>
        </w:rPr>
        <w:t>1.3 报价一览表</w:t>
      </w:r>
    </w:p>
    <w:p>
      <w:pPr>
        <w:autoSpaceDE w:val="0"/>
        <w:autoSpaceDN w:val="0"/>
        <w:adjustRightInd w:val="0"/>
        <w:spacing w:line="360" w:lineRule="auto"/>
        <w:rPr>
          <w:rFonts w:hint="eastAsia"/>
          <w:sz w:val="24"/>
          <w:highlight w:val="none"/>
        </w:rPr>
      </w:pPr>
      <w:r>
        <w:rPr>
          <w:rFonts w:hint="eastAsia"/>
          <w:sz w:val="24"/>
          <w:highlight w:val="none"/>
        </w:rPr>
        <w:t>1.4 已标价的工程量清单</w:t>
      </w:r>
    </w:p>
    <w:p>
      <w:pPr>
        <w:autoSpaceDE w:val="0"/>
        <w:autoSpaceDN w:val="0"/>
        <w:adjustRightInd w:val="0"/>
        <w:spacing w:line="360" w:lineRule="auto"/>
        <w:rPr>
          <w:rFonts w:hint="eastAsia"/>
          <w:sz w:val="24"/>
          <w:highlight w:val="none"/>
        </w:rPr>
      </w:pPr>
      <w:r>
        <w:rPr>
          <w:rFonts w:hint="eastAsia"/>
          <w:sz w:val="24"/>
          <w:highlight w:val="none"/>
        </w:rPr>
        <w:t>1.5 供应商认为需要提交的其他文件</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二、投标人简介及资格证明文件</w:t>
      </w:r>
    </w:p>
    <w:p>
      <w:pPr>
        <w:autoSpaceDE w:val="0"/>
        <w:autoSpaceDN w:val="0"/>
        <w:adjustRightInd w:val="0"/>
        <w:spacing w:line="360" w:lineRule="auto"/>
        <w:rPr>
          <w:rFonts w:ascii="宋体" w:hAnsi="宋体"/>
          <w:sz w:val="24"/>
          <w:highlight w:val="none"/>
        </w:rPr>
      </w:pPr>
      <w:r>
        <w:rPr>
          <w:rFonts w:ascii="宋体" w:hAnsi="宋体"/>
          <w:sz w:val="24"/>
          <w:highlight w:val="none"/>
        </w:rPr>
        <w:t>2.1</w:t>
      </w:r>
      <w:r>
        <w:rPr>
          <w:rFonts w:hint="eastAsia" w:ascii="宋体" w:hAnsi="宋体"/>
          <w:sz w:val="24"/>
          <w:highlight w:val="none"/>
        </w:rPr>
        <w:t>投标人企业情况表</w:t>
      </w:r>
    </w:p>
    <w:p>
      <w:pPr>
        <w:autoSpaceDE w:val="0"/>
        <w:autoSpaceDN w:val="0"/>
        <w:adjustRightInd w:val="0"/>
        <w:spacing w:line="360" w:lineRule="auto"/>
        <w:rPr>
          <w:rFonts w:ascii="宋体" w:hAnsi="宋体"/>
          <w:sz w:val="24"/>
          <w:highlight w:val="none"/>
        </w:rPr>
      </w:pPr>
      <w:r>
        <w:rPr>
          <w:rFonts w:ascii="宋体" w:hAnsi="宋体"/>
          <w:sz w:val="24"/>
          <w:highlight w:val="none"/>
        </w:rPr>
        <w:t>2.2</w:t>
      </w:r>
      <w:r>
        <w:rPr>
          <w:rFonts w:hint="eastAsia" w:ascii="宋体" w:hAnsi="宋体"/>
          <w:sz w:val="24"/>
          <w:highlight w:val="none"/>
        </w:rPr>
        <w:t>投标人的资格声明</w:t>
      </w:r>
    </w:p>
    <w:p>
      <w:pPr>
        <w:autoSpaceDE w:val="0"/>
        <w:autoSpaceDN w:val="0"/>
        <w:adjustRightInd w:val="0"/>
        <w:spacing w:line="360" w:lineRule="auto"/>
        <w:rPr>
          <w:rFonts w:ascii="宋体" w:hAnsi="宋体"/>
          <w:b/>
          <w:bCs/>
          <w:sz w:val="24"/>
          <w:highlight w:val="none"/>
        </w:rPr>
      </w:pPr>
      <w:r>
        <w:rPr>
          <w:rFonts w:hint="eastAsia" w:ascii="宋体" w:hAnsi="宋体"/>
          <w:b/>
          <w:bCs/>
          <w:sz w:val="24"/>
          <w:highlight w:val="none"/>
        </w:rPr>
        <w:t>2.3投标人资格证件（请按前附表“资格审查证件提交”的内容编制）</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2.4投标人认为需要提交的其他文件</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三、技术部分</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3.1施工组织方案</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3.2目管理班子人员配备</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四、合理化建议及优惠条件</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五、其他材料</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5.1 监狱企业证明文件（如有）</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5.2 残疾人福利性单位声明函（如有）</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5.3 节能产品（非强制类）、环境标志产品价格折减明细表</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5.4 节能产品（非强制类）、环境标志产品品目清单及认证证书</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5.5 投标人认为需要提交的其他文件</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六、投标人认为需要说明的其他问题</w:t>
      </w:r>
    </w:p>
    <w:p>
      <w:pPr>
        <w:spacing w:line="360" w:lineRule="auto"/>
        <w:jc w:val="left"/>
        <w:rPr>
          <w:b/>
          <w:sz w:val="24"/>
          <w:szCs w:val="32"/>
          <w:highlight w:val="none"/>
        </w:rPr>
      </w:pPr>
      <w:r>
        <w:rPr>
          <w:rFonts w:hint="eastAsia" w:ascii="Times New Roman" w:hAnsi="Times New Roman" w:eastAsia="宋体" w:cs="宋体"/>
          <w:b/>
          <w:sz w:val="24"/>
          <w:szCs w:val="32"/>
          <w:highlight w:val="none"/>
        </w:rPr>
        <w:t>注：请供应商按照报价文件目录格式注明页码。</w:t>
      </w:r>
    </w:p>
    <w:p>
      <w:pPr>
        <w:tabs>
          <w:tab w:val="left" w:pos="0"/>
        </w:tabs>
        <w:spacing w:line="460" w:lineRule="exact"/>
        <w:jc w:val="center"/>
        <w:rPr>
          <w:rFonts w:ascii="Times New Roman" w:hAnsi="Times New Roman" w:eastAsia="宋体" w:cs="Times New Roman"/>
          <w:b/>
          <w:highlight w:val="none"/>
        </w:rPr>
      </w:pPr>
      <w:r>
        <w:rPr>
          <w:rFonts w:ascii="Times New Roman" w:hAnsi="Times New Roman" w:eastAsia="宋体" w:cs="Times New Roman"/>
          <w:b/>
          <w:highlight w:val="none"/>
        </w:rPr>
        <w:br w:type="page"/>
      </w:r>
    </w:p>
    <w:p>
      <w:pPr>
        <w:pStyle w:val="3"/>
        <w:spacing w:line="460" w:lineRule="exact"/>
        <w:rPr>
          <w:rFonts w:hint="default"/>
          <w:sz w:val="36"/>
          <w:szCs w:val="32"/>
          <w:highlight w:val="none"/>
        </w:rPr>
      </w:pPr>
      <w:bookmarkStart w:id="464" w:name="_Toc532893105"/>
      <w:bookmarkStart w:id="465" w:name="_Toc40190854"/>
      <w:bookmarkStart w:id="466" w:name="_Toc17779"/>
      <w:r>
        <w:rPr>
          <w:sz w:val="36"/>
          <w:szCs w:val="32"/>
          <w:highlight w:val="none"/>
        </w:rPr>
        <w:t>第六章 响应文件格式及附件</w:t>
      </w:r>
      <w:bookmarkEnd w:id="464"/>
      <w:bookmarkEnd w:id="465"/>
      <w:bookmarkEnd w:id="466"/>
    </w:p>
    <w:p>
      <w:pPr>
        <w:tabs>
          <w:tab w:val="left" w:pos="0"/>
        </w:tabs>
        <w:spacing w:line="460" w:lineRule="exact"/>
        <w:jc w:val="left"/>
        <w:rPr>
          <w:b/>
          <w:kern w:val="44"/>
          <w:sz w:val="32"/>
          <w:szCs w:val="32"/>
          <w:highlight w:val="none"/>
        </w:rPr>
      </w:pPr>
      <w:r>
        <w:rPr>
          <w:rFonts w:hint="eastAsia"/>
          <w:b/>
          <w:kern w:val="44"/>
          <w:sz w:val="32"/>
          <w:szCs w:val="32"/>
          <w:highlight w:val="none"/>
        </w:rPr>
        <w:t>一、报价部分</w:t>
      </w:r>
    </w:p>
    <w:p>
      <w:pPr>
        <w:pStyle w:val="4"/>
        <w:jc w:val="left"/>
        <w:rPr>
          <w:rFonts w:hint="eastAsia" w:ascii="宋体" w:hAnsi="宋体" w:eastAsia="宋体" w:cs="宋体"/>
          <w:color w:val="000000"/>
          <w:highlight w:val="none"/>
        </w:rPr>
      </w:pPr>
      <w:bookmarkStart w:id="467" w:name="_Toc63332483"/>
      <w:bookmarkStart w:id="468" w:name="_Toc63332563"/>
      <w:bookmarkStart w:id="469" w:name="_Toc21952844"/>
      <w:r>
        <w:rPr>
          <w:rFonts w:hint="eastAsia" w:ascii="宋体" w:hAnsi="宋体" w:eastAsia="宋体" w:cs="宋体"/>
          <w:color w:val="000000"/>
          <w:highlight w:val="none"/>
        </w:rPr>
        <w:t>附件一：</w:t>
      </w:r>
      <w:bookmarkEnd w:id="467"/>
      <w:bookmarkEnd w:id="468"/>
    </w:p>
    <w:p>
      <w:pPr>
        <w:pStyle w:val="4"/>
        <w:jc w:val="center"/>
        <w:rPr>
          <w:rFonts w:hint="eastAsia" w:ascii="宋体" w:hAnsi="宋体" w:eastAsia="宋体" w:cs="宋体"/>
          <w:color w:val="000000"/>
          <w:highlight w:val="none"/>
        </w:rPr>
      </w:pPr>
      <w:bookmarkStart w:id="470" w:name="_Toc63332484"/>
      <w:bookmarkStart w:id="471" w:name="_Toc63332564"/>
      <w:r>
        <w:rPr>
          <w:rFonts w:hint="eastAsia" w:ascii="宋体" w:hAnsi="宋体" w:eastAsia="宋体" w:cs="宋体"/>
          <w:color w:val="000000"/>
          <w:highlight w:val="none"/>
        </w:rPr>
        <w:t>报价函</w:t>
      </w:r>
      <w:bookmarkEnd w:id="469"/>
      <w:bookmarkEnd w:id="470"/>
      <w:bookmarkEnd w:id="471"/>
    </w:p>
    <w:p>
      <w:pPr>
        <w:pStyle w:val="21"/>
        <w:spacing w:line="46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____________________：</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经研究，我们决定参加项目编号为的竞争性</w:t>
      </w:r>
      <w:r>
        <w:rPr>
          <w:rFonts w:hint="eastAsia" w:ascii="宋体" w:hAnsi="宋体" w:eastAsia="宋体" w:cs="宋体"/>
          <w:color w:val="000000"/>
          <w:sz w:val="24"/>
          <w:highlight w:val="none"/>
          <w:lang w:val="en-US" w:eastAsia="zh-CN"/>
        </w:rPr>
        <w:t>谈判</w:t>
      </w:r>
      <w:r>
        <w:rPr>
          <w:rFonts w:hint="eastAsia" w:ascii="宋体" w:hAnsi="宋体" w:eastAsia="宋体" w:cs="宋体"/>
          <w:color w:val="000000"/>
          <w:sz w:val="24"/>
          <w:highlight w:val="none"/>
        </w:rPr>
        <w:t>采购活动并提交响应文件。为此，我方承诺如下：</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1、如果我们的响应文件被接受，我们将履行竞争性</w:t>
      </w:r>
      <w:r>
        <w:rPr>
          <w:rFonts w:hint="eastAsia" w:ascii="宋体" w:hAnsi="宋体" w:eastAsia="宋体" w:cs="宋体"/>
          <w:color w:val="000000"/>
          <w:sz w:val="24"/>
          <w:highlight w:val="none"/>
          <w:lang w:val="en-US" w:eastAsia="zh-CN"/>
        </w:rPr>
        <w:t>谈判</w:t>
      </w:r>
      <w:r>
        <w:rPr>
          <w:rFonts w:hint="eastAsia" w:ascii="宋体" w:hAnsi="宋体" w:eastAsia="宋体" w:cs="宋体"/>
          <w:color w:val="000000"/>
          <w:sz w:val="24"/>
          <w:highlight w:val="none"/>
        </w:rPr>
        <w:t>文件中规定的每一项要求，并按响应文件及</w:t>
      </w:r>
      <w:r>
        <w:rPr>
          <w:rFonts w:hint="eastAsia" w:ascii="宋体" w:hAnsi="宋体" w:eastAsia="宋体" w:cs="宋体"/>
          <w:color w:val="000000"/>
          <w:sz w:val="24"/>
          <w:highlight w:val="none"/>
          <w:lang w:val="en-US" w:eastAsia="zh-CN"/>
        </w:rPr>
        <w:t>谈判</w:t>
      </w:r>
      <w:r>
        <w:rPr>
          <w:rFonts w:hint="eastAsia" w:ascii="宋体" w:hAnsi="宋体" w:eastAsia="宋体" w:cs="宋体"/>
          <w:color w:val="000000"/>
          <w:sz w:val="24"/>
          <w:highlight w:val="none"/>
        </w:rPr>
        <w:t>过程中的承诺按期、保质、保量完成项目的实施；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2、我们理解，最低报价不是成交的唯一条件和保证；</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3、我方愿按《中华人民共和国</w:t>
      </w:r>
      <w:r>
        <w:rPr>
          <w:rFonts w:hint="eastAsia" w:ascii="宋体" w:hAnsi="宋体" w:eastAsia="宋体" w:cs="宋体"/>
          <w:color w:val="000000"/>
          <w:sz w:val="24"/>
          <w:highlight w:val="none"/>
          <w:lang w:val="en-US" w:eastAsia="zh-CN"/>
        </w:rPr>
        <w:t>民法典</w:t>
      </w:r>
      <w:r>
        <w:rPr>
          <w:rFonts w:hint="eastAsia" w:ascii="宋体" w:hAnsi="宋体" w:eastAsia="宋体" w:cs="宋体"/>
          <w:color w:val="000000"/>
          <w:sz w:val="24"/>
          <w:highlight w:val="none"/>
        </w:rPr>
        <w:t>》履行自己的全部责任；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4、我们同意按文件要求提交采购文件规定的相关费用等，遵守贵机构对本次项目所做的有关规定；</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5、我方的响应文件自提交之日起有效期为</w:t>
      </w:r>
      <w:r>
        <w:rPr>
          <w:rFonts w:hint="eastAsia" w:ascii="宋体" w:hAnsi="宋体" w:eastAsia="宋体" w:cs="宋体"/>
          <w:color w:val="000000"/>
          <w:sz w:val="24"/>
          <w:highlight w:val="none"/>
          <w:u w:val="single"/>
        </w:rPr>
        <w:t>90</w:t>
      </w:r>
      <w:r>
        <w:rPr>
          <w:rFonts w:hint="eastAsia" w:ascii="宋体" w:hAnsi="宋体" w:eastAsia="宋体" w:cs="宋体"/>
          <w:color w:val="000000"/>
          <w:sz w:val="24"/>
          <w:highlight w:val="none"/>
        </w:rPr>
        <w:t>日历天；</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6、我方若未成为成交单位，贵机构有权不做任何解释；</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7、与本次响应有关的一切正式往来通讯请寄：</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地址：</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邮政编码：</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电话：</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传真：</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开户单位：</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账号：</w:t>
      </w:r>
    </w:p>
    <w:p>
      <w:pPr>
        <w:widowControl/>
        <w:jc w:val="left"/>
        <w:rPr>
          <w:rFonts w:hint="eastAsia" w:ascii="宋体" w:hAnsi="宋体" w:eastAsia="宋体" w:cs="宋体"/>
          <w:color w:val="000000"/>
          <w:sz w:val="24"/>
          <w:highlight w:val="none"/>
        </w:rPr>
      </w:pPr>
      <w:bookmarkStart w:id="472" w:name="_Toc27032"/>
      <w:bookmarkStart w:id="473" w:name="_Toc10141"/>
      <w:bookmarkStart w:id="474" w:name="_Toc32130"/>
      <w:bookmarkStart w:id="475" w:name="_Toc21952848"/>
      <w:r>
        <w:rPr>
          <w:rFonts w:hint="eastAsia" w:ascii="宋体" w:hAnsi="宋体" w:eastAsia="宋体" w:cs="宋体"/>
          <w:b/>
          <w:bCs/>
          <w:color w:val="000000"/>
          <w:sz w:val="24"/>
          <w:highlight w:val="none"/>
        </w:rPr>
        <w:br w:type="page"/>
      </w:r>
    </w:p>
    <w:p>
      <w:pPr>
        <w:pStyle w:val="4"/>
        <w:jc w:val="left"/>
        <w:rPr>
          <w:rFonts w:hint="eastAsia" w:ascii="宋体" w:hAnsi="宋体" w:eastAsia="宋体" w:cs="宋体"/>
          <w:color w:val="000000"/>
          <w:highlight w:val="none"/>
        </w:rPr>
      </w:pPr>
      <w:bookmarkStart w:id="476" w:name="_Toc63332485"/>
      <w:bookmarkStart w:id="477" w:name="_Toc63332565"/>
      <w:r>
        <w:rPr>
          <w:rFonts w:hint="eastAsia" w:ascii="宋体" w:hAnsi="宋体" w:eastAsia="宋体" w:cs="宋体"/>
          <w:color w:val="000000"/>
          <w:highlight w:val="none"/>
        </w:rPr>
        <w:t>附件二：</w:t>
      </w:r>
      <w:bookmarkEnd w:id="476"/>
      <w:bookmarkEnd w:id="477"/>
    </w:p>
    <w:p>
      <w:pPr>
        <w:pStyle w:val="4"/>
        <w:jc w:val="center"/>
        <w:rPr>
          <w:rFonts w:hint="eastAsia" w:ascii="宋体" w:hAnsi="宋体" w:eastAsia="宋体" w:cs="宋体"/>
          <w:color w:val="000000"/>
          <w:highlight w:val="none"/>
        </w:rPr>
      </w:pPr>
      <w:bookmarkStart w:id="478" w:name="_Toc63332566"/>
      <w:bookmarkStart w:id="479" w:name="_Toc63332486"/>
      <w:r>
        <w:rPr>
          <w:rFonts w:hint="eastAsia" w:ascii="宋体" w:hAnsi="宋体" w:eastAsia="宋体" w:cs="宋体"/>
          <w:color w:val="000000"/>
          <w:highlight w:val="none"/>
        </w:rPr>
        <w:t>报价一览表</w:t>
      </w:r>
      <w:bookmarkEnd w:id="472"/>
      <w:bookmarkEnd w:id="473"/>
      <w:bookmarkEnd w:id="474"/>
      <w:bookmarkEnd w:id="475"/>
      <w:bookmarkEnd w:id="478"/>
      <w:bookmarkEnd w:id="479"/>
    </w:p>
    <w:tbl>
      <w:tblPr>
        <w:tblStyle w:val="49"/>
        <w:tblW w:w="9859" w:type="dxa"/>
        <w:jc w:val="center"/>
        <w:tblLayout w:type="fixed"/>
        <w:tblCellMar>
          <w:top w:w="0" w:type="dxa"/>
          <w:left w:w="108" w:type="dxa"/>
          <w:bottom w:w="0" w:type="dxa"/>
          <w:right w:w="108" w:type="dxa"/>
        </w:tblCellMar>
      </w:tblPr>
      <w:tblGrid>
        <w:gridCol w:w="2819"/>
        <w:gridCol w:w="7040"/>
      </w:tblGrid>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b/>
                <w:bCs/>
                <w:color w:val="000000"/>
                <w:sz w:val="24"/>
                <w:highlight w:val="none"/>
                <w:lang w:val="zh-CN"/>
              </w:rPr>
            </w:pP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sz w:val="24"/>
                <w:highlight w:val="none"/>
                <w:lang w:val="zh-CN"/>
              </w:rPr>
            </w:pPr>
            <w:r>
              <w:rPr>
                <w:rFonts w:hint="eastAsia" w:ascii="宋体" w:hAnsi="宋体" w:eastAsia="宋体" w:cs="宋体"/>
                <w:sz w:val="24"/>
                <w:highlight w:val="none"/>
                <w:lang w:val="zh-CN"/>
              </w:rPr>
              <w:t>项目名称</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b/>
                <w:bCs/>
                <w:color w:val="000000"/>
                <w:sz w:val="24"/>
                <w:highlight w:val="none"/>
                <w:lang w:val="zh-CN"/>
              </w:rPr>
            </w:pP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rPr>
            </w:pPr>
            <w:r>
              <w:rPr>
                <w:rFonts w:hint="eastAsia" w:ascii="宋体" w:hAnsi="宋体" w:eastAsia="宋体" w:cs="宋体"/>
                <w:sz w:val="24"/>
                <w:highlight w:val="none"/>
              </w:rPr>
              <w:t>总报价</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大写：元</w:t>
            </w:r>
          </w:p>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b/>
                <w:color w:val="000000"/>
                <w:sz w:val="24"/>
                <w:highlight w:val="none"/>
                <w:lang w:val="zh-CN"/>
              </w:rPr>
            </w:pPr>
            <w:r>
              <w:rPr>
                <w:rFonts w:hint="eastAsia" w:ascii="宋体" w:hAnsi="宋体" w:eastAsia="宋体" w:cs="宋体"/>
                <w:sz w:val="24"/>
                <w:highlight w:val="none"/>
                <w:lang w:val="zh-CN"/>
              </w:rPr>
              <w:t>小写：元（保留两位小数）</w:t>
            </w: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960" w:firstLineChars="400"/>
              <w:rPr>
                <w:rFonts w:hint="eastAsia" w:ascii="宋体" w:hAnsi="宋体" w:eastAsia="宋体" w:cs="宋体"/>
                <w:sz w:val="24"/>
                <w:highlight w:val="none"/>
                <w:lang w:val="zh-CN"/>
              </w:rPr>
            </w:pP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工期</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highlight w:val="none"/>
                <w:lang w:val="zh-CN"/>
              </w:rPr>
            </w:pPr>
          </w:p>
        </w:tc>
      </w:tr>
      <w:tr>
        <w:tblPrEx>
          <w:tblCellMar>
            <w:top w:w="0" w:type="dxa"/>
            <w:left w:w="108" w:type="dxa"/>
            <w:bottom w:w="0" w:type="dxa"/>
            <w:right w:w="108" w:type="dxa"/>
          </w:tblCellMar>
        </w:tblPrEx>
        <w:trPr>
          <w:trHeight w:val="931"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工程质保期</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highlight w:val="none"/>
                <w:lang w:val="zh-CN"/>
              </w:rPr>
            </w:pPr>
          </w:p>
        </w:tc>
      </w:tr>
      <w:tr>
        <w:tblPrEx>
          <w:tblCellMar>
            <w:top w:w="0" w:type="dxa"/>
            <w:left w:w="108" w:type="dxa"/>
            <w:bottom w:w="0" w:type="dxa"/>
            <w:right w:w="108" w:type="dxa"/>
          </w:tblCellMar>
        </w:tblPrEx>
        <w:trPr>
          <w:trHeight w:val="944" w:hRule="atLeast"/>
          <w:jc w:val="center"/>
        </w:trPr>
        <w:tc>
          <w:tcPr>
            <w:tcW w:w="2819"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hint="eastAsia" w:ascii="宋体" w:hAnsi="宋体" w:eastAsia="宋体" w:cs="宋体"/>
                <w:color w:val="000000"/>
                <w:sz w:val="24"/>
                <w:highlight w:val="none"/>
                <w:lang w:val="zh-CN"/>
              </w:rPr>
            </w:pPr>
            <w:r>
              <w:rPr>
                <w:rFonts w:hint="eastAsia" w:ascii="宋体" w:hAnsi="宋体" w:eastAsia="宋体" w:cs="宋体"/>
                <w:sz w:val="24"/>
                <w:highlight w:val="none"/>
                <w:lang w:val="zh-CN"/>
              </w:rPr>
              <w:t>对采购文件认同程度</w:t>
            </w:r>
          </w:p>
        </w:tc>
        <w:tc>
          <w:tcPr>
            <w:tcW w:w="7040"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highlight w:val="none"/>
                <w:lang w:val="zh-CN"/>
              </w:rPr>
            </w:pPr>
          </w:p>
        </w:tc>
      </w:tr>
    </w:tbl>
    <w:p>
      <w:pPr>
        <w:wordWrap w:val="0"/>
        <w:ind w:right="482"/>
        <w:rPr>
          <w:rFonts w:hint="eastAsia" w:ascii="宋体" w:hAnsi="宋体" w:eastAsia="宋体" w:cs="宋体"/>
          <w:color w:val="000000"/>
          <w:sz w:val="24"/>
          <w:highlight w:val="none"/>
          <w:lang w:eastAsia="zh-CN"/>
        </w:rPr>
      </w:pPr>
    </w:p>
    <w:p>
      <w:pPr>
        <w:wordWrap w:val="0"/>
        <w:ind w:right="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特别说明：1、报价币种：人民币；</w:t>
      </w:r>
    </w:p>
    <w:p>
      <w:pPr>
        <w:numPr>
          <w:ilvl w:val="0"/>
          <w:numId w:val="7"/>
        </w:numPr>
        <w:wordWrap w:val="0"/>
        <w:ind w:right="482" w:firstLine="1440" w:firstLineChars="6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不按要求填写此表的作无效报价处理。</w:t>
      </w:r>
    </w:p>
    <w:p>
      <w:pPr>
        <w:pStyle w:val="47"/>
        <w:ind w:firstLine="0" w:firstLineChars="0"/>
        <w:rPr>
          <w:rFonts w:hint="eastAsia" w:ascii="宋体" w:hAnsi="宋体" w:eastAsia="宋体" w:cs="宋体"/>
          <w:highlight w:val="none"/>
        </w:rPr>
      </w:pPr>
      <w:bookmarkStart w:id="480" w:name="_Toc388255995"/>
      <w:bookmarkStart w:id="481" w:name="_Toc201561626"/>
      <w:bookmarkStart w:id="482" w:name="_Toc21952849"/>
      <w:bookmarkStart w:id="483" w:name="_Toc198368336"/>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7"/>
        <w:ind w:firstLine="0" w:firstLineChars="0"/>
        <w:rPr>
          <w:rFonts w:hint="eastAsia" w:ascii="宋体" w:hAnsi="宋体" w:eastAsia="宋体" w:cs="宋体"/>
          <w:highlight w:val="none"/>
        </w:rPr>
      </w:pPr>
    </w:p>
    <w:p>
      <w:pPr>
        <w:pStyle w:val="4"/>
        <w:jc w:val="left"/>
        <w:rPr>
          <w:rFonts w:hint="eastAsia" w:ascii="宋体" w:hAnsi="宋体" w:eastAsia="宋体" w:cs="宋体"/>
          <w:color w:val="000000"/>
          <w:highlight w:val="none"/>
        </w:rPr>
      </w:pPr>
      <w:bookmarkStart w:id="484" w:name="_Toc63332487"/>
      <w:bookmarkStart w:id="485" w:name="_Toc63332567"/>
      <w:r>
        <w:rPr>
          <w:rFonts w:hint="eastAsia" w:ascii="宋体" w:hAnsi="宋体" w:eastAsia="宋体" w:cs="宋体"/>
          <w:color w:val="000000"/>
          <w:highlight w:val="none"/>
        </w:rPr>
        <w:t>附件三：</w:t>
      </w:r>
      <w:bookmarkEnd w:id="484"/>
      <w:bookmarkEnd w:id="485"/>
    </w:p>
    <w:p>
      <w:pPr>
        <w:tabs>
          <w:tab w:val="left" w:pos="3636"/>
          <w:tab w:val="center" w:pos="4652"/>
        </w:tabs>
        <w:spacing w:before="312" w:beforeLines="100" w:after="156" w:afterLines="50" w:line="510" w:lineRule="exact"/>
        <w:jc w:val="center"/>
        <w:outlineLvl w:val="1"/>
        <w:rPr>
          <w:rFonts w:hint="eastAsia" w:ascii="宋体" w:hAnsi="宋体" w:eastAsia="宋体" w:cs="宋体"/>
          <w:b/>
          <w:sz w:val="24"/>
          <w:highlight w:val="none"/>
        </w:rPr>
      </w:pPr>
      <w:bookmarkStart w:id="486" w:name="_Toc300901193"/>
      <w:bookmarkStart w:id="487" w:name="_Toc335489148"/>
      <w:r>
        <w:rPr>
          <w:rFonts w:hint="eastAsia" w:ascii="宋体" w:hAnsi="宋体" w:eastAsia="宋体" w:cs="宋体"/>
          <w:b/>
          <w:sz w:val="24"/>
          <w:highlight w:val="none"/>
        </w:rPr>
        <w:t>法定代表人身份证明</w:t>
      </w:r>
      <w:bookmarkEnd w:id="486"/>
      <w:bookmarkEnd w:id="487"/>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供应商：__________________________________________________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单位性质：________________________________________________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地址：____________________________________________________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成立时间：年月日</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经营期限：________________________________________________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姓名：性别：________________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年龄：职务：_________________</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的法定代表人。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500" w:lineRule="exact"/>
        <w:rPr>
          <w:rFonts w:hint="eastAsia" w:ascii="宋体" w:hAnsi="宋体" w:eastAsia="宋体" w:cs="宋体"/>
          <w:sz w:val="24"/>
          <w:highlight w:val="none"/>
        </w:rPr>
      </w:pPr>
    </w:p>
    <w:p>
      <w:pPr>
        <w:spacing w:line="500" w:lineRule="exact"/>
        <w:rPr>
          <w:rFonts w:hint="eastAsia" w:ascii="宋体" w:hAnsi="宋体" w:eastAsia="宋体" w:cs="宋体"/>
          <w:sz w:val="24"/>
          <w:highlight w:val="none"/>
        </w:rPr>
      </w:pPr>
    </w:p>
    <w:p>
      <w:pPr>
        <w:wordWrap w:val="0"/>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供应商名称：（盖单位章）</w:t>
      </w:r>
    </w:p>
    <w:p>
      <w:pPr>
        <w:wordWrap w:val="0"/>
        <w:spacing w:line="500" w:lineRule="exact"/>
        <w:jc w:val="center"/>
        <w:rPr>
          <w:rFonts w:hint="eastAsia" w:ascii="宋体" w:hAnsi="宋体" w:eastAsia="宋体" w:cs="宋体"/>
          <w:sz w:val="24"/>
          <w:highlight w:val="none"/>
        </w:rPr>
      </w:pPr>
    </w:p>
    <w:p>
      <w:pPr>
        <w:wordWrap w:val="0"/>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年月日</w:t>
      </w:r>
    </w:p>
    <w:p>
      <w:pPr>
        <w:widowControl/>
        <w:jc w:val="center"/>
        <w:rPr>
          <w:rFonts w:hint="eastAsia" w:ascii="宋体" w:hAnsi="宋体" w:eastAsia="宋体" w:cs="宋体"/>
          <w:kern w:val="0"/>
          <w:highlight w:val="none"/>
        </w:rPr>
      </w:pPr>
    </w:p>
    <w:p>
      <w:pPr>
        <w:widowControl/>
        <w:jc w:val="center"/>
        <w:rPr>
          <w:rFonts w:hint="eastAsia" w:ascii="宋体" w:hAnsi="宋体" w:eastAsia="宋体" w:cs="宋体"/>
          <w:kern w:val="0"/>
          <w:highlight w:val="none"/>
        </w:rPr>
      </w:pPr>
    </w:p>
    <w:p>
      <w:pPr>
        <w:widowControl/>
        <w:jc w:val="center"/>
        <w:rPr>
          <w:rFonts w:hint="eastAsia" w:ascii="宋体" w:hAnsi="宋体" w:eastAsia="宋体" w:cs="宋体"/>
          <w:kern w:val="0"/>
          <w:highlight w:val="none"/>
        </w:rPr>
      </w:pPr>
    </w:p>
    <w:p>
      <w:pPr>
        <w:tabs>
          <w:tab w:val="left" w:pos="3636"/>
          <w:tab w:val="center" w:pos="4652"/>
        </w:tabs>
        <w:spacing w:before="312" w:beforeLines="100" w:after="156" w:afterLines="50" w:line="510" w:lineRule="exact"/>
        <w:jc w:val="center"/>
        <w:outlineLvl w:val="1"/>
        <w:rPr>
          <w:rFonts w:hint="eastAsia" w:ascii="宋体" w:hAnsi="宋体" w:eastAsia="宋体" w:cs="宋体"/>
          <w:sz w:val="24"/>
          <w:highlight w:val="none"/>
        </w:rPr>
      </w:pPr>
      <w:r>
        <w:rPr>
          <w:rFonts w:hint="eastAsia" w:ascii="宋体" w:hAnsi="宋体" w:eastAsia="宋体" w:cs="宋体"/>
          <w:sz w:val="24"/>
          <w:highlight w:val="none"/>
        </w:rPr>
        <w:br w:type="page"/>
      </w:r>
      <w:bookmarkStart w:id="488" w:name="_Toc300901194"/>
      <w:bookmarkStart w:id="489" w:name="_Toc335489149"/>
    </w:p>
    <w:p>
      <w:pPr>
        <w:pStyle w:val="4"/>
        <w:jc w:val="left"/>
        <w:rPr>
          <w:rFonts w:hint="eastAsia" w:ascii="宋体" w:hAnsi="宋体" w:eastAsia="宋体" w:cs="宋体"/>
          <w:color w:val="000000"/>
          <w:highlight w:val="none"/>
        </w:rPr>
      </w:pPr>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四</w:t>
      </w:r>
      <w:r>
        <w:rPr>
          <w:rFonts w:hint="eastAsia" w:ascii="宋体" w:hAnsi="宋体" w:eastAsia="宋体" w:cs="宋体"/>
          <w:color w:val="000000"/>
          <w:highlight w:val="none"/>
        </w:rPr>
        <w:t>：</w:t>
      </w:r>
    </w:p>
    <w:p>
      <w:pPr>
        <w:tabs>
          <w:tab w:val="left" w:pos="3636"/>
          <w:tab w:val="center" w:pos="4652"/>
        </w:tabs>
        <w:spacing w:before="312" w:beforeLines="100" w:after="156" w:afterLines="50" w:line="510" w:lineRule="exact"/>
        <w:jc w:val="center"/>
        <w:outlineLvl w:val="1"/>
        <w:rPr>
          <w:rFonts w:hint="eastAsia" w:ascii="宋体" w:hAnsi="宋体" w:eastAsia="宋体" w:cs="宋体"/>
          <w:b/>
          <w:sz w:val="24"/>
          <w:highlight w:val="none"/>
        </w:rPr>
      </w:pPr>
      <w:r>
        <w:rPr>
          <w:rFonts w:hint="eastAsia" w:ascii="宋体" w:hAnsi="宋体" w:eastAsia="宋体" w:cs="宋体"/>
          <w:b/>
          <w:sz w:val="24"/>
          <w:highlight w:val="none"/>
        </w:rPr>
        <w:t>授权委托书</w:t>
      </w:r>
      <w:bookmarkEnd w:id="488"/>
      <w:bookmarkEnd w:id="489"/>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w:t>
      </w:r>
      <w:r>
        <w:rPr>
          <w:rFonts w:hint="eastAsia" w:ascii="宋体" w:hAnsi="宋体" w:eastAsia="宋体" w:cs="宋体"/>
          <w:sz w:val="24"/>
          <w:highlight w:val="none"/>
        </w:rPr>
        <w:t>姓名）系</w:t>
      </w:r>
      <w:r>
        <w:rPr>
          <w:rFonts w:hint="eastAsia" w:ascii="宋体" w:hAnsi="宋体" w:eastAsia="宋体" w:cs="宋体"/>
          <w:sz w:val="24"/>
          <w:highlight w:val="none"/>
          <w:u w:val="single"/>
        </w:rPr>
        <w:t>（供应商名称）</w:t>
      </w:r>
      <w:r>
        <w:rPr>
          <w:rFonts w:hint="eastAsia" w:ascii="宋体" w:hAnsi="宋体" w:eastAsia="宋体" w:cs="宋体"/>
          <w:sz w:val="24"/>
          <w:highlight w:val="none"/>
        </w:rPr>
        <w:t>的法定代表人，现委托</w:t>
      </w:r>
      <w:r>
        <w:rPr>
          <w:rFonts w:hint="eastAsia" w:ascii="宋体" w:hAnsi="宋体" w:eastAsia="宋体" w:cs="宋体"/>
          <w:sz w:val="24"/>
          <w:highlight w:val="none"/>
          <w:u w:val="single"/>
        </w:rPr>
        <w:t>（姓名）</w:t>
      </w:r>
      <w:r>
        <w:rPr>
          <w:rFonts w:hint="eastAsia" w:ascii="宋体" w:hAnsi="宋体" w:eastAsia="宋体" w:cs="宋体"/>
          <w:sz w:val="24"/>
          <w:highlight w:val="none"/>
        </w:rPr>
        <w:t>为我方代理人。代理人根据授权，以我方名义签署、澄清、说明、补正、递交、撤回、修改</w:t>
      </w:r>
      <w:r>
        <w:rPr>
          <w:rFonts w:hint="eastAsia" w:ascii="宋体" w:hAnsi="宋体" w:eastAsia="宋体" w:cs="宋体"/>
          <w:sz w:val="24"/>
          <w:highlight w:val="none"/>
          <w:u w:val="single"/>
        </w:rPr>
        <w:t>（项目名称）</w:t>
      </w:r>
      <w:r>
        <w:rPr>
          <w:rFonts w:hint="eastAsia" w:ascii="宋体" w:hAnsi="宋体" w:eastAsia="宋体" w:cs="宋体"/>
          <w:sz w:val="24"/>
          <w:highlight w:val="none"/>
          <w:lang w:val="en-US" w:eastAsia="zh-CN"/>
        </w:rPr>
        <w:t>谈判</w:t>
      </w:r>
      <w:r>
        <w:rPr>
          <w:rFonts w:hint="eastAsia" w:ascii="宋体" w:hAnsi="宋体" w:eastAsia="宋体" w:cs="宋体"/>
          <w:sz w:val="24"/>
          <w:highlight w:val="none"/>
        </w:rPr>
        <w:t>响应文件、签订合同和处理有关事宜，其法律后果由我方承担。</w:t>
      </w:r>
    </w:p>
    <w:p>
      <w:pPr>
        <w:spacing w:before="156" w:beforeLines="5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委托期限：。</w:t>
      </w:r>
    </w:p>
    <w:p>
      <w:pPr>
        <w:spacing w:before="312" w:beforeLines="100"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代理人无转委托权。</w:t>
      </w:r>
    </w:p>
    <w:p>
      <w:pPr>
        <w:spacing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附：法定代表人身份证明</w:t>
      </w:r>
    </w:p>
    <w:p>
      <w:pPr>
        <w:spacing w:after="312" w:afterLines="100"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附：授权委托人身份证明</w:t>
      </w:r>
    </w:p>
    <w:p>
      <w:pPr>
        <w:spacing w:line="500" w:lineRule="exact"/>
        <w:rPr>
          <w:rFonts w:hint="eastAsia" w:ascii="宋体" w:hAnsi="宋体" w:eastAsia="宋体" w:cs="宋体"/>
          <w:sz w:val="24"/>
          <w:highlight w:val="none"/>
          <w:lang w:val="en-US" w:eastAsia="zh-CN"/>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供应商名称：（盖单位章）</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法定代表人：（签字）</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none"/>
        </w:rPr>
        <w:t>________________________</w:t>
      </w:r>
    </w:p>
    <w:p>
      <w:pPr>
        <w:spacing w:line="400" w:lineRule="exact"/>
        <w:ind w:firstLine="4080" w:firstLineChars="1700"/>
        <w:rPr>
          <w:rFonts w:hint="eastAsia" w:ascii="宋体" w:hAnsi="宋体" w:eastAsia="宋体" w:cs="宋体"/>
          <w:sz w:val="24"/>
          <w:highlight w:val="none"/>
          <w:u w:val="single"/>
        </w:rPr>
      </w:pP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rPr>
        <w:t>委托代理人：（签字）</w:t>
      </w:r>
    </w:p>
    <w:p>
      <w:pPr>
        <w:spacing w:line="400" w:lineRule="exact"/>
        <w:ind w:firstLine="4080" w:firstLineChars="1700"/>
        <w:rPr>
          <w:rFonts w:hint="eastAsia" w:ascii="宋体" w:hAnsi="宋体" w:eastAsia="宋体" w:cs="宋体"/>
          <w:sz w:val="24"/>
          <w:highlight w:val="none"/>
        </w:rPr>
      </w:pPr>
    </w:p>
    <w:p>
      <w:pPr>
        <w:spacing w:line="400" w:lineRule="exact"/>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p>
    <w:p>
      <w:pPr>
        <w:spacing w:line="400" w:lineRule="exact"/>
        <w:ind w:firstLine="4080" w:firstLineChars="1700"/>
        <w:rPr>
          <w:rFonts w:hint="eastAsia" w:ascii="宋体" w:hAnsi="宋体" w:eastAsia="宋体" w:cs="宋体"/>
          <w:sz w:val="24"/>
          <w:highlight w:val="none"/>
        </w:rPr>
      </w:pPr>
    </w:p>
    <w:p>
      <w:pPr>
        <w:spacing w:line="400" w:lineRule="exact"/>
        <w:ind w:firstLine="1680" w:firstLineChars="700"/>
        <w:rPr>
          <w:rFonts w:hint="eastAsia" w:ascii="宋体" w:hAnsi="宋体" w:eastAsia="宋体" w:cs="宋体"/>
          <w:sz w:val="24"/>
          <w:highlight w:val="none"/>
        </w:rPr>
      </w:pPr>
      <w:r>
        <w:rPr>
          <w:rFonts w:hint="eastAsia" w:ascii="宋体" w:hAnsi="宋体" w:eastAsia="宋体" w:cs="宋体"/>
          <w:sz w:val="24"/>
          <w:highlight w:val="none"/>
        </w:rPr>
        <w:t>年月日</w:t>
      </w:r>
    </w:p>
    <w:p>
      <w:pPr>
        <w:spacing w:line="400" w:lineRule="exact"/>
        <w:ind w:firstLine="5520" w:firstLineChars="2300"/>
        <w:rPr>
          <w:rFonts w:hint="eastAsia" w:ascii="宋体" w:hAnsi="宋体" w:eastAsia="宋体" w:cs="宋体"/>
          <w:sz w:val="24"/>
          <w:highlight w:val="none"/>
        </w:rPr>
      </w:pPr>
    </w:p>
    <w:p>
      <w:pPr>
        <w:spacing w:line="400" w:lineRule="exact"/>
        <w:ind w:firstLine="5520" w:firstLineChars="2300"/>
        <w:rPr>
          <w:rFonts w:hint="eastAsia" w:ascii="宋体" w:hAnsi="宋体" w:eastAsia="宋体" w:cs="宋体"/>
          <w:sz w:val="24"/>
          <w:highlight w:val="none"/>
        </w:rPr>
      </w:pPr>
    </w:p>
    <w:p>
      <w:pPr>
        <w:spacing w:line="440" w:lineRule="exact"/>
        <w:jc w:val="center"/>
        <w:rPr>
          <w:rFonts w:hint="eastAsia" w:ascii="宋体" w:hAnsi="宋体" w:eastAsia="宋体" w:cs="宋体"/>
          <w:sz w:val="24"/>
          <w:highlight w:val="none"/>
        </w:rPr>
      </w:pPr>
    </w:p>
    <w:p>
      <w:pPr>
        <w:rPr>
          <w:rFonts w:hint="eastAsia" w:ascii="宋体" w:hAnsi="宋体" w:eastAsia="宋体" w:cs="宋体"/>
          <w:highlight w:val="none"/>
        </w:rPr>
      </w:pPr>
    </w:p>
    <w:p>
      <w:pPr>
        <w:pStyle w:val="4"/>
        <w:jc w:val="left"/>
        <w:rPr>
          <w:rFonts w:hint="eastAsia" w:ascii="宋体" w:hAnsi="宋体" w:eastAsia="宋体" w:cs="宋体"/>
          <w:color w:val="000000"/>
          <w:highlight w:val="none"/>
        </w:rPr>
      </w:pPr>
      <w:bookmarkStart w:id="490" w:name="_Toc63332488"/>
      <w:bookmarkStart w:id="491" w:name="_Toc63332568"/>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五</w:t>
      </w:r>
      <w:r>
        <w:rPr>
          <w:rFonts w:hint="eastAsia" w:ascii="宋体" w:hAnsi="宋体" w:eastAsia="宋体" w:cs="宋体"/>
          <w:color w:val="000000"/>
          <w:highlight w:val="none"/>
        </w:rPr>
        <w:t>：</w:t>
      </w:r>
    </w:p>
    <w:p>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t>中小企业声明函</w:t>
      </w:r>
      <w:bookmarkEnd w:id="490"/>
      <w:bookmarkEnd w:id="491"/>
    </w:p>
    <w:p>
      <w:pPr>
        <w:spacing w:line="600" w:lineRule="exact"/>
        <w:ind w:firstLine="566" w:firstLineChars="236"/>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本公司（联合体）郑重声明，根据《政府采购促进中小企业发展管理办法》（财库﹝2020﹞46号）的规定，本公司参加</w:t>
      </w:r>
      <w:r>
        <w:rPr>
          <w:rFonts w:hint="eastAsia" w:ascii="宋体" w:hAnsi="宋体" w:eastAsia="宋体" w:cs="宋体"/>
          <w:color w:val="000000"/>
          <w:sz w:val="24"/>
          <w:highlight w:val="none"/>
          <w:u w:val="single"/>
        </w:rPr>
        <w:t>（单位名称）</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60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（标的名称</w:t>
      </w:r>
      <w:r>
        <w:rPr>
          <w:rFonts w:hint="eastAsia" w:ascii="宋体" w:hAnsi="宋体" w:eastAsia="宋体" w:cs="宋体"/>
          <w:i/>
          <w:iCs/>
          <w:color w:val="000000"/>
          <w:sz w:val="24"/>
          <w:highlight w:val="none"/>
          <w:u w:val="single"/>
        </w:rPr>
        <w:t>）</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，从业人员人，营业收入为万元，资产总额为万元</w:t>
      </w:r>
      <w:r>
        <w:rPr>
          <w:rFonts w:hint="eastAsia" w:ascii="宋体" w:hAnsi="宋体" w:eastAsia="宋体" w:cs="宋体"/>
          <w:color w:val="000000"/>
          <w:sz w:val="24"/>
          <w:highlight w:val="none"/>
          <w:vertAlign w:val="superscript"/>
        </w:rPr>
        <w:t>1</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pPr>
        <w:spacing w:line="60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（标的名称）</w:t>
      </w:r>
      <w:r>
        <w:rPr>
          <w:rFonts w:hint="eastAsia" w:ascii="宋体" w:hAnsi="宋体" w:eastAsia="宋体" w:cs="宋体"/>
          <w:color w:val="000000"/>
          <w:sz w:val="24"/>
          <w:highlight w:val="none"/>
        </w:rPr>
        <w:t>，属于</w:t>
      </w:r>
      <w:r>
        <w:rPr>
          <w:rFonts w:hint="eastAsia" w:ascii="宋体" w:hAnsi="宋体" w:eastAsia="宋体" w:cs="宋体"/>
          <w:color w:val="000000"/>
          <w:sz w:val="24"/>
          <w:highlight w:val="none"/>
          <w:u w:val="single"/>
        </w:rPr>
        <w:t>（采购文件中明确的所属行业）</w:t>
      </w:r>
      <w:r>
        <w:rPr>
          <w:rFonts w:hint="eastAsia" w:ascii="宋体" w:hAnsi="宋体" w:eastAsia="宋体" w:cs="宋体"/>
          <w:color w:val="000000"/>
          <w:sz w:val="24"/>
          <w:highlight w:val="none"/>
        </w:rPr>
        <w:t>；承建（承接）企业为</w:t>
      </w:r>
      <w:r>
        <w:rPr>
          <w:rFonts w:hint="eastAsia" w:ascii="宋体" w:hAnsi="宋体" w:eastAsia="宋体" w:cs="宋体"/>
          <w:color w:val="000000"/>
          <w:sz w:val="24"/>
          <w:highlight w:val="none"/>
          <w:u w:val="single"/>
        </w:rPr>
        <w:t>（企业名称）</w:t>
      </w:r>
      <w:r>
        <w:rPr>
          <w:rFonts w:hint="eastAsia" w:ascii="宋体" w:hAnsi="宋体" w:eastAsia="宋体" w:cs="宋体"/>
          <w:color w:val="000000"/>
          <w:sz w:val="24"/>
          <w:highlight w:val="none"/>
        </w:rPr>
        <w:t>，从业人员人，营业收入为万元，资产总额为万元，属于</w:t>
      </w:r>
      <w:r>
        <w:rPr>
          <w:rFonts w:hint="eastAsia" w:ascii="宋体" w:hAnsi="宋体" w:eastAsia="宋体" w:cs="宋体"/>
          <w:color w:val="000000"/>
          <w:sz w:val="24"/>
          <w:highlight w:val="none"/>
          <w:u w:val="single"/>
        </w:rPr>
        <w:t>（中型企业、小型企业、微型企业）</w:t>
      </w:r>
      <w:r>
        <w:rPr>
          <w:rFonts w:hint="eastAsia" w:ascii="宋体" w:hAnsi="宋体" w:eastAsia="宋体" w:cs="宋体"/>
          <w:color w:val="000000"/>
          <w:sz w:val="24"/>
          <w:highlight w:val="none"/>
        </w:rPr>
        <w:t>；</w:t>
      </w:r>
    </w:p>
    <w:p>
      <w:pPr>
        <w:spacing w:line="600" w:lineRule="exact"/>
        <w:ind w:left="315" w:leftChars="150"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p>
    <w:p>
      <w:pPr>
        <w:spacing w:line="600" w:lineRule="exact"/>
        <w:ind w:left="1" w:firstLine="564" w:firstLineChars="235"/>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以上企业，不属于大企业的分支机构，不存在控股股东为大企业的情形，也不存在与大企业的负责人为同一人的情形。</w:t>
      </w:r>
    </w:p>
    <w:p>
      <w:pPr>
        <w:spacing w:line="600" w:lineRule="exact"/>
        <w:ind w:left="1" w:firstLine="564" w:firstLineChars="235"/>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本企业对上述声明内容的真实性负责。如有虚假，将依法承担相应责任。</w:t>
      </w:r>
    </w:p>
    <w:p>
      <w:pPr>
        <w:wordWrap w:val="0"/>
        <w:spacing w:line="600" w:lineRule="exact"/>
        <w:ind w:left="1" w:firstLine="564" w:firstLineChars="235"/>
        <w:jc w:val="right"/>
        <w:rPr>
          <w:rFonts w:hint="eastAsia" w:ascii="宋体" w:hAnsi="宋体" w:eastAsia="宋体" w:cs="宋体"/>
          <w:color w:val="000000"/>
          <w:sz w:val="24"/>
          <w:highlight w:val="none"/>
        </w:rPr>
      </w:pPr>
    </w:p>
    <w:p>
      <w:pPr>
        <w:spacing w:line="600" w:lineRule="exact"/>
        <w:ind w:left="1" w:right="107" w:firstLine="4533" w:firstLineChars="1889"/>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企业名称（盖章）：</w:t>
      </w:r>
    </w:p>
    <w:p>
      <w:pPr>
        <w:spacing w:line="600" w:lineRule="exact"/>
        <w:ind w:left="1" w:firstLine="4533" w:firstLineChars="1889"/>
        <w:jc w:val="left"/>
        <w:rPr>
          <w:rFonts w:hint="eastAsia" w:ascii="宋体" w:hAnsi="宋体" w:eastAsia="宋体" w:cs="宋体"/>
          <w:bCs/>
          <w:sz w:val="24"/>
          <w:highlight w:val="none"/>
          <w:lang w:eastAsia="zh-CN"/>
        </w:rPr>
      </w:pPr>
      <w:r>
        <w:rPr>
          <w:rFonts w:hint="eastAsia" w:ascii="宋体" w:hAnsi="宋体" w:eastAsia="宋体" w:cs="宋体"/>
          <w:color w:val="000000"/>
          <w:sz w:val="24"/>
          <w:highlight w:val="none"/>
        </w:rPr>
        <w:t>日期：</w:t>
      </w: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sz w:val="22"/>
          <w:szCs w:val="22"/>
          <w:highlight w:val="none"/>
        </w:rPr>
        <w:sectPr>
          <w:type w:val="continuous"/>
          <w:pgSz w:w="11907" w:h="16840"/>
          <w:pgMar w:top="1440" w:right="1080" w:bottom="1440" w:left="1080" w:header="851" w:footer="992" w:gutter="0"/>
          <w:pgNumType w:fmt="decimal"/>
          <w:cols w:space="720" w:num="1"/>
          <w:docGrid w:linePitch="286" w:charSpace="0"/>
        </w:sectPr>
      </w:pPr>
      <w:r>
        <w:rPr>
          <w:rFonts w:hint="eastAsia" w:ascii="宋体" w:hAnsi="宋体" w:eastAsia="宋体" w:cs="宋体"/>
          <w:sz w:val="22"/>
          <w:szCs w:val="22"/>
          <w:highlight w:val="none"/>
          <w:vertAlign w:val="superscript"/>
        </w:rPr>
        <w:t>1</w:t>
      </w:r>
      <w:r>
        <w:rPr>
          <w:rFonts w:hint="eastAsia" w:ascii="宋体" w:hAnsi="宋体" w:eastAsia="宋体" w:cs="宋体"/>
          <w:sz w:val="22"/>
          <w:szCs w:val="22"/>
          <w:highlight w:val="none"/>
        </w:rPr>
        <w:t>从业人员、营业收入、资产总额填报上一年度数据，无上一年度数据的新成立企业可不填报。</w:t>
      </w:r>
    </w:p>
    <w:p>
      <w:pPr>
        <w:pStyle w:val="31"/>
        <w:tabs>
          <w:tab w:val="left" w:pos="0"/>
        </w:tabs>
        <w:spacing w:line="600" w:lineRule="auto"/>
        <w:ind w:left="0" w:leftChars="0" w:firstLine="0" w:firstLineChars="0"/>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供应商</w:t>
      </w:r>
      <w:r>
        <w:rPr>
          <w:rFonts w:hint="eastAsia" w:ascii="宋体" w:hAnsi="宋体" w:cs="宋体"/>
          <w:b/>
          <w:bCs/>
          <w:sz w:val="28"/>
          <w:szCs w:val="28"/>
          <w:highlight w:val="none"/>
        </w:rPr>
        <w:t>缴纳税收和社会保障资金等证明告知承诺书</w:t>
      </w:r>
    </w:p>
    <w:p>
      <w:pPr>
        <w:spacing w:line="640" w:lineRule="exact"/>
        <w:rPr>
          <w:rFonts w:hint="eastAsia" w:ascii="宋体" w:hAnsi="宋体"/>
          <w:sz w:val="28"/>
          <w:szCs w:val="28"/>
          <w:highlight w:val="none"/>
        </w:rPr>
      </w:pPr>
      <w:r>
        <w:rPr>
          <w:rFonts w:hint="eastAsia" w:ascii="宋体" w:hAnsi="宋体"/>
          <w:sz w:val="28"/>
          <w:szCs w:val="28"/>
          <w:highlight w:val="none"/>
        </w:rPr>
        <w:t>本公司郑重承诺:</w:t>
      </w:r>
    </w:p>
    <w:p>
      <w:pPr>
        <w:spacing w:line="640" w:lineRule="exact"/>
        <w:ind w:firstLine="560" w:firstLineChars="200"/>
        <w:rPr>
          <w:rFonts w:hint="eastAsia" w:ascii="宋体" w:hAnsi="宋体"/>
          <w:sz w:val="28"/>
          <w:szCs w:val="28"/>
          <w:highlight w:val="none"/>
        </w:rPr>
      </w:pPr>
      <w:r>
        <w:rPr>
          <w:rFonts w:hint="eastAsia" w:ascii="宋体" w:hAnsi="宋体"/>
          <w:sz w:val="28"/>
          <w:szCs w:val="28"/>
          <w:highlight w:val="none"/>
        </w:rPr>
        <w:t>1.承诺具有良好的商业信誉和健全的财务会计制度;</w:t>
      </w:r>
    </w:p>
    <w:p>
      <w:pPr>
        <w:spacing w:line="640" w:lineRule="exact"/>
        <w:ind w:firstLine="560" w:firstLineChars="200"/>
        <w:rPr>
          <w:rFonts w:hint="eastAsia" w:ascii="宋体" w:hAnsi="宋体"/>
          <w:sz w:val="28"/>
          <w:szCs w:val="28"/>
          <w:highlight w:val="none"/>
        </w:rPr>
      </w:pPr>
      <w:r>
        <w:rPr>
          <w:rFonts w:hint="eastAsia" w:ascii="宋体" w:hAnsi="宋体"/>
          <w:sz w:val="28"/>
          <w:szCs w:val="28"/>
          <w:highlight w:val="none"/>
        </w:rPr>
        <w:t>2.承诺依法缴纳税收和社会保障资金的良好记录;</w:t>
      </w:r>
    </w:p>
    <w:p>
      <w:pPr>
        <w:spacing w:line="640" w:lineRule="exact"/>
        <w:ind w:firstLine="560" w:firstLineChars="200"/>
        <w:rPr>
          <w:rFonts w:hint="eastAsia" w:ascii="宋体" w:hAnsi="宋体"/>
          <w:sz w:val="28"/>
          <w:szCs w:val="28"/>
          <w:highlight w:val="none"/>
        </w:rPr>
      </w:pPr>
      <w:r>
        <w:rPr>
          <w:rFonts w:hint="eastAsia" w:ascii="宋体" w:hAnsi="宋体"/>
          <w:sz w:val="28"/>
          <w:szCs w:val="28"/>
          <w:highlight w:val="none"/>
        </w:rPr>
        <w:t>3.承诺参加政府采购活动前三年内，在经营活动中没有重大违法记录。</w:t>
      </w:r>
    </w:p>
    <w:p>
      <w:pPr>
        <w:spacing w:line="640" w:lineRule="exact"/>
        <w:ind w:firstLine="560" w:firstLineChars="200"/>
        <w:rPr>
          <w:rFonts w:hint="eastAsia" w:ascii="宋体" w:hAnsi="宋体"/>
          <w:sz w:val="28"/>
          <w:szCs w:val="28"/>
          <w:highlight w:val="none"/>
        </w:rPr>
      </w:pPr>
      <w:r>
        <w:rPr>
          <w:rFonts w:hint="eastAsia" w:ascii="宋体" w:hAnsi="宋体"/>
          <w:sz w:val="28"/>
          <w:szCs w:val="28"/>
          <w:highlight w:val="none"/>
        </w:rPr>
        <w:t>我公司对上述承诺内容的真实性负责，如虚假承诺，将依法承担相应法律责任。</w:t>
      </w:r>
    </w:p>
    <w:p>
      <w:pPr>
        <w:spacing w:line="640" w:lineRule="exact"/>
        <w:rPr>
          <w:rFonts w:ascii="宋体" w:hAnsi="宋体"/>
          <w:sz w:val="28"/>
          <w:szCs w:val="28"/>
          <w:highlight w:val="none"/>
        </w:rPr>
      </w:pPr>
    </w:p>
    <w:p>
      <w:pPr>
        <w:spacing w:line="640" w:lineRule="exact"/>
        <w:ind w:right="1080"/>
        <w:jc w:val="right"/>
        <w:rPr>
          <w:rFonts w:hint="eastAsia" w:ascii="宋体" w:hAnsi="宋体"/>
          <w:sz w:val="28"/>
          <w:szCs w:val="28"/>
          <w:highlight w:val="none"/>
        </w:rPr>
      </w:pPr>
      <w:r>
        <w:rPr>
          <w:rFonts w:hint="eastAsia" w:ascii="宋体" w:hAnsi="宋体"/>
          <w:sz w:val="28"/>
          <w:szCs w:val="28"/>
          <w:highlight w:val="none"/>
        </w:rPr>
        <w:t>供应商（加盖单位公章）:</w:t>
      </w:r>
    </w:p>
    <w:p>
      <w:pPr>
        <w:widowControl/>
        <w:jc w:val="left"/>
        <w:rPr>
          <w:rFonts w:hint="eastAsia"/>
          <w:sz w:val="28"/>
          <w:szCs w:val="28"/>
          <w:highlight w:val="none"/>
        </w:rPr>
      </w:pPr>
    </w:p>
    <w:p>
      <w:pPr>
        <w:spacing w:line="640" w:lineRule="exact"/>
        <w:jc w:val="right"/>
        <w:rPr>
          <w:rFonts w:hint="eastAsia" w:ascii="宋体" w:hAnsi="宋体"/>
          <w:sz w:val="28"/>
          <w:szCs w:val="28"/>
          <w:highlight w:val="none"/>
        </w:rPr>
      </w:pPr>
      <w:r>
        <w:rPr>
          <w:rFonts w:hint="eastAsia" w:ascii="宋体" w:hAnsi="宋体"/>
          <w:sz w:val="28"/>
          <w:szCs w:val="28"/>
          <w:highlight w:val="none"/>
        </w:rPr>
        <w:t>法定代表人或其委托人签字： _____________</w:t>
      </w:r>
    </w:p>
    <w:p>
      <w:pPr>
        <w:jc w:val="right"/>
        <w:rPr>
          <w:rFonts w:hint="eastAsia" w:ascii="宋体" w:hAnsi="宋体"/>
          <w:sz w:val="28"/>
          <w:szCs w:val="28"/>
          <w:highlight w:val="none"/>
        </w:rPr>
      </w:pPr>
    </w:p>
    <w:p>
      <w:pPr>
        <w:jc w:val="right"/>
        <w:rPr>
          <w:rFonts w:hint="eastAsia" w:ascii="宋体" w:hAnsi="宋体"/>
          <w:sz w:val="28"/>
          <w:szCs w:val="28"/>
          <w:highlight w:val="none"/>
        </w:rPr>
      </w:pPr>
    </w:p>
    <w:p>
      <w:pPr>
        <w:jc w:val="right"/>
        <w:rPr>
          <w:highlight w:val="none"/>
        </w:rPr>
      </w:pPr>
      <w:r>
        <w:rPr>
          <w:rFonts w:hint="eastAsia" w:ascii="宋体" w:hAnsi="宋体"/>
          <w:sz w:val="28"/>
          <w:szCs w:val="28"/>
          <w:highlight w:val="none"/>
        </w:rPr>
        <w:t>年  月  日</w:t>
      </w:r>
    </w:p>
    <w:p>
      <w:pPr>
        <w:pStyle w:val="2"/>
        <w:rPr>
          <w:rFonts w:hint="eastAsia"/>
          <w:highlight w:val="none"/>
        </w:rPr>
        <w:sectPr>
          <w:pgSz w:w="11907" w:h="16840"/>
          <w:pgMar w:top="1440" w:right="1080" w:bottom="1440" w:left="1080" w:header="851" w:footer="992" w:gutter="0"/>
          <w:pgNumType w:fmt="decimal"/>
          <w:cols w:space="720" w:num="1"/>
          <w:docGrid w:linePitch="286" w:charSpace="0"/>
        </w:sectPr>
      </w:pPr>
    </w:p>
    <w:p>
      <w:pPr>
        <w:pStyle w:val="4"/>
        <w:jc w:val="left"/>
        <w:rPr>
          <w:rFonts w:hint="eastAsia" w:ascii="宋体" w:hAnsi="宋体" w:eastAsia="宋体" w:cs="宋体"/>
          <w:color w:val="000000"/>
          <w:highlight w:val="none"/>
          <w:lang w:eastAsia="zh-CN"/>
        </w:rPr>
      </w:pPr>
      <w:bookmarkStart w:id="492" w:name="_Toc63332489"/>
      <w:bookmarkStart w:id="493" w:name="_Toc63332569"/>
      <w:r>
        <w:rPr>
          <w:rFonts w:hint="eastAsia" w:ascii="宋体" w:hAnsi="宋体" w:eastAsia="宋体" w:cs="宋体"/>
          <w:color w:val="000000"/>
          <w:highlight w:val="none"/>
        </w:rPr>
        <w:t>附件</w:t>
      </w:r>
      <w:r>
        <w:rPr>
          <w:rFonts w:hint="eastAsia" w:ascii="宋体" w:hAnsi="宋体" w:eastAsia="宋体" w:cs="宋体"/>
          <w:color w:val="000000"/>
          <w:highlight w:val="none"/>
          <w:lang w:eastAsia="zh-CN"/>
        </w:rPr>
        <w:t>六</w:t>
      </w:r>
      <w:r>
        <w:rPr>
          <w:rFonts w:hint="eastAsia" w:ascii="宋体" w:hAnsi="宋体" w:eastAsia="宋体" w:cs="宋体"/>
          <w:color w:val="000000"/>
          <w:highlight w:val="none"/>
        </w:rPr>
        <w:t>：</w:t>
      </w:r>
      <w:bookmarkEnd w:id="492"/>
      <w:bookmarkEnd w:id="493"/>
    </w:p>
    <w:p>
      <w:pPr>
        <w:pStyle w:val="4"/>
        <w:jc w:val="center"/>
        <w:rPr>
          <w:rFonts w:hint="eastAsia" w:ascii="宋体" w:hAnsi="宋体" w:eastAsia="宋体" w:cs="宋体"/>
          <w:color w:val="000000"/>
          <w:highlight w:val="none"/>
        </w:rPr>
      </w:pPr>
      <w:bookmarkStart w:id="494" w:name="_Toc63332490"/>
      <w:bookmarkStart w:id="495" w:name="_Toc63332570"/>
      <w:r>
        <w:rPr>
          <w:rFonts w:hint="eastAsia" w:ascii="宋体" w:hAnsi="宋体" w:eastAsia="宋体" w:cs="宋体"/>
          <w:color w:val="000000"/>
          <w:highlight w:val="none"/>
        </w:rPr>
        <w:t>残疾人福利性单位声明函</w:t>
      </w:r>
      <w:bookmarkEnd w:id="494"/>
      <w:bookmarkEnd w:id="495"/>
    </w:p>
    <w:p>
      <w:pPr>
        <w:spacing w:line="588" w:lineRule="exact"/>
        <w:rPr>
          <w:rFonts w:hint="eastAsia" w:ascii="宋体" w:hAnsi="宋体" w:eastAsia="宋体" w:cs="宋体"/>
          <w:spacing w:val="6"/>
          <w:sz w:val="24"/>
          <w:highlight w:val="none"/>
        </w:rPr>
      </w:pPr>
    </w:p>
    <w:p>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本单位郑重声明，根据《财政部民政部中国残疾人联合会关于促进残疾人就业政府采购政策的通知》（财库</w:t>
      </w:r>
      <w:r>
        <w:rPr>
          <w:rFonts w:hint="eastAsia" w:ascii="宋体" w:hAnsi="宋体" w:eastAsia="宋体" w:cs="宋体"/>
          <w:sz w:val="24"/>
          <w:highlight w:val="none"/>
        </w:rPr>
        <w:t>〔2017〕141</w:t>
      </w:r>
      <w:r>
        <w:rPr>
          <w:rFonts w:hint="eastAsia" w:ascii="宋体" w:hAnsi="宋体" w:eastAsia="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pPr>
        <w:widowControl/>
        <w:jc w:val="left"/>
        <w:rPr>
          <w:rFonts w:hint="eastAsia" w:ascii="宋体" w:hAnsi="宋体" w:eastAsia="宋体" w:cs="宋体"/>
          <w:spacing w:val="6"/>
          <w:sz w:val="24"/>
          <w:highlight w:val="none"/>
        </w:rPr>
      </w:pPr>
      <w:r>
        <w:rPr>
          <w:rFonts w:hint="eastAsia" w:ascii="宋体" w:hAnsi="宋体" w:eastAsia="宋体" w:cs="宋体"/>
          <w:spacing w:val="6"/>
          <w:sz w:val="24"/>
          <w:highlight w:val="none"/>
        </w:rPr>
        <w:br w:type="page"/>
      </w:r>
    </w:p>
    <w:p>
      <w:pPr>
        <w:spacing w:line="500" w:lineRule="exact"/>
        <w:outlineLvl w:val="1"/>
        <w:rPr>
          <w:rFonts w:hint="eastAsia" w:ascii="宋体" w:hAnsi="宋体" w:eastAsia="宋体" w:cs="宋体"/>
          <w:b/>
          <w:sz w:val="28"/>
          <w:szCs w:val="22"/>
          <w:highlight w:val="none"/>
        </w:rPr>
      </w:pPr>
      <w:bookmarkStart w:id="496" w:name="_Toc63332571"/>
      <w:bookmarkStart w:id="497" w:name="_Toc63332491"/>
      <w:r>
        <w:rPr>
          <w:rFonts w:hint="eastAsia" w:ascii="宋体" w:hAnsi="宋体" w:eastAsia="宋体" w:cs="宋体"/>
          <w:b/>
          <w:sz w:val="28"/>
          <w:szCs w:val="22"/>
          <w:highlight w:val="none"/>
        </w:rPr>
        <w:t>附件</w:t>
      </w:r>
      <w:r>
        <w:rPr>
          <w:rFonts w:hint="eastAsia" w:ascii="宋体" w:hAnsi="宋体" w:eastAsia="宋体" w:cs="宋体"/>
          <w:b/>
          <w:sz w:val="28"/>
          <w:szCs w:val="22"/>
          <w:highlight w:val="none"/>
          <w:lang w:eastAsia="zh-CN"/>
        </w:rPr>
        <w:t>七</w:t>
      </w:r>
      <w:r>
        <w:rPr>
          <w:rFonts w:hint="eastAsia" w:ascii="宋体" w:hAnsi="宋体" w:eastAsia="宋体" w:cs="宋体"/>
          <w:b/>
          <w:sz w:val="28"/>
          <w:szCs w:val="22"/>
          <w:highlight w:val="none"/>
        </w:rPr>
        <w:t>：监狱企业证明文件</w:t>
      </w:r>
      <w:bookmarkEnd w:id="496"/>
      <w:bookmarkEnd w:id="497"/>
    </w:p>
    <w:p>
      <w:pPr>
        <w:spacing w:before="53"/>
        <w:ind w:right="3"/>
        <w:jc w:val="center"/>
        <w:rPr>
          <w:rFonts w:hint="eastAsia" w:ascii="宋体" w:hAnsi="宋体" w:eastAsia="宋体" w:cs="宋体"/>
          <w:sz w:val="28"/>
          <w:szCs w:val="28"/>
          <w:highlight w:val="none"/>
        </w:rPr>
      </w:pPr>
    </w:p>
    <w:tbl>
      <w:tblPr>
        <w:tblStyle w:val="49"/>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2" w:hRule="atLeast"/>
          <w:jc w:val="center"/>
        </w:trPr>
        <w:tc>
          <w:tcPr>
            <w:tcW w:w="9707" w:type="dxa"/>
          </w:tcPr>
          <w:p>
            <w:pPr>
              <w:spacing w:line="360" w:lineRule="exact"/>
              <w:rPr>
                <w:rFonts w:hint="eastAsia" w:ascii="宋体" w:hAnsi="宋体" w:eastAsia="宋体" w:cs="宋体"/>
                <w:sz w:val="24"/>
                <w:highlight w:val="none"/>
              </w:rPr>
            </w:pPr>
            <w:r>
              <w:rPr>
                <w:rFonts w:hint="eastAsia" w:ascii="宋体" w:hAnsi="宋体" w:eastAsia="宋体" w:cs="宋体"/>
                <w:sz w:val="24"/>
                <w:highlight w:val="none"/>
              </w:rPr>
              <w:t>由省级以上监狱管理局、戒毒管理局(含新疆生产建设兵团)出具的属于监狱企业的证明文件</w:t>
            </w:r>
          </w:p>
          <w:p>
            <w:pPr>
              <w:spacing w:line="360" w:lineRule="exact"/>
              <w:rPr>
                <w:rFonts w:hint="eastAsia" w:ascii="宋体" w:hAnsi="宋体" w:eastAsia="宋体" w:cs="宋体"/>
                <w:sz w:val="24"/>
                <w:highlight w:val="none"/>
              </w:rPr>
            </w:pPr>
          </w:p>
          <w:p>
            <w:pPr>
              <w:spacing w:line="360" w:lineRule="exact"/>
              <w:rPr>
                <w:rFonts w:hint="eastAsia" w:ascii="宋体" w:hAnsi="宋体" w:eastAsia="宋体" w:cs="宋体"/>
                <w:sz w:val="24"/>
                <w:highlight w:val="none"/>
              </w:rPr>
            </w:pPr>
          </w:p>
          <w:p>
            <w:pPr>
              <w:spacing w:line="360" w:lineRule="exact"/>
              <w:rPr>
                <w:rFonts w:hint="eastAsia" w:ascii="宋体" w:hAnsi="宋体" w:eastAsia="宋体" w:cs="宋体"/>
                <w:szCs w:val="21"/>
                <w:highlight w:val="none"/>
              </w:rPr>
            </w:pPr>
          </w:p>
        </w:tc>
      </w:tr>
    </w:tbl>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sz w:val="24"/>
          <w:szCs w:val="22"/>
          <w:highlight w:val="none"/>
        </w:rPr>
      </w:pPr>
    </w:p>
    <w:p>
      <w:pPr>
        <w:pStyle w:val="304"/>
        <w:rPr>
          <w:rFonts w:hint="eastAsia" w:ascii="宋体" w:hAnsi="宋体" w:eastAsia="宋体" w:cs="宋体"/>
          <w:b/>
          <w:sz w:val="28"/>
          <w:szCs w:val="28"/>
          <w:highlight w:val="none"/>
        </w:rPr>
      </w:pPr>
    </w:p>
    <w:p>
      <w:pPr>
        <w:pStyle w:val="31"/>
        <w:rPr>
          <w:rFonts w:hint="eastAsia" w:ascii="宋体" w:hAnsi="宋体" w:eastAsia="宋体" w:cs="宋体"/>
          <w:highlight w:val="none"/>
        </w:rPr>
      </w:pPr>
      <w:r>
        <w:rPr>
          <w:rFonts w:hint="eastAsia" w:ascii="宋体" w:hAnsi="宋体" w:eastAsia="宋体" w:cs="宋体"/>
          <w:b/>
          <w:sz w:val="28"/>
          <w:szCs w:val="22"/>
          <w:highlight w:val="none"/>
        </w:rPr>
        <w:br w:type="page"/>
      </w:r>
    </w:p>
    <w:p>
      <w:pPr>
        <w:pStyle w:val="304"/>
        <w:ind w:firstLine="0"/>
        <w:rPr>
          <w:rFonts w:hint="eastAsia" w:ascii="宋体" w:hAnsi="宋体" w:eastAsia="宋体" w:cs="宋体"/>
          <w:b/>
          <w:sz w:val="28"/>
          <w:szCs w:val="28"/>
          <w:highlight w:val="none"/>
        </w:rPr>
      </w:pPr>
      <w:r>
        <w:rPr>
          <w:rFonts w:hint="eastAsia" w:ascii="宋体" w:hAnsi="宋体" w:eastAsia="宋体" w:cs="宋体"/>
          <w:b/>
          <w:sz w:val="28"/>
          <w:szCs w:val="22"/>
          <w:highlight w:val="none"/>
        </w:rPr>
        <w:t>附件</w:t>
      </w:r>
      <w:bookmarkStart w:id="498" w:name="_Toc512676864"/>
      <w:bookmarkStart w:id="499" w:name="_Toc513034940"/>
      <w:bookmarkStart w:id="500" w:name="_Toc512345455"/>
      <w:r>
        <w:rPr>
          <w:rFonts w:hint="eastAsia" w:ascii="宋体" w:hAnsi="宋体" w:eastAsia="宋体" w:cs="宋体"/>
          <w:b/>
          <w:sz w:val="28"/>
          <w:szCs w:val="22"/>
          <w:highlight w:val="none"/>
          <w:lang w:eastAsia="zh-CN"/>
        </w:rPr>
        <w:t>八</w:t>
      </w:r>
      <w:r>
        <w:rPr>
          <w:rFonts w:hint="eastAsia" w:ascii="宋体" w:hAnsi="宋体" w:eastAsia="宋体" w:cs="宋体"/>
          <w:b/>
          <w:sz w:val="28"/>
          <w:szCs w:val="22"/>
          <w:highlight w:val="none"/>
        </w:rPr>
        <w:t>、</w:t>
      </w:r>
      <w:r>
        <w:rPr>
          <w:rFonts w:hint="eastAsia" w:ascii="宋体" w:hAnsi="宋体" w:eastAsia="宋体" w:cs="宋体"/>
          <w:b/>
          <w:sz w:val="28"/>
          <w:szCs w:val="28"/>
          <w:highlight w:val="none"/>
        </w:rPr>
        <w:t>节能（强制类产品）标志产品加分明细表（如有）</w:t>
      </w:r>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49"/>
        <w:tblW w:w="9616" w:type="dxa"/>
        <w:tblInd w:w="98" w:type="dxa"/>
        <w:tblLayout w:type="fixed"/>
        <w:tblCellMar>
          <w:top w:w="0" w:type="dxa"/>
          <w:left w:w="0" w:type="dxa"/>
          <w:bottom w:w="0" w:type="dxa"/>
          <w:right w:w="0" w:type="dxa"/>
        </w:tblCellMar>
      </w:tblPr>
      <w:tblGrid>
        <w:gridCol w:w="509"/>
        <w:gridCol w:w="510"/>
        <w:gridCol w:w="1234"/>
        <w:gridCol w:w="957"/>
        <w:gridCol w:w="1120"/>
        <w:gridCol w:w="1170"/>
        <w:gridCol w:w="1432"/>
        <w:gridCol w:w="1637"/>
        <w:gridCol w:w="1047"/>
      </w:tblGrid>
      <w:tr>
        <w:tblPrEx>
          <w:tblCellMar>
            <w:top w:w="0" w:type="dxa"/>
            <w:left w:w="0" w:type="dxa"/>
            <w:bottom w:w="0" w:type="dxa"/>
            <w:right w:w="0" w:type="dxa"/>
          </w:tblCellMar>
        </w:tblPrEx>
        <w:trPr>
          <w:trHeight w:val="327" w:hRule="exact"/>
        </w:trPr>
        <w:tc>
          <w:tcPr>
            <w:tcW w:w="1019" w:type="dxa"/>
            <w:gridSpan w:val="2"/>
            <w:tcBorders>
              <w:top w:val="single" w:color="000000" w:sz="4" w:space="0"/>
              <w:left w:val="single" w:color="000000" w:sz="4" w:space="0"/>
              <w:bottom w:val="single" w:color="000000" w:sz="4" w:space="0"/>
              <w:right w:val="single" w:color="000000" w:sz="4" w:space="0"/>
            </w:tcBorders>
          </w:tcPr>
          <w:p>
            <w:pPr>
              <w:pStyle w:val="327"/>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34" w:type="dxa"/>
            <w:tcBorders>
              <w:top w:val="single" w:color="000000" w:sz="4" w:space="0"/>
              <w:left w:val="single" w:color="000000" w:sz="4" w:space="0"/>
              <w:bottom w:val="single" w:color="000000" w:sz="4" w:space="0"/>
              <w:right w:val="single" w:color="000000" w:sz="4" w:space="0"/>
            </w:tcBorders>
          </w:tcPr>
          <w:p>
            <w:pPr>
              <w:pStyle w:val="327"/>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57" w:type="dxa"/>
            <w:tcBorders>
              <w:top w:val="single" w:color="000000" w:sz="4" w:space="0"/>
              <w:left w:val="single" w:color="000000" w:sz="4" w:space="0"/>
              <w:bottom w:val="single" w:color="000000" w:sz="4" w:space="0"/>
              <w:right w:val="single" w:color="000000" w:sz="4" w:space="0"/>
            </w:tcBorders>
          </w:tcPr>
          <w:p>
            <w:pPr>
              <w:pStyle w:val="327"/>
              <w:spacing w:before="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20" w:type="dxa"/>
            <w:tcBorders>
              <w:top w:val="single" w:color="000000" w:sz="4" w:space="0"/>
              <w:left w:val="single" w:color="000000" w:sz="4" w:space="0"/>
              <w:bottom w:val="single" w:color="000000" w:sz="4" w:space="0"/>
              <w:right w:val="single" w:color="000000" w:sz="4" w:space="0"/>
            </w:tcBorders>
          </w:tcPr>
          <w:p>
            <w:pPr>
              <w:pStyle w:val="327"/>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70" w:type="dxa"/>
            <w:tcBorders>
              <w:top w:val="single" w:color="000000" w:sz="4" w:space="0"/>
              <w:left w:val="single" w:color="000000" w:sz="4" w:space="0"/>
              <w:bottom w:val="single" w:color="000000" w:sz="4" w:space="0"/>
              <w:right w:val="single" w:color="000000" w:sz="4" w:space="0"/>
            </w:tcBorders>
          </w:tcPr>
          <w:p>
            <w:pPr>
              <w:pStyle w:val="327"/>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32" w:type="dxa"/>
            <w:tcBorders>
              <w:top w:val="single" w:color="000000" w:sz="4" w:space="0"/>
              <w:left w:val="single" w:color="000000" w:sz="4" w:space="0"/>
              <w:bottom w:val="single" w:color="000000" w:sz="4" w:space="0"/>
              <w:right w:val="single" w:color="000000" w:sz="4" w:space="0"/>
            </w:tcBorders>
          </w:tcPr>
          <w:p>
            <w:pPr>
              <w:pStyle w:val="327"/>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37" w:type="dxa"/>
            <w:tcBorders>
              <w:top w:val="single" w:color="000000" w:sz="4" w:space="0"/>
              <w:left w:val="single" w:color="000000" w:sz="4" w:space="0"/>
              <w:bottom w:val="single" w:color="000000" w:sz="4" w:space="0"/>
              <w:right w:val="single" w:color="000000" w:sz="4" w:space="0"/>
            </w:tcBorders>
          </w:tcPr>
          <w:p>
            <w:pPr>
              <w:pStyle w:val="327"/>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47" w:type="dxa"/>
            <w:tcBorders>
              <w:top w:val="single" w:color="000000" w:sz="4" w:space="0"/>
              <w:left w:val="single" w:color="000000" w:sz="4" w:space="0"/>
              <w:bottom w:val="single" w:color="000000" w:sz="4" w:space="0"/>
              <w:right w:val="single" w:color="000000" w:sz="4" w:space="0"/>
            </w:tcBorders>
          </w:tcPr>
          <w:p>
            <w:pPr>
              <w:pStyle w:val="327"/>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CellMar>
            <w:top w:w="0" w:type="dxa"/>
            <w:left w:w="0" w:type="dxa"/>
            <w:bottom w:w="0" w:type="dxa"/>
            <w:right w:w="0" w:type="dxa"/>
          </w:tblCellMar>
        </w:tblPrEx>
        <w:trPr>
          <w:trHeight w:val="933" w:hRule="exact"/>
        </w:trPr>
        <w:tc>
          <w:tcPr>
            <w:tcW w:w="509"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157"/>
              <w:rPr>
                <w:rFonts w:hint="eastAsia" w:ascii="宋体" w:hAnsi="宋体" w:eastAsia="宋体" w:cs="宋体"/>
                <w:color w:val="000000"/>
                <w:szCs w:val="21"/>
                <w:highlight w:val="none"/>
                <w:lang w:eastAsia="zh-CN"/>
              </w:rPr>
            </w:pPr>
          </w:p>
        </w:tc>
        <w:tc>
          <w:tcPr>
            <w:tcW w:w="510"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155" w:right="15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234"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22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957"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392" w:right="182"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20"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70"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32"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37"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47"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CellMar>
            <w:top w:w="0" w:type="dxa"/>
            <w:left w:w="0" w:type="dxa"/>
            <w:bottom w:w="0" w:type="dxa"/>
            <w:right w:w="0" w:type="dxa"/>
          </w:tblCellMar>
        </w:tblPrEx>
        <w:trPr>
          <w:trHeight w:val="327" w:hRule="exact"/>
        </w:trPr>
        <w:tc>
          <w:tcPr>
            <w:tcW w:w="509" w:type="dxa"/>
            <w:vMerge w:val="restart"/>
            <w:tcBorders>
              <w:top w:val="single" w:color="000000" w:sz="4" w:space="0"/>
              <w:left w:val="single" w:color="000000" w:sz="4" w:space="0"/>
              <w:bottom w:val="single" w:color="000000" w:sz="4" w:space="0"/>
              <w:right w:val="single" w:color="000000" w:sz="4" w:space="0"/>
            </w:tcBorders>
          </w:tcPr>
          <w:p>
            <w:pPr>
              <w:pStyle w:val="327"/>
              <w:spacing w:before="9" w:line="170" w:lineRule="exact"/>
              <w:rPr>
                <w:rFonts w:hint="eastAsia" w:ascii="宋体" w:hAnsi="宋体" w:eastAsia="宋体" w:cs="宋体"/>
                <w:color w:val="000000"/>
                <w:sz w:val="17"/>
                <w:szCs w:val="17"/>
                <w:highlight w:val="none"/>
              </w:rPr>
            </w:pPr>
          </w:p>
          <w:p>
            <w:pPr>
              <w:pStyle w:val="327"/>
              <w:spacing w:line="200" w:lineRule="exact"/>
              <w:rPr>
                <w:rFonts w:hint="eastAsia" w:ascii="宋体" w:hAnsi="宋体" w:eastAsia="宋体" w:cs="宋体"/>
                <w:color w:val="000000"/>
                <w:sz w:val="20"/>
                <w:highlight w:val="none"/>
              </w:rPr>
            </w:pPr>
          </w:p>
          <w:p>
            <w:pPr>
              <w:pStyle w:val="327"/>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9"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restart"/>
            <w:tcBorders>
              <w:top w:val="single" w:color="000000" w:sz="4" w:space="0"/>
              <w:left w:val="single" w:color="000000" w:sz="4" w:space="0"/>
              <w:bottom w:val="single" w:color="000000" w:sz="4" w:space="0"/>
              <w:right w:val="single" w:color="000000" w:sz="4" w:space="0"/>
            </w:tcBorders>
          </w:tcPr>
          <w:p>
            <w:pPr>
              <w:pStyle w:val="327"/>
              <w:spacing w:before="6" w:line="170" w:lineRule="exact"/>
              <w:rPr>
                <w:rFonts w:hint="eastAsia" w:ascii="宋体" w:hAnsi="宋体" w:eastAsia="宋体" w:cs="宋体"/>
                <w:color w:val="000000"/>
                <w:sz w:val="17"/>
                <w:szCs w:val="17"/>
                <w:highlight w:val="none"/>
              </w:rPr>
            </w:pPr>
          </w:p>
          <w:p>
            <w:pPr>
              <w:pStyle w:val="327"/>
              <w:spacing w:line="200" w:lineRule="exact"/>
              <w:rPr>
                <w:rFonts w:hint="eastAsia" w:ascii="宋体" w:hAnsi="宋体" w:eastAsia="宋体" w:cs="宋体"/>
                <w:color w:val="000000"/>
                <w:sz w:val="20"/>
                <w:highlight w:val="none"/>
              </w:rPr>
            </w:pPr>
          </w:p>
          <w:p>
            <w:pPr>
              <w:pStyle w:val="327"/>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27" w:hRule="exact"/>
        </w:trPr>
        <w:tc>
          <w:tcPr>
            <w:tcW w:w="50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3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5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3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1"/>
        <w:spacing w:line="460" w:lineRule="exact"/>
        <w:rPr>
          <w:rFonts w:hint="eastAsia" w:ascii="宋体" w:hAnsi="宋体" w:eastAsia="宋体" w:cs="宋体"/>
          <w:b/>
          <w:sz w:val="28"/>
          <w:szCs w:val="28"/>
          <w:highlight w:val="none"/>
        </w:rPr>
      </w:pPr>
    </w:p>
    <w:p>
      <w:pPr>
        <w:pStyle w:val="304"/>
        <w:ind w:firstLine="0"/>
        <w:rPr>
          <w:rFonts w:hint="eastAsia" w:ascii="宋体" w:hAnsi="宋体" w:eastAsia="宋体" w:cs="宋体"/>
          <w:b/>
          <w:sz w:val="28"/>
          <w:szCs w:val="28"/>
          <w:highlight w:val="none"/>
        </w:rPr>
      </w:pPr>
      <w:r>
        <w:rPr>
          <w:rFonts w:hint="eastAsia" w:ascii="宋体" w:hAnsi="宋体" w:eastAsia="宋体" w:cs="宋体"/>
          <w:b/>
          <w:sz w:val="28"/>
          <w:szCs w:val="22"/>
          <w:highlight w:val="none"/>
        </w:rPr>
        <w:br w:type="page"/>
      </w:r>
      <w:r>
        <w:rPr>
          <w:rFonts w:hint="eastAsia" w:ascii="宋体" w:hAnsi="宋体" w:eastAsia="宋体" w:cs="宋体"/>
          <w:b/>
          <w:sz w:val="28"/>
          <w:szCs w:val="28"/>
          <w:highlight w:val="none"/>
        </w:rPr>
        <w:t>节能（强制类产品）产品证明文件</w:t>
      </w:r>
      <w:bookmarkEnd w:id="498"/>
      <w:bookmarkEnd w:id="499"/>
      <w:bookmarkEnd w:id="500"/>
      <w:r>
        <w:rPr>
          <w:rFonts w:hint="eastAsia" w:ascii="宋体" w:hAnsi="宋体" w:eastAsia="宋体" w:cs="宋体"/>
          <w:b/>
          <w:sz w:val="28"/>
          <w:szCs w:val="28"/>
          <w:highlight w:val="none"/>
        </w:rPr>
        <w:t>（如有）</w:t>
      </w:r>
    </w:p>
    <w:tbl>
      <w:tblPr>
        <w:tblStyle w:val="4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widowControl/>
        <w:spacing w:line="360" w:lineRule="auto"/>
        <w:jc w:val="left"/>
        <w:rPr>
          <w:rFonts w:hint="eastAsia" w:ascii="宋体" w:hAnsi="宋体" w:eastAsia="宋体" w:cs="宋体"/>
          <w:sz w:val="24"/>
          <w:highlight w:val="none"/>
        </w:rPr>
      </w:pPr>
    </w:p>
    <w:p>
      <w:pPr>
        <w:ind w:firstLine="525" w:firstLineChars="250"/>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b/>
          <w:sz w:val="24"/>
          <w:highlight w:val="none"/>
        </w:rPr>
      </w:pPr>
    </w:p>
    <w:p>
      <w:pPr>
        <w:pStyle w:val="21"/>
        <w:spacing w:line="460" w:lineRule="exact"/>
        <w:outlineLvl w:val="1"/>
        <w:rPr>
          <w:rFonts w:hint="eastAsia" w:ascii="宋体" w:hAnsi="宋体" w:eastAsia="宋体" w:cs="宋体"/>
          <w:b/>
          <w:sz w:val="28"/>
          <w:szCs w:val="28"/>
          <w:highlight w:val="none"/>
        </w:rPr>
      </w:pPr>
      <w:bookmarkStart w:id="501" w:name="_Toc512345456"/>
      <w:bookmarkStart w:id="502" w:name="_Toc512676865"/>
      <w:bookmarkStart w:id="503" w:name="_Toc513034941"/>
      <w:r>
        <w:rPr>
          <w:rFonts w:hint="eastAsia" w:ascii="宋体" w:hAnsi="宋体" w:eastAsia="宋体" w:cs="宋体"/>
          <w:b/>
          <w:sz w:val="28"/>
          <w:szCs w:val="28"/>
          <w:highlight w:val="none"/>
        </w:rPr>
        <w:br w:type="page"/>
      </w:r>
      <w:bookmarkStart w:id="504" w:name="_Toc63332572"/>
      <w:bookmarkStart w:id="505" w:name="_Toc63332492"/>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九</w:t>
      </w:r>
      <w:r>
        <w:rPr>
          <w:rFonts w:hint="eastAsia" w:ascii="宋体" w:hAnsi="宋体" w:eastAsia="宋体" w:cs="宋体"/>
          <w:b/>
          <w:sz w:val="28"/>
          <w:szCs w:val="28"/>
          <w:highlight w:val="none"/>
        </w:rPr>
        <w:t>、节能（非强制类产品）标志产品加分明细表</w:t>
      </w:r>
      <w:bookmarkEnd w:id="501"/>
      <w:bookmarkEnd w:id="502"/>
      <w:bookmarkEnd w:id="503"/>
      <w:r>
        <w:rPr>
          <w:rFonts w:hint="eastAsia" w:ascii="宋体" w:hAnsi="宋体" w:eastAsia="宋体" w:cs="宋体"/>
          <w:b/>
          <w:sz w:val="28"/>
          <w:szCs w:val="28"/>
          <w:highlight w:val="none"/>
        </w:rPr>
        <w:t>（如有）</w:t>
      </w:r>
      <w:bookmarkEnd w:id="504"/>
      <w:bookmarkEnd w:id="505"/>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49"/>
        <w:tblW w:w="9523" w:type="dxa"/>
        <w:tblInd w:w="98" w:type="dxa"/>
        <w:tblLayout w:type="fixed"/>
        <w:tblCellMar>
          <w:top w:w="0" w:type="dxa"/>
          <w:left w:w="0" w:type="dxa"/>
          <w:bottom w:w="0" w:type="dxa"/>
          <w:right w:w="0" w:type="dxa"/>
        </w:tblCellMar>
      </w:tblPr>
      <w:tblGrid>
        <w:gridCol w:w="503"/>
        <w:gridCol w:w="506"/>
        <w:gridCol w:w="1222"/>
        <w:gridCol w:w="948"/>
        <w:gridCol w:w="1109"/>
        <w:gridCol w:w="1159"/>
        <w:gridCol w:w="1419"/>
        <w:gridCol w:w="1621"/>
        <w:gridCol w:w="1036"/>
      </w:tblGrid>
      <w:tr>
        <w:tblPrEx>
          <w:tblCellMar>
            <w:top w:w="0" w:type="dxa"/>
            <w:left w:w="0" w:type="dxa"/>
            <w:bottom w:w="0" w:type="dxa"/>
            <w:right w:w="0" w:type="dxa"/>
          </w:tblCellMar>
        </w:tblPrEx>
        <w:trPr>
          <w:trHeight w:val="370" w:hRule="exact"/>
        </w:trPr>
        <w:tc>
          <w:tcPr>
            <w:tcW w:w="1009" w:type="dxa"/>
            <w:gridSpan w:val="2"/>
            <w:tcBorders>
              <w:top w:val="single" w:color="000000" w:sz="4" w:space="0"/>
              <w:left w:val="single" w:color="000000" w:sz="4" w:space="0"/>
              <w:bottom w:val="single" w:color="000000" w:sz="4" w:space="0"/>
              <w:right w:val="single" w:color="000000" w:sz="4" w:space="0"/>
            </w:tcBorders>
          </w:tcPr>
          <w:p>
            <w:pPr>
              <w:pStyle w:val="327"/>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22" w:type="dxa"/>
            <w:tcBorders>
              <w:top w:val="single" w:color="000000" w:sz="4" w:space="0"/>
              <w:left w:val="single" w:color="000000" w:sz="4" w:space="0"/>
              <w:bottom w:val="single" w:color="000000" w:sz="4" w:space="0"/>
              <w:right w:val="single" w:color="000000" w:sz="4" w:space="0"/>
            </w:tcBorders>
          </w:tcPr>
          <w:p>
            <w:pPr>
              <w:pStyle w:val="327"/>
              <w:spacing w:before="7"/>
              <w:ind w:left="206"/>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948" w:type="dxa"/>
            <w:tcBorders>
              <w:top w:val="single" w:color="000000" w:sz="4" w:space="0"/>
              <w:left w:val="single" w:color="000000" w:sz="4" w:space="0"/>
              <w:bottom w:val="single" w:color="000000" w:sz="4" w:space="0"/>
              <w:right w:val="single" w:color="000000" w:sz="4" w:space="0"/>
            </w:tcBorders>
          </w:tcPr>
          <w:p>
            <w:pPr>
              <w:pStyle w:val="327"/>
              <w:spacing w:before="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09" w:type="dxa"/>
            <w:tcBorders>
              <w:top w:val="single" w:color="000000" w:sz="4" w:space="0"/>
              <w:left w:val="single" w:color="000000" w:sz="4" w:space="0"/>
              <w:bottom w:val="single" w:color="000000" w:sz="4" w:space="0"/>
              <w:right w:val="single" w:color="000000" w:sz="4" w:space="0"/>
            </w:tcBorders>
          </w:tcPr>
          <w:p>
            <w:pPr>
              <w:pStyle w:val="327"/>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59" w:type="dxa"/>
            <w:tcBorders>
              <w:top w:val="single" w:color="000000" w:sz="4" w:space="0"/>
              <w:left w:val="single" w:color="000000" w:sz="4" w:space="0"/>
              <w:bottom w:val="single" w:color="000000" w:sz="4" w:space="0"/>
              <w:right w:val="single" w:color="000000" w:sz="4" w:space="0"/>
            </w:tcBorders>
          </w:tcPr>
          <w:p>
            <w:pPr>
              <w:pStyle w:val="327"/>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19" w:type="dxa"/>
            <w:tcBorders>
              <w:top w:val="single" w:color="000000" w:sz="4" w:space="0"/>
              <w:left w:val="single" w:color="000000" w:sz="4" w:space="0"/>
              <w:bottom w:val="single" w:color="000000" w:sz="4" w:space="0"/>
              <w:right w:val="single" w:color="000000" w:sz="4" w:space="0"/>
            </w:tcBorders>
          </w:tcPr>
          <w:p>
            <w:pPr>
              <w:pStyle w:val="327"/>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21" w:type="dxa"/>
            <w:tcBorders>
              <w:top w:val="single" w:color="000000" w:sz="4" w:space="0"/>
              <w:left w:val="single" w:color="000000" w:sz="4" w:space="0"/>
              <w:bottom w:val="single" w:color="000000" w:sz="4" w:space="0"/>
              <w:right w:val="single" w:color="000000" w:sz="4" w:space="0"/>
            </w:tcBorders>
          </w:tcPr>
          <w:p>
            <w:pPr>
              <w:pStyle w:val="327"/>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36" w:type="dxa"/>
            <w:tcBorders>
              <w:top w:val="single" w:color="000000" w:sz="4" w:space="0"/>
              <w:left w:val="single" w:color="000000" w:sz="4" w:space="0"/>
              <w:bottom w:val="single" w:color="000000" w:sz="4" w:space="0"/>
              <w:right w:val="single" w:color="000000" w:sz="4" w:space="0"/>
            </w:tcBorders>
          </w:tcPr>
          <w:p>
            <w:pPr>
              <w:pStyle w:val="327"/>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CellMar>
            <w:top w:w="0" w:type="dxa"/>
            <w:left w:w="0" w:type="dxa"/>
            <w:bottom w:w="0" w:type="dxa"/>
            <w:right w:w="0" w:type="dxa"/>
          </w:tblCellMar>
        </w:tblPrEx>
        <w:trPr>
          <w:trHeight w:val="936" w:hRule="exact"/>
        </w:trPr>
        <w:tc>
          <w:tcPr>
            <w:tcW w:w="503"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157"/>
              <w:rPr>
                <w:rFonts w:hint="eastAsia" w:ascii="宋体" w:hAnsi="宋体" w:eastAsia="宋体" w:cs="宋体"/>
                <w:color w:val="000000"/>
                <w:szCs w:val="21"/>
                <w:highlight w:val="none"/>
                <w:lang w:eastAsia="zh-CN"/>
              </w:rPr>
            </w:pPr>
          </w:p>
        </w:tc>
        <w:tc>
          <w:tcPr>
            <w:tcW w:w="505"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155" w:right="15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222"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22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948"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392" w:right="182"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09"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59"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19"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21"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36"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CellMar>
            <w:top w:w="0" w:type="dxa"/>
            <w:left w:w="0" w:type="dxa"/>
            <w:bottom w:w="0" w:type="dxa"/>
            <w:right w:w="0" w:type="dxa"/>
          </w:tblCellMar>
        </w:tblPrEx>
        <w:trPr>
          <w:trHeight w:val="370" w:hRule="exact"/>
        </w:trPr>
        <w:tc>
          <w:tcPr>
            <w:tcW w:w="503" w:type="dxa"/>
            <w:vMerge w:val="restart"/>
            <w:tcBorders>
              <w:top w:val="single" w:color="000000" w:sz="4" w:space="0"/>
              <w:left w:val="single" w:color="000000" w:sz="4" w:space="0"/>
              <w:bottom w:val="single" w:color="000000" w:sz="4" w:space="0"/>
              <w:right w:val="single" w:color="000000" w:sz="4" w:space="0"/>
            </w:tcBorders>
          </w:tcPr>
          <w:p>
            <w:pPr>
              <w:pStyle w:val="327"/>
              <w:spacing w:before="9" w:line="170" w:lineRule="exact"/>
              <w:rPr>
                <w:rFonts w:hint="eastAsia" w:ascii="宋体" w:hAnsi="宋体" w:eastAsia="宋体" w:cs="宋体"/>
                <w:color w:val="000000"/>
                <w:sz w:val="17"/>
                <w:szCs w:val="17"/>
                <w:highlight w:val="none"/>
              </w:rPr>
            </w:pPr>
          </w:p>
          <w:p>
            <w:pPr>
              <w:pStyle w:val="327"/>
              <w:spacing w:line="200" w:lineRule="exact"/>
              <w:rPr>
                <w:rFonts w:hint="eastAsia" w:ascii="宋体" w:hAnsi="宋体" w:eastAsia="宋体" w:cs="宋体"/>
                <w:color w:val="000000"/>
                <w:sz w:val="20"/>
                <w:highlight w:val="none"/>
              </w:rPr>
            </w:pPr>
          </w:p>
          <w:p>
            <w:pPr>
              <w:pStyle w:val="327"/>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2"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restart"/>
            <w:tcBorders>
              <w:top w:val="single" w:color="000000" w:sz="4" w:space="0"/>
              <w:left w:val="single" w:color="000000" w:sz="4" w:space="0"/>
              <w:bottom w:val="single" w:color="000000" w:sz="4" w:space="0"/>
              <w:right w:val="single" w:color="000000" w:sz="4" w:space="0"/>
            </w:tcBorders>
          </w:tcPr>
          <w:p>
            <w:pPr>
              <w:pStyle w:val="327"/>
              <w:spacing w:before="6" w:line="170" w:lineRule="exact"/>
              <w:rPr>
                <w:rFonts w:hint="eastAsia" w:ascii="宋体" w:hAnsi="宋体" w:eastAsia="宋体" w:cs="宋体"/>
                <w:color w:val="000000"/>
                <w:sz w:val="17"/>
                <w:szCs w:val="17"/>
                <w:highlight w:val="none"/>
              </w:rPr>
            </w:pPr>
          </w:p>
          <w:p>
            <w:pPr>
              <w:pStyle w:val="327"/>
              <w:spacing w:line="200" w:lineRule="exact"/>
              <w:rPr>
                <w:rFonts w:hint="eastAsia" w:ascii="宋体" w:hAnsi="宋体" w:eastAsia="宋体" w:cs="宋体"/>
                <w:color w:val="000000"/>
                <w:sz w:val="20"/>
                <w:highlight w:val="none"/>
              </w:rPr>
            </w:pPr>
          </w:p>
          <w:p>
            <w:pPr>
              <w:pStyle w:val="327"/>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370" w:hRule="exact"/>
        </w:trPr>
        <w:tc>
          <w:tcPr>
            <w:tcW w:w="50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2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94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0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1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2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1"/>
        <w:spacing w:line="460" w:lineRule="exact"/>
        <w:outlineLvl w:val="1"/>
        <w:rPr>
          <w:rFonts w:hint="eastAsia" w:ascii="宋体" w:hAnsi="宋体" w:eastAsia="宋体" w:cs="宋体"/>
          <w:highlight w:val="none"/>
        </w:rPr>
      </w:pPr>
      <w:bookmarkStart w:id="506" w:name="_Toc512345457"/>
      <w:bookmarkStart w:id="507" w:name="_Toc512676866"/>
      <w:bookmarkStart w:id="508" w:name="_Toc513034942"/>
      <w:r>
        <w:rPr>
          <w:rFonts w:hint="eastAsia" w:ascii="宋体" w:hAnsi="宋体" w:eastAsia="宋体" w:cs="宋体"/>
          <w:b/>
          <w:sz w:val="28"/>
          <w:szCs w:val="28"/>
          <w:highlight w:val="none"/>
        </w:rPr>
        <w:br w:type="page"/>
      </w:r>
      <w:bookmarkStart w:id="509" w:name="_Toc63332493"/>
      <w:bookmarkStart w:id="510" w:name="_Toc63332573"/>
      <w:r>
        <w:rPr>
          <w:rFonts w:hint="eastAsia" w:ascii="宋体" w:hAnsi="宋体" w:eastAsia="宋体" w:cs="宋体"/>
          <w:b/>
          <w:sz w:val="28"/>
          <w:szCs w:val="28"/>
          <w:highlight w:val="none"/>
        </w:rPr>
        <w:t>节能（非强制类产品）产品证明文件</w:t>
      </w:r>
      <w:bookmarkEnd w:id="506"/>
      <w:bookmarkEnd w:id="507"/>
      <w:bookmarkEnd w:id="508"/>
      <w:r>
        <w:rPr>
          <w:rFonts w:hint="eastAsia" w:ascii="宋体" w:hAnsi="宋体" w:eastAsia="宋体" w:cs="宋体"/>
          <w:b/>
          <w:sz w:val="28"/>
          <w:szCs w:val="28"/>
          <w:highlight w:val="none"/>
        </w:rPr>
        <w:t>（如有）</w:t>
      </w:r>
      <w:bookmarkEnd w:id="509"/>
      <w:bookmarkEnd w:id="510"/>
    </w:p>
    <w:tbl>
      <w:tblPr>
        <w:tblStyle w:val="4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widowControl/>
        <w:spacing w:line="360" w:lineRule="auto"/>
        <w:jc w:val="left"/>
        <w:rPr>
          <w:rFonts w:hint="eastAsia" w:ascii="宋体" w:hAnsi="宋体" w:eastAsia="宋体" w:cs="宋体"/>
          <w:sz w:val="24"/>
          <w:highlight w:val="none"/>
        </w:rPr>
      </w:pPr>
    </w:p>
    <w:p>
      <w:pPr>
        <w:ind w:firstLine="525" w:firstLineChars="250"/>
        <w:rPr>
          <w:rFonts w:hint="eastAsia" w:ascii="宋体" w:hAnsi="宋体" w:eastAsia="宋体" w:cs="宋体"/>
          <w:szCs w:val="21"/>
          <w:highlight w:val="none"/>
        </w:rPr>
      </w:pPr>
    </w:p>
    <w:p>
      <w:pPr>
        <w:rPr>
          <w:rFonts w:hint="eastAsia" w:ascii="宋体" w:hAnsi="宋体" w:eastAsia="宋体" w:cs="宋体"/>
          <w:szCs w:val="21"/>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pStyle w:val="21"/>
        <w:spacing w:line="460" w:lineRule="exact"/>
        <w:rPr>
          <w:rFonts w:hint="eastAsia" w:ascii="宋体" w:hAnsi="宋体" w:eastAsia="宋体" w:cs="宋体"/>
          <w:b/>
          <w:sz w:val="28"/>
          <w:szCs w:val="28"/>
          <w:highlight w:val="none"/>
        </w:rPr>
      </w:pPr>
      <w:bookmarkStart w:id="511" w:name="_Toc512345458"/>
      <w:bookmarkStart w:id="512" w:name="_Toc512676867"/>
      <w:bookmarkStart w:id="513" w:name="_Toc513034943"/>
    </w:p>
    <w:p>
      <w:pPr>
        <w:pStyle w:val="21"/>
        <w:spacing w:line="46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Start w:id="514" w:name="_Toc63332574"/>
      <w:bookmarkStart w:id="515" w:name="_Toc63332494"/>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eastAsia="zh-CN"/>
        </w:rPr>
        <w:t>十</w:t>
      </w:r>
      <w:r>
        <w:rPr>
          <w:rFonts w:hint="eastAsia" w:ascii="宋体" w:hAnsi="宋体" w:eastAsia="宋体" w:cs="宋体"/>
          <w:b/>
          <w:sz w:val="28"/>
          <w:szCs w:val="28"/>
          <w:highlight w:val="none"/>
        </w:rPr>
        <w:t>、环境标志产品加分明细表</w:t>
      </w:r>
      <w:bookmarkEnd w:id="511"/>
      <w:bookmarkEnd w:id="512"/>
      <w:bookmarkEnd w:id="513"/>
      <w:r>
        <w:rPr>
          <w:rFonts w:hint="eastAsia" w:ascii="宋体" w:hAnsi="宋体" w:eastAsia="宋体" w:cs="宋体"/>
          <w:b/>
          <w:sz w:val="28"/>
          <w:szCs w:val="28"/>
          <w:highlight w:val="none"/>
        </w:rPr>
        <w:t>（如有）</w:t>
      </w:r>
      <w:bookmarkEnd w:id="514"/>
      <w:bookmarkEnd w:id="515"/>
    </w:p>
    <w:p>
      <w:pPr>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注：若有，请按下表要求填报。</w:t>
      </w:r>
    </w:p>
    <w:tbl>
      <w:tblPr>
        <w:tblStyle w:val="49"/>
        <w:tblW w:w="9635" w:type="dxa"/>
        <w:tblInd w:w="98" w:type="dxa"/>
        <w:tblLayout w:type="fixed"/>
        <w:tblCellMar>
          <w:top w:w="0" w:type="dxa"/>
          <w:left w:w="0" w:type="dxa"/>
          <w:bottom w:w="0" w:type="dxa"/>
          <w:right w:w="0" w:type="dxa"/>
        </w:tblCellMar>
      </w:tblPr>
      <w:tblGrid>
        <w:gridCol w:w="511"/>
        <w:gridCol w:w="511"/>
        <w:gridCol w:w="1359"/>
        <w:gridCol w:w="835"/>
        <w:gridCol w:w="1122"/>
        <w:gridCol w:w="1173"/>
        <w:gridCol w:w="1435"/>
        <w:gridCol w:w="1640"/>
        <w:gridCol w:w="1049"/>
      </w:tblGrid>
      <w:tr>
        <w:tblPrEx>
          <w:tblCellMar>
            <w:top w:w="0" w:type="dxa"/>
            <w:left w:w="0" w:type="dxa"/>
            <w:bottom w:w="0" w:type="dxa"/>
            <w:right w:w="0" w:type="dxa"/>
          </w:tblCellMar>
        </w:tblPrEx>
        <w:trPr>
          <w:trHeight w:val="409" w:hRule="exact"/>
        </w:trPr>
        <w:tc>
          <w:tcPr>
            <w:tcW w:w="1022" w:type="dxa"/>
            <w:gridSpan w:val="2"/>
            <w:tcBorders>
              <w:top w:val="single" w:color="000000" w:sz="4" w:space="0"/>
              <w:left w:val="single" w:color="000000" w:sz="4" w:space="0"/>
              <w:bottom w:val="single" w:color="000000" w:sz="4" w:space="0"/>
              <w:right w:val="single" w:color="000000" w:sz="4" w:space="0"/>
            </w:tcBorders>
          </w:tcPr>
          <w:p>
            <w:pPr>
              <w:pStyle w:val="327"/>
              <w:spacing w:before="7"/>
              <w:ind w:left="565" w:right="354"/>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359" w:type="dxa"/>
            <w:tcBorders>
              <w:top w:val="single" w:color="000000" w:sz="4" w:space="0"/>
              <w:left w:val="single" w:color="000000" w:sz="4" w:space="0"/>
              <w:bottom w:val="single" w:color="000000" w:sz="4" w:space="0"/>
              <w:right w:val="single" w:color="000000" w:sz="4" w:space="0"/>
            </w:tcBorders>
          </w:tcPr>
          <w:p>
            <w:pPr>
              <w:pStyle w:val="327"/>
              <w:spacing w:before="7"/>
              <w:ind w:left="743" w:right="53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835" w:type="dxa"/>
            <w:tcBorders>
              <w:top w:val="single" w:color="000000" w:sz="4" w:space="0"/>
              <w:left w:val="single" w:color="000000" w:sz="4" w:space="0"/>
              <w:bottom w:val="single" w:color="000000" w:sz="4" w:space="0"/>
              <w:right w:val="single" w:color="000000" w:sz="4" w:space="0"/>
            </w:tcBorders>
          </w:tcPr>
          <w:p>
            <w:pPr>
              <w:pStyle w:val="327"/>
              <w:spacing w:before="7"/>
              <w:ind w:left="361" w:right="36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122" w:type="dxa"/>
            <w:tcBorders>
              <w:top w:val="single" w:color="000000" w:sz="4" w:space="0"/>
              <w:left w:val="single" w:color="000000" w:sz="4" w:space="0"/>
              <w:bottom w:val="single" w:color="000000" w:sz="4" w:space="0"/>
              <w:right w:val="single" w:color="000000" w:sz="4" w:space="0"/>
            </w:tcBorders>
          </w:tcPr>
          <w:p>
            <w:pPr>
              <w:pStyle w:val="327"/>
              <w:spacing w:before="7"/>
              <w:ind w:left="512" w:right="512"/>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173" w:type="dxa"/>
            <w:tcBorders>
              <w:top w:val="single" w:color="000000" w:sz="4" w:space="0"/>
              <w:left w:val="single" w:color="000000" w:sz="4" w:space="0"/>
              <w:bottom w:val="single" w:color="000000" w:sz="4" w:space="0"/>
              <w:right w:val="single" w:color="000000" w:sz="4" w:space="0"/>
            </w:tcBorders>
          </w:tcPr>
          <w:p>
            <w:pPr>
              <w:pStyle w:val="327"/>
              <w:spacing w:before="7"/>
              <w:ind w:left="536" w:right="54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435" w:type="dxa"/>
            <w:tcBorders>
              <w:top w:val="single" w:color="000000" w:sz="4" w:space="0"/>
              <w:left w:val="single" w:color="000000" w:sz="4" w:space="0"/>
              <w:bottom w:val="single" w:color="000000" w:sz="4" w:space="0"/>
              <w:right w:val="single" w:color="000000" w:sz="4" w:space="0"/>
            </w:tcBorders>
          </w:tcPr>
          <w:p>
            <w:pPr>
              <w:pStyle w:val="327"/>
              <w:spacing w:before="7"/>
              <w:ind w:left="833" w:right="519"/>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640" w:type="dxa"/>
            <w:tcBorders>
              <w:top w:val="single" w:color="000000" w:sz="4" w:space="0"/>
              <w:left w:val="single" w:color="000000" w:sz="4" w:space="0"/>
              <w:bottom w:val="single" w:color="000000" w:sz="4" w:space="0"/>
              <w:right w:val="single" w:color="000000" w:sz="4" w:space="0"/>
            </w:tcBorders>
          </w:tcPr>
          <w:p>
            <w:pPr>
              <w:pStyle w:val="327"/>
              <w:spacing w:before="7"/>
              <w:ind w:left="942" w:right="627"/>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049" w:type="dxa"/>
            <w:tcBorders>
              <w:top w:val="single" w:color="000000" w:sz="4" w:space="0"/>
              <w:left w:val="single" w:color="000000" w:sz="4" w:space="0"/>
              <w:bottom w:val="single" w:color="000000" w:sz="4" w:space="0"/>
              <w:right w:val="single" w:color="000000" w:sz="4" w:space="0"/>
            </w:tcBorders>
          </w:tcPr>
          <w:p>
            <w:pPr>
              <w:pStyle w:val="327"/>
              <w:spacing w:before="7"/>
              <w:ind w:left="577" w:right="37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r>
      <w:tr>
        <w:tblPrEx>
          <w:tblCellMar>
            <w:top w:w="0" w:type="dxa"/>
            <w:left w:w="0" w:type="dxa"/>
            <w:bottom w:w="0" w:type="dxa"/>
            <w:right w:w="0" w:type="dxa"/>
          </w:tblCellMar>
        </w:tblPrEx>
        <w:trPr>
          <w:trHeight w:val="808" w:hRule="exact"/>
        </w:trPr>
        <w:tc>
          <w:tcPr>
            <w:tcW w:w="511"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157"/>
              <w:rPr>
                <w:rFonts w:hint="eastAsia" w:ascii="宋体" w:hAnsi="宋体" w:eastAsia="宋体" w:cs="宋体"/>
                <w:color w:val="000000"/>
                <w:szCs w:val="21"/>
                <w:highlight w:val="none"/>
                <w:lang w:eastAsia="zh-CN"/>
              </w:rPr>
            </w:pPr>
          </w:p>
        </w:tc>
        <w:tc>
          <w:tcPr>
            <w:tcW w:w="511"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157"/>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1359"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28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产品</w:t>
            </w:r>
            <w:r>
              <w:rPr>
                <w:rFonts w:hint="eastAsia" w:ascii="宋体" w:hAnsi="宋体" w:eastAsia="宋体" w:cs="宋体"/>
                <w:color w:val="000000"/>
                <w:spacing w:val="-3"/>
                <w:szCs w:val="21"/>
                <w:highlight w:val="none"/>
              </w:rPr>
              <w:t>名</w:t>
            </w:r>
            <w:r>
              <w:rPr>
                <w:rFonts w:hint="eastAsia" w:ascii="宋体" w:hAnsi="宋体" w:eastAsia="宋体" w:cs="宋体"/>
                <w:color w:val="000000"/>
                <w:szCs w:val="21"/>
                <w:highlight w:val="none"/>
              </w:rPr>
              <w:t>称</w:t>
            </w:r>
          </w:p>
        </w:tc>
        <w:tc>
          <w:tcPr>
            <w:tcW w:w="835"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327"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品牌型号</w:t>
            </w:r>
          </w:p>
        </w:tc>
        <w:tc>
          <w:tcPr>
            <w:tcW w:w="1122"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373" w:hanging="20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响应</w:t>
            </w:r>
            <w:r>
              <w:rPr>
                <w:rFonts w:hint="eastAsia" w:ascii="宋体" w:hAnsi="宋体" w:eastAsia="宋体" w:cs="宋体"/>
                <w:color w:val="000000"/>
                <w:spacing w:val="-3"/>
                <w:szCs w:val="21"/>
                <w:highlight w:val="none"/>
              </w:rPr>
              <w:t>文</w:t>
            </w:r>
            <w:r>
              <w:rPr>
                <w:rFonts w:hint="eastAsia" w:ascii="宋体" w:hAnsi="宋体" w:eastAsia="宋体" w:cs="宋体"/>
                <w:color w:val="000000"/>
                <w:szCs w:val="21"/>
                <w:highlight w:val="none"/>
              </w:rPr>
              <w:t>件页码</w:t>
            </w:r>
          </w:p>
        </w:tc>
        <w:tc>
          <w:tcPr>
            <w:tcW w:w="1173"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18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报价</w:t>
            </w:r>
            <w:r>
              <w:rPr>
                <w:rFonts w:hint="eastAsia" w:ascii="宋体" w:hAnsi="宋体" w:eastAsia="宋体" w:cs="宋体"/>
                <w:color w:val="000000"/>
                <w:spacing w:val="-3"/>
                <w:szCs w:val="21"/>
                <w:highlight w:val="none"/>
              </w:rPr>
              <w:t>金</w:t>
            </w:r>
            <w:r>
              <w:rPr>
                <w:rFonts w:hint="eastAsia" w:ascii="宋体" w:hAnsi="宋体" w:eastAsia="宋体" w:cs="宋体"/>
                <w:color w:val="000000"/>
                <w:szCs w:val="21"/>
                <w:highlight w:val="none"/>
              </w:rPr>
              <w:t>额</w:t>
            </w:r>
          </w:p>
        </w:tc>
        <w:tc>
          <w:tcPr>
            <w:tcW w:w="1435" w:type="dxa"/>
            <w:tcBorders>
              <w:top w:val="single" w:color="000000" w:sz="4" w:space="0"/>
              <w:left w:val="single" w:color="000000" w:sz="4" w:space="0"/>
              <w:bottom w:val="single" w:color="000000" w:sz="4" w:space="0"/>
              <w:right w:val="single" w:color="000000" w:sz="4" w:space="0"/>
            </w:tcBorders>
          </w:tcPr>
          <w:p>
            <w:pPr>
              <w:pStyle w:val="327"/>
              <w:spacing w:before="7" w:line="180" w:lineRule="exact"/>
              <w:rPr>
                <w:rFonts w:hint="eastAsia" w:ascii="宋体" w:hAnsi="宋体" w:eastAsia="宋体" w:cs="宋体"/>
                <w:color w:val="000000"/>
                <w:sz w:val="18"/>
                <w:szCs w:val="18"/>
                <w:highlight w:val="none"/>
              </w:rPr>
            </w:pPr>
          </w:p>
          <w:p>
            <w:pPr>
              <w:pStyle w:val="327"/>
              <w:ind w:left="11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认证</w:t>
            </w:r>
            <w:r>
              <w:rPr>
                <w:rFonts w:hint="eastAsia" w:ascii="宋体" w:hAnsi="宋体" w:eastAsia="宋体" w:cs="宋体"/>
                <w:color w:val="000000"/>
                <w:spacing w:val="-3"/>
                <w:szCs w:val="21"/>
                <w:highlight w:val="none"/>
              </w:rPr>
              <w:t>证</w:t>
            </w:r>
            <w:r>
              <w:rPr>
                <w:rFonts w:hint="eastAsia" w:ascii="宋体" w:hAnsi="宋体" w:eastAsia="宋体" w:cs="宋体"/>
                <w:color w:val="000000"/>
                <w:szCs w:val="21"/>
                <w:highlight w:val="none"/>
              </w:rPr>
              <w:t>书</w:t>
            </w:r>
            <w:r>
              <w:rPr>
                <w:rFonts w:hint="eastAsia" w:ascii="宋体" w:hAnsi="宋体" w:eastAsia="宋体" w:cs="宋体"/>
                <w:color w:val="000000"/>
                <w:spacing w:val="-3"/>
                <w:szCs w:val="21"/>
                <w:highlight w:val="none"/>
              </w:rPr>
              <w:t>编</w:t>
            </w:r>
            <w:r>
              <w:rPr>
                <w:rFonts w:hint="eastAsia" w:ascii="宋体" w:hAnsi="宋体" w:eastAsia="宋体" w:cs="宋体"/>
                <w:color w:val="000000"/>
                <w:szCs w:val="21"/>
                <w:highlight w:val="none"/>
              </w:rPr>
              <w:t>号</w:t>
            </w:r>
          </w:p>
        </w:tc>
        <w:tc>
          <w:tcPr>
            <w:tcW w:w="1640"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750" w:hanging="62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证书</w:t>
            </w:r>
            <w:r>
              <w:rPr>
                <w:rFonts w:hint="eastAsia" w:ascii="宋体" w:hAnsi="宋体" w:eastAsia="宋体" w:cs="宋体"/>
                <w:color w:val="000000"/>
                <w:spacing w:val="-3"/>
                <w:szCs w:val="21"/>
                <w:highlight w:val="none"/>
              </w:rPr>
              <w:t>有</w:t>
            </w:r>
            <w:r>
              <w:rPr>
                <w:rFonts w:hint="eastAsia" w:ascii="宋体" w:hAnsi="宋体" w:eastAsia="宋体" w:cs="宋体"/>
                <w:color w:val="000000"/>
                <w:szCs w:val="21"/>
                <w:highlight w:val="none"/>
              </w:rPr>
              <w:t>效</w:t>
            </w:r>
            <w:r>
              <w:rPr>
                <w:rFonts w:hint="eastAsia" w:ascii="宋体" w:hAnsi="宋体" w:eastAsia="宋体" w:cs="宋体"/>
                <w:color w:val="000000"/>
                <w:spacing w:val="-3"/>
                <w:szCs w:val="21"/>
                <w:highlight w:val="none"/>
              </w:rPr>
              <w:t>截</w:t>
            </w:r>
            <w:r>
              <w:rPr>
                <w:rFonts w:hint="eastAsia" w:ascii="宋体" w:hAnsi="宋体" w:eastAsia="宋体" w:cs="宋体"/>
                <w:color w:val="000000"/>
                <w:szCs w:val="21"/>
                <w:highlight w:val="none"/>
              </w:rPr>
              <w:t>止日期</w:t>
            </w:r>
          </w:p>
        </w:tc>
        <w:tc>
          <w:tcPr>
            <w:tcW w:w="1049" w:type="dxa"/>
            <w:tcBorders>
              <w:top w:val="single" w:color="000000" w:sz="4" w:space="0"/>
              <w:left w:val="single" w:color="000000" w:sz="4" w:space="0"/>
              <w:bottom w:val="single" w:color="000000" w:sz="4" w:space="0"/>
              <w:right w:val="single" w:color="000000" w:sz="4" w:space="0"/>
            </w:tcBorders>
          </w:tcPr>
          <w:p>
            <w:pPr>
              <w:pStyle w:val="327"/>
              <w:spacing w:before="7" w:line="276" w:lineRule="auto"/>
              <w:ind w:left="438" w:right="45" w:hanging="212"/>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清单页码</w:t>
            </w:r>
          </w:p>
        </w:tc>
      </w:tr>
      <w:tr>
        <w:tblPrEx>
          <w:tblCellMar>
            <w:top w:w="0" w:type="dxa"/>
            <w:left w:w="0" w:type="dxa"/>
            <w:bottom w:w="0" w:type="dxa"/>
            <w:right w:w="0" w:type="dxa"/>
          </w:tblCellMar>
        </w:tblPrEx>
        <w:trPr>
          <w:trHeight w:val="409" w:hRule="exact"/>
        </w:trPr>
        <w:tc>
          <w:tcPr>
            <w:tcW w:w="511" w:type="dxa"/>
            <w:vMerge w:val="restart"/>
            <w:tcBorders>
              <w:top w:val="single" w:color="000000" w:sz="4" w:space="0"/>
              <w:left w:val="single" w:color="000000" w:sz="4" w:space="0"/>
              <w:bottom w:val="single" w:color="000000" w:sz="4" w:space="0"/>
              <w:right w:val="single" w:color="000000" w:sz="4" w:space="0"/>
            </w:tcBorders>
          </w:tcPr>
          <w:p>
            <w:pPr>
              <w:pStyle w:val="327"/>
              <w:spacing w:before="9" w:line="170" w:lineRule="exact"/>
              <w:rPr>
                <w:rFonts w:hint="eastAsia" w:ascii="宋体" w:hAnsi="宋体" w:eastAsia="宋体" w:cs="宋体"/>
                <w:color w:val="000000"/>
                <w:sz w:val="17"/>
                <w:szCs w:val="17"/>
                <w:highlight w:val="none"/>
              </w:rPr>
            </w:pPr>
          </w:p>
          <w:p>
            <w:pPr>
              <w:pStyle w:val="327"/>
              <w:spacing w:line="200" w:lineRule="exact"/>
              <w:rPr>
                <w:rFonts w:hint="eastAsia" w:ascii="宋体" w:hAnsi="宋体" w:eastAsia="宋体" w:cs="宋体"/>
                <w:color w:val="000000"/>
                <w:sz w:val="20"/>
                <w:highlight w:val="none"/>
              </w:rPr>
            </w:pPr>
          </w:p>
          <w:p>
            <w:pPr>
              <w:pStyle w:val="327"/>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A</w:t>
            </w: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12"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09"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09" w:hRule="exact"/>
        </w:trPr>
        <w:tc>
          <w:tcPr>
            <w:tcW w:w="511" w:type="dxa"/>
            <w:vMerge w:val="restart"/>
            <w:tcBorders>
              <w:top w:val="single" w:color="000000" w:sz="4" w:space="0"/>
              <w:left w:val="single" w:color="000000" w:sz="4" w:space="0"/>
              <w:bottom w:val="single" w:color="000000" w:sz="4" w:space="0"/>
              <w:right w:val="single" w:color="000000" w:sz="4" w:space="0"/>
            </w:tcBorders>
          </w:tcPr>
          <w:p>
            <w:pPr>
              <w:pStyle w:val="327"/>
              <w:spacing w:before="6" w:line="170" w:lineRule="exact"/>
              <w:rPr>
                <w:rFonts w:hint="eastAsia" w:ascii="宋体" w:hAnsi="宋体" w:eastAsia="宋体" w:cs="宋体"/>
                <w:color w:val="000000"/>
                <w:sz w:val="17"/>
                <w:szCs w:val="17"/>
                <w:highlight w:val="none"/>
              </w:rPr>
            </w:pPr>
          </w:p>
          <w:p>
            <w:pPr>
              <w:pStyle w:val="327"/>
              <w:spacing w:line="200" w:lineRule="exact"/>
              <w:rPr>
                <w:rFonts w:hint="eastAsia" w:ascii="宋体" w:hAnsi="宋体" w:eastAsia="宋体" w:cs="宋体"/>
                <w:color w:val="000000"/>
                <w:sz w:val="20"/>
                <w:highlight w:val="none"/>
              </w:rPr>
            </w:pPr>
          </w:p>
          <w:p>
            <w:pPr>
              <w:pStyle w:val="327"/>
              <w:ind w:left="191" w:right="191"/>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B</w:t>
            </w: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09"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r>
        <w:tblPrEx>
          <w:tblCellMar>
            <w:top w:w="0" w:type="dxa"/>
            <w:left w:w="0" w:type="dxa"/>
            <w:bottom w:w="0" w:type="dxa"/>
            <w:right w:w="0" w:type="dxa"/>
          </w:tblCellMar>
        </w:tblPrEx>
        <w:trPr>
          <w:trHeight w:val="421" w:hRule="exact"/>
        </w:trPr>
        <w:tc>
          <w:tcPr>
            <w:tcW w:w="51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szCs w:val="21"/>
                <w:highlight w:val="none"/>
              </w:rPr>
            </w:pPr>
          </w:p>
        </w:tc>
        <w:tc>
          <w:tcPr>
            <w:tcW w:w="51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35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8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2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17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43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64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c>
          <w:tcPr>
            <w:tcW w:w="104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highlight w:val="none"/>
              </w:rPr>
            </w:pPr>
          </w:p>
        </w:tc>
      </w:tr>
    </w:tbl>
    <w:p>
      <w:pPr>
        <w:spacing w:line="390" w:lineRule="exact"/>
        <w:rPr>
          <w:rFonts w:hint="eastAsia" w:ascii="宋体" w:hAnsi="宋体" w:eastAsia="宋体" w:cs="宋体"/>
          <w:sz w:val="24"/>
          <w:highlight w:val="none"/>
        </w:rPr>
      </w:pPr>
      <w:r>
        <w:rPr>
          <w:rFonts w:hint="eastAsia" w:ascii="宋体" w:hAnsi="宋体" w:eastAsia="宋体" w:cs="宋体"/>
          <w:sz w:val="24"/>
          <w:highlight w:val="none"/>
        </w:rPr>
        <w:t>注：1、供应商在报价时必须对属于节能产品、环保产品（非强制类）清单内产品单独分项报价，并应于响应文件中提供属于清单内产品的证明资料（即所投产品在节能产品政府采购品目清单中的所在页，环保产品政府采购清单查询截图加盖供应商公章和认证的产品在报价时应提供有效环境标志产品认证证书、节能产品认证证书）。</w:t>
      </w:r>
    </w:p>
    <w:p>
      <w:pPr>
        <w:spacing w:line="3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2、本表可根据项目情况同格式扩展。</w:t>
      </w:r>
    </w:p>
    <w:p>
      <w:pPr>
        <w:ind w:firstLine="480" w:firstLineChars="200"/>
        <w:rPr>
          <w:rFonts w:hint="eastAsia" w:ascii="宋体" w:hAnsi="宋体" w:eastAsia="宋体" w:cs="宋体"/>
          <w:sz w:val="24"/>
          <w:highlight w:val="none"/>
        </w:rPr>
      </w:pPr>
    </w:p>
    <w:p>
      <w:pPr>
        <w:pStyle w:val="21"/>
        <w:spacing w:line="460" w:lineRule="exact"/>
        <w:rPr>
          <w:rFonts w:hint="eastAsia" w:ascii="宋体" w:hAnsi="宋体" w:eastAsia="宋体" w:cs="宋体"/>
          <w:b/>
          <w:sz w:val="28"/>
          <w:szCs w:val="28"/>
          <w:highlight w:val="none"/>
        </w:rPr>
      </w:pPr>
      <w:bookmarkStart w:id="516" w:name="_Toc512345459"/>
      <w:bookmarkStart w:id="517" w:name="_Toc512676868"/>
      <w:bookmarkStart w:id="518" w:name="_Toc513034944"/>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rPr>
          <w:rFonts w:hint="eastAsia" w:ascii="宋体" w:hAnsi="宋体" w:eastAsia="宋体" w:cs="宋体"/>
          <w:b/>
          <w:sz w:val="28"/>
          <w:szCs w:val="28"/>
          <w:highlight w:val="none"/>
        </w:rPr>
      </w:pPr>
    </w:p>
    <w:p>
      <w:pPr>
        <w:pStyle w:val="21"/>
        <w:spacing w:line="460" w:lineRule="exact"/>
        <w:rPr>
          <w:rFonts w:hint="eastAsia" w:ascii="宋体" w:hAnsi="宋体" w:eastAsia="宋体" w:cs="宋体"/>
          <w:b/>
          <w:sz w:val="28"/>
          <w:szCs w:val="28"/>
          <w:highlight w:val="none"/>
        </w:rPr>
      </w:pPr>
    </w:p>
    <w:p>
      <w:pPr>
        <w:pStyle w:val="21"/>
        <w:spacing w:line="460" w:lineRule="exact"/>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bookmarkStart w:id="519" w:name="_Toc63332575"/>
      <w:bookmarkStart w:id="520" w:name="_Toc63332495"/>
      <w:r>
        <w:rPr>
          <w:rFonts w:hint="eastAsia" w:ascii="宋体" w:hAnsi="宋体" w:eastAsia="宋体" w:cs="宋体"/>
          <w:b/>
          <w:sz w:val="28"/>
          <w:szCs w:val="28"/>
          <w:highlight w:val="none"/>
        </w:rPr>
        <w:t>环境标志产品证明文件</w:t>
      </w:r>
      <w:bookmarkEnd w:id="516"/>
      <w:bookmarkEnd w:id="517"/>
      <w:bookmarkEnd w:id="518"/>
      <w:r>
        <w:rPr>
          <w:rFonts w:hint="eastAsia" w:ascii="宋体" w:hAnsi="宋体" w:eastAsia="宋体" w:cs="宋体"/>
          <w:b/>
          <w:sz w:val="28"/>
          <w:szCs w:val="28"/>
          <w:highlight w:val="none"/>
        </w:rPr>
        <w:t>（如有）</w:t>
      </w:r>
      <w:bookmarkEnd w:id="519"/>
      <w:bookmarkEnd w:id="520"/>
    </w:p>
    <w:p>
      <w:pPr>
        <w:spacing w:line="380" w:lineRule="exact"/>
        <w:jc w:val="center"/>
        <w:rPr>
          <w:rFonts w:hint="eastAsia" w:ascii="宋体" w:hAnsi="宋体" w:eastAsia="宋体" w:cs="宋体"/>
          <w:b/>
          <w:sz w:val="32"/>
          <w:szCs w:val="32"/>
          <w:highlight w:val="none"/>
        </w:rPr>
      </w:pPr>
    </w:p>
    <w:tbl>
      <w:tblPr>
        <w:tblStyle w:val="4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9758" w:type="dxa"/>
          </w:tcPr>
          <w:p>
            <w:pPr>
              <w:rPr>
                <w:rFonts w:hint="eastAsia" w:ascii="宋体" w:hAnsi="宋体" w:eastAsia="宋体" w:cs="宋体"/>
                <w:szCs w:val="21"/>
                <w:highlight w:val="none"/>
              </w:rPr>
            </w:pPr>
            <w:r>
              <w:rPr>
                <w:rFonts w:hint="eastAsia" w:ascii="宋体" w:hAnsi="宋体" w:eastAsia="宋体" w:cs="宋体"/>
                <w:sz w:val="24"/>
                <w:highlight w:val="none"/>
              </w:rPr>
              <w:t>标明所在位置（若有）。</w:t>
            </w:r>
          </w:p>
        </w:tc>
      </w:tr>
    </w:tbl>
    <w:p>
      <w:pPr>
        <w:pStyle w:val="24"/>
        <w:spacing w:line="500" w:lineRule="exact"/>
        <w:ind w:left="0" w:leftChars="0" w:firstLine="0" w:firstLineChars="0"/>
        <w:outlineLvl w:val="1"/>
        <w:rPr>
          <w:rFonts w:hint="eastAsia" w:ascii="宋体" w:hAnsi="宋体" w:eastAsia="宋体" w:cs="宋体"/>
          <w:szCs w:val="21"/>
          <w:highlight w:val="none"/>
        </w:rPr>
      </w:pPr>
    </w:p>
    <w:p>
      <w:pPr>
        <w:pStyle w:val="31"/>
        <w:rPr>
          <w:rFonts w:hint="eastAsia" w:ascii="宋体" w:hAnsi="宋体" w:eastAsia="宋体" w:cs="宋体"/>
          <w:highlight w:val="none"/>
        </w:rPr>
      </w:pPr>
      <w:r>
        <w:rPr>
          <w:rFonts w:hint="eastAsia" w:ascii="宋体" w:hAnsi="宋体" w:eastAsia="宋体" w:cs="宋体"/>
          <w:highlight w:val="none"/>
        </w:rPr>
        <w:br w:type="page"/>
      </w:r>
    </w:p>
    <w:p>
      <w:pPr>
        <w:pStyle w:val="24"/>
        <w:spacing w:line="500" w:lineRule="exact"/>
        <w:ind w:left="0" w:leftChars="0" w:firstLine="0" w:firstLineChars="0"/>
        <w:outlineLvl w:val="1"/>
        <w:rPr>
          <w:rFonts w:hint="eastAsia" w:ascii="宋体" w:hAnsi="宋体" w:eastAsia="宋体" w:cs="宋体"/>
          <w:b/>
          <w:bCs/>
          <w:sz w:val="32"/>
          <w:szCs w:val="32"/>
          <w:highlight w:val="none"/>
        </w:rPr>
      </w:pPr>
      <w:bookmarkStart w:id="521" w:name="_Toc63332496"/>
      <w:bookmarkStart w:id="522" w:name="_Toc63332576"/>
      <w:r>
        <w:rPr>
          <w:rFonts w:hint="eastAsia" w:ascii="宋体" w:hAnsi="宋体" w:eastAsia="宋体" w:cs="宋体"/>
          <w:b/>
          <w:bCs/>
          <w:sz w:val="32"/>
          <w:szCs w:val="32"/>
          <w:highlight w:val="none"/>
        </w:rPr>
        <w:t>附件</w:t>
      </w:r>
      <w:r>
        <w:rPr>
          <w:rFonts w:hint="eastAsia" w:ascii="宋体" w:hAnsi="宋体" w:eastAsia="宋体" w:cs="宋体"/>
          <w:b/>
          <w:bCs/>
          <w:sz w:val="32"/>
          <w:szCs w:val="32"/>
          <w:highlight w:val="none"/>
          <w:lang w:eastAsia="zh-CN"/>
        </w:rPr>
        <w:t>十一</w:t>
      </w:r>
      <w:r>
        <w:rPr>
          <w:rFonts w:hint="eastAsia" w:ascii="宋体" w:hAnsi="宋体" w:eastAsia="宋体" w:cs="宋体"/>
          <w:b/>
          <w:bCs/>
          <w:sz w:val="32"/>
          <w:szCs w:val="32"/>
          <w:highlight w:val="none"/>
        </w:rPr>
        <w:t>：</w:t>
      </w:r>
    </w:p>
    <w:p>
      <w:pPr>
        <w:pStyle w:val="24"/>
        <w:spacing w:line="500" w:lineRule="exact"/>
        <w:ind w:left="0" w:leftChars="0" w:firstLine="0" w:firstLineChars="0"/>
        <w:jc w:val="center"/>
        <w:outlineLvl w:val="1"/>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供应商</w:t>
      </w:r>
      <w:bookmarkEnd w:id="521"/>
      <w:bookmarkEnd w:id="522"/>
      <w:r>
        <w:rPr>
          <w:rFonts w:hint="eastAsia" w:ascii="宋体" w:hAnsi="宋体" w:eastAsia="宋体" w:cs="宋体"/>
          <w:b/>
          <w:bCs/>
          <w:sz w:val="32"/>
          <w:szCs w:val="32"/>
          <w:highlight w:val="none"/>
          <w:lang w:eastAsia="zh-CN"/>
        </w:rPr>
        <w:t>基本情况表</w:t>
      </w:r>
    </w:p>
    <w:p>
      <w:pPr>
        <w:pStyle w:val="24"/>
        <w:spacing w:line="500" w:lineRule="exact"/>
        <w:ind w:left="0" w:leftChars="0" w:firstLine="0" w:firstLineChars="0"/>
        <w:jc w:val="center"/>
        <w:outlineLvl w:val="1"/>
        <w:rPr>
          <w:rFonts w:hint="eastAsia" w:ascii="宋体" w:hAnsi="宋体" w:eastAsia="宋体" w:cs="宋体"/>
          <w:b/>
          <w:bCs/>
          <w:sz w:val="32"/>
          <w:szCs w:val="32"/>
          <w:highlight w:val="none"/>
          <w:lang w:eastAsia="zh-CN"/>
        </w:rPr>
      </w:pPr>
    </w:p>
    <w:tbl>
      <w:tblPr>
        <w:tblStyle w:val="331"/>
        <w:tblW w:w="88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2"/>
        <w:gridCol w:w="939"/>
        <w:gridCol w:w="1066"/>
        <w:gridCol w:w="1039"/>
        <w:gridCol w:w="296"/>
        <w:gridCol w:w="204"/>
        <w:gridCol w:w="1301"/>
        <w:gridCol w:w="274"/>
        <w:gridCol w:w="740"/>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327"/>
              <w:autoSpaceDE w:val="0"/>
              <w:autoSpaceDN w:val="0"/>
              <w:spacing w:before="80"/>
              <w:ind w:left="149" w:right="32"/>
              <w:jc w:val="center"/>
              <w:rPr>
                <w:rFonts w:hint="eastAsia" w:ascii="宋体" w:hAnsi="宋体" w:eastAsia="宋体" w:cs="宋体"/>
                <w:color w:val="auto"/>
                <w:sz w:val="21"/>
                <w:highlight w:val="none"/>
                <w:lang w:eastAsia="zh-CN"/>
              </w:rPr>
            </w:pPr>
            <w:bookmarkStart w:id="523" w:name="_Toc403502135"/>
            <w:bookmarkStart w:id="524" w:name="_Toc409016138"/>
            <w:bookmarkStart w:id="525" w:name="_Toc403501696"/>
            <w:bookmarkStart w:id="526" w:name="_Toc432497604"/>
            <w:bookmarkStart w:id="527" w:name="_Toc14252"/>
            <w:bookmarkStart w:id="528" w:name="_Toc15780"/>
            <w:bookmarkStart w:id="529" w:name="_Toc456198643"/>
            <w:bookmarkStart w:id="530" w:name="_Toc439681709"/>
            <w:bookmarkStart w:id="531" w:name="_Toc457898985"/>
            <w:bookmarkStart w:id="532" w:name="_Toc439664507"/>
            <w:r>
              <w:rPr>
                <w:rFonts w:hint="eastAsia" w:ascii="宋体" w:hAnsi="宋体" w:eastAsia="宋体" w:cs="宋体"/>
                <w:color w:val="auto"/>
                <w:sz w:val="21"/>
                <w:highlight w:val="none"/>
                <w:lang w:eastAsia="en-US"/>
              </w:rPr>
              <w:t>供应商名称</w:t>
            </w:r>
          </w:p>
        </w:tc>
        <w:tc>
          <w:tcPr>
            <w:tcW w:w="7337" w:type="dxa"/>
            <w:gridSpan w:val="9"/>
          </w:tcPr>
          <w:p>
            <w:pPr>
              <w:pStyle w:val="327"/>
              <w:autoSpaceDE w:val="0"/>
              <w:autoSpaceDN w:val="0"/>
              <w:spacing w:before="80"/>
              <w:ind w:left="106"/>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327"/>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注册地址</w:t>
            </w:r>
          </w:p>
        </w:tc>
        <w:tc>
          <w:tcPr>
            <w:tcW w:w="3544" w:type="dxa"/>
            <w:gridSpan w:val="5"/>
          </w:tcPr>
          <w:p>
            <w:pPr>
              <w:pStyle w:val="327"/>
              <w:autoSpaceDE w:val="0"/>
              <w:autoSpaceDN w:val="0"/>
              <w:spacing w:before="80"/>
              <w:ind w:left="110"/>
              <w:jc w:val="center"/>
              <w:rPr>
                <w:rFonts w:hint="eastAsia" w:ascii="宋体" w:hAnsi="宋体" w:eastAsia="宋体" w:cs="宋体"/>
                <w:color w:val="auto"/>
                <w:sz w:val="21"/>
                <w:highlight w:val="none"/>
                <w:lang w:eastAsia="zh-CN"/>
              </w:rPr>
            </w:pPr>
          </w:p>
        </w:tc>
        <w:tc>
          <w:tcPr>
            <w:tcW w:w="1301" w:type="dxa"/>
          </w:tcPr>
          <w:p>
            <w:pPr>
              <w:pStyle w:val="327"/>
              <w:autoSpaceDE w:val="0"/>
              <w:autoSpaceDN w:val="0"/>
              <w:spacing w:before="80"/>
              <w:ind w:left="231" w:right="12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邮政编码</w:t>
            </w:r>
          </w:p>
        </w:tc>
        <w:tc>
          <w:tcPr>
            <w:tcW w:w="2492" w:type="dxa"/>
            <w:gridSpan w:val="3"/>
          </w:tcPr>
          <w:p>
            <w:pPr>
              <w:pStyle w:val="327"/>
              <w:autoSpaceDE w:val="0"/>
              <w:autoSpaceDN w:val="0"/>
              <w:spacing w:before="80"/>
              <w:ind w:left="109"/>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vMerge w:val="restart"/>
          </w:tcPr>
          <w:p>
            <w:pPr>
              <w:pStyle w:val="327"/>
              <w:autoSpaceDE w:val="0"/>
              <w:autoSpaceDN w:val="0"/>
              <w:spacing w:before="12"/>
              <w:rPr>
                <w:rFonts w:hint="eastAsia" w:ascii="宋体" w:hAnsi="宋体" w:eastAsia="宋体" w:cs="宋体"/>
                <w:color w:val="auto"/>
                <w:sz w:val="28"/>
                <w:highlight w:val="none"/>
                <w:lang w:eastAsia="en-US"/>
              </w:rPr>
            </w:pPr>
          </w:p>
          <w:p>
            <w:pPr>
              <w:pStyle w:val="327"/>
              <w:autoSpaceDE w:val="0"/>
              <w:autoSpaceDN w:val="0"/>
              <w:ind w:left="323"/>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联系方式</w:t>
            </w:r>
          </w:p>
        </w:tc>
        <w:tc>
          <w:tcPr>
            <w:tcW w:w="939" w:type="dxa"/>
          </w:tcPr>
          <w:p>
            <w:pPr>
              <w:pStyle w:val="327"/>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联系人</w:t>
            </w:r>
          </w:p>
        </w:tc>
        <w:tc>
          <w:tcPr>
            <w:tcW w:w="2605" w:type="dxa"/>
            <w:gridSpan w:val="4"/>
          </w:tcPr>
          <w:p>
            <w:pPr>
              <w:pStyle w:val="327"/>
              <w:autoSpaceDE w:val="0"/>
              <w:autoSpaceDN w:val="0"/>
              <w:spacing w:before="80"/>
              <w:ind w:left="108"/>
              <w:jc w:val="center"/>
              <w:rPr>
                <w:rFonts w:hint="eastAsia" w:ascii="宋体" w:hAnsi="宋体" w:eastAsia="宋体" w:cs="宋体"/>
                <w:color w:val="auto"/>
                <w:sz w:val="21"/>
                <w:highlight w:val="none"/>
                <w:lang w:eastAsia="zh-CN"/>
              </w:rPr>
            </w:pPr>
          </w:p>
        </w:tc>
        <w:tc>
          <w:tcPr>
            <w:tcW w:w="1301" w:type="dxa"/>
          </w:tcPr>
          <w:p>
            <w:pPr>
              <w:pStyle w:val="327"/>
              <w:autoSpaceDE w:val="0"/>
              <w:autoSpaceDN w:val="0"/>
              <w:spacing w:before="80"/>
              <w:ind w:left="231" w:right="121"/>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2492" w:type="dxa"/>
            <w:gridSpan w:val="3"/>
          </w:tcPr>
          <w:p>
            <w:pPr>
              <w:pStyle w:val="327"/>
              <w:autoSpaceDE w:val="0"/>
              <w:autoSpaceDN w:val="0"/>
              <w:spacing w:before="80"/>
              <w:ind w:left="109"/>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552"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939" w:type="dxa"/>
          </w:tcPr>
          <w:p>
            <w:pPr>
              <w:pStyle w:val="327"/>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传真</w:t>
            </w:r>
          </w:p>
        </w:tc>
        <w:tc>
          <w:tcPr>
            <w:tcW w:w="2605" w:type="dxa"/>
            <w:gridSpan w:val="4"/>
          </w:tcPr>
          <w:p>
            <w:pPr>
              <w:pStyle w:val="327"/>
              <w:autoSpaceDE w:val="0"/>
              <w:autoSpaceDN w:val="0"/>
              <w:spacing w:before="80"/>
              <w:ind w:left="108"/>
              <w:jc w:val="center"/>
              <w:rPr>
                <w:rFonts w:hint="eastAsia" w:ascii="宋体" w:hAnsi="宋体" w:eastAsia="宋体" w:cs="宋体"/>
                <w:color w:val="auto"/>
                <w:sz w:val="21"/>
                <w:highlight w:val="none"/>
                <w:lang w:eastAsia="zh-CN"/>
              </w:rPr>
            </w:pPr>
          </w:p>
        </w:tc>
        <w:tc>
          <w:tcPr>
            <w:tcW w:w="1301" w:type="dxa"/>
          </w:tcPr>
          <w:p>
            <w:pPr>
              <w:pStyle w:val="327"/>
              <w:autoSpaceDE w:val="0"/>
              <w:autoSpaceDN w:val="0"/>
              <w:spacing w:before="80"/>
              <w:ind w:left="231" w:right="121"/>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网址</w:t>
            </w:r>
          </w:p>
        </w:tc>
        <w:tc>
          <w:tcPr>
            <w:tcW w:w="2492" w:type="dxa"/>
            <w:gridSpan w:val="3"/>
          </w:tcPr>
          <w:p>
            <w:pPr>
              <w:pStyle w:val="327"/>
              <w:autoSpaceDE w:val="0"/>
              <w:autoSpaceDN w:val="0"/>
              <w:spacing w:before="80"/>
              <w:ind w:left="109"/>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327"/>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组织结构</w:t>
            </w:r>
          </w:p>
        </w:tc>
        <w:tc>
          <w:tcPr>
            <w:tcW w:w="7337" w:type="dxa"/>
            <w:gridSpan w:val="9"/>
          </w:tcPr>
          <w:p>
            <w:pPr>
              <w:pStyle w:val="327"/>
              <w:autoSpaceDE w:val="0"/>
              <w:autoSpaceDN w:val="0"/>
              <w:spacing w:before="80"/>
              <w:ind w:left="106"/>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327"/>
              <w:autoSpaceDE w:val="0"/>
              <w:autoSpaceDN w:val="0"/>
              <w:spacing w:before="82"/>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法定代表人</w:t>
            </w:r>
          </w:p>
        </w:tc>
        <w:tc>
          <w:tcPr>
            <w:tcW w:w="939" w:type="dxa"/>
          </w:tcPr>
          <w:p>
            <w:pPr>
              <w:pStyle w:val="327"/>
              <w:autoSpaceDE w:val="0"/>
              <w:autoSpaceDN w:val="0"/>
              <w:spacing w:before="82"/>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066" w:type="dxa"/>
          </w:tcPr>
          <w:p>
            <w:pPr>
              <w:pStyle w:val="327"/>
              <w:autoSpaceDE w:val="0"/>
              <w:autoSpaceDN w:val="0"/>
              <w:spacing w:before="82"/>
              <w:ind w:right="396"/>
              <w:jc w:val="right"/>
              <w:rPr>
                <w:rFonts w:hint="eastAsia" w:ascii="宋体" w:hAnsi="宋体" w:eastAsia="宋体" w:cs="宋体"/>
                <w:color w:val="auto"/>
                <w:sz w:val="21"/>
                <w:highlight w:val="none"/>
                <w:lang w:eastAsia="zh-CN"/>
              </w:rPr>
            </w:pPr>
          </w:p>
        </w:tc>
        <w:tc>
          <w:tcPr>
            <w:tcW w:w="1335" w:type="dxa"/>
            <w:gridSpan w:val="2"/>
          </w:tcPr>
          <w:p>
            <w:pPr>
              <w:pStyle w:val="327"/>
              <w:autoSpaceDE w:val="0"/>
              <w:autoSpaceDN w:val="0"/>
              <w:spacing w:before="82"/>
              <w:ind w:left="21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技术职称</w:t>
            </w:r>
          </w:p>
        </w:tc>
        <w:tc>
          <w:tcPr>
            <w:tcW w:w="1778" w:type="dxa"/>
            <w:gridSpan w:val="3"/>
          </w:tcPr>
          <w:p>
            <w:pPr>
              <w:pStyle w:val="327"/>
              <w:autoSpaceDE w:val="0"/>
              <w:autoSpaceDN w:val="0"/>
              <w:spacing w:before="82"/>
              <w:ind w:left="103"/>
              <w:jc w:val="center"/>
              <w:rPr>
                <w:rFonts w:hint="eastAsia" w:ascii="宋体" w:hAnsi="宋体" w:eastAsia="宋体" w:cs="宋体"/>
                <w:color w:val="auto"/>
                <w:sz w:val="21"/>
                <w:highlight w:val="none"/>
                <w:lang w:eastAsia="zh-CN"/>
              </w:rPr>
            </w:pPr>
          </w:p>
        </w:tc>
        <w:tc>
          <w:tcPr>
            <w:tcW w:w="740" w:type="dxa"/>
          </w:tcPr>
          <w:p>
            <w:pPr>
              <w:pStyle w:val="327"/>
              <w:autoSpaceDE w:val="0"/>
              <w:autoSpaceDN w:val="0"/>
              <w:spacing w:before="82"/>
              <w:ind w:right="32"/>
              <w:jc w:val="righ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1479" w:type="dxa"/>
          </w:tcPr>
          <w:p>
            <w:pPr>
              <w:pStyle w:val="327"/>
              <w:autoSpaceDE w:val="0"/>
              <w:autoSpaceDN w:val="0"/>
              <w:spacing w:before="82"/>
              <w:ind w:right="596"/>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327"/>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技术负责人</w:t>
            </w:r>
          </w:p>
        </w:tc>
        <w:tc>
          <w:tcPr>
            <w:tcW w:w="939" w:type="dxa"/>
          </w:tcPr>
          <w:p>
            <w:pPr>
              <w:pStyle w:val="327"/>
              <w:autoSpaceDE w:val="0"/>
              <w:autoSpaceDN w:val="0"/>
              <w:spacing w:before="80"/>
              <w:ind w:left="165" w:right="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066" w:type="dxa"/>
          </w:tcPr>
          <w:p>
            <w:pPr>
              <w:pStyle w:val="327"/>
              <w:autoSpaceDE w:val="0"/>
              <w:autoSpaceDN w:val="0"/>
              <w:spacing w:before="80"/>
              <w:ind w:right="396"/>
              <w:jc w:val="right"/>
              <w:rPr>
                <w:rFonts w:hint="eastAsia" w:ascii="宋体" w:hAnsi="宋体" w:eastAsia="宋体" w:cs="宋体"/>
                <w:color w:val="auto"/>
                <w:sz w:val="21"/>
                <w:highlight w:val="none"/>
                <w:lang w:eastAsia="zh-CN"/>
              </w:rPr>
            </w:pPr>
          </w:p>
        </w:tc>
        <w:tc>
          <w:tcPr>
            <w:tcW w:w="1335" w:type="dxa"/>
            <w:gridSpan w:val="2"/>
          </w:tcPr>
          <w:p>
            <w:pPr>
              <w:pStyle w:val="327"/>
              <w:autoSpaceDE w:val="0"/>
              <w:autoSpaceDN w:val="0"/>
              <w:spacing w:before="80"/>
              <w:ind w:left="21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技术职称</w:t>
            </w:r>
          </w:p>
        </w:tc>
        <w:tc>
          <w:tcPr>
            <w:tcW w:w="1778" w:type="dxa"/>
            <w:gridSpan w:val="3"/>
          </w:tcPr>
          <w:p>
            <w:pPr>
              <w:pStyle w:val="327"/>
              <w:autoSpaceDE w:val="0"/>
              <w:autoSpaceDN w:val="0"/>
              <w:spacing w:before="80"/>
              <w:ind w:left="103"/>
              <w:jc w:val="center"/>
              <w:rPr>
                <w:rFonts w:hint="eastAsia" w:ascii="宋体" w:hAnsi="宋体" w:eastAsia="宋体" w:cs="宋体"/>
                <w:color w:val="auto"/>
                <w:sz w:val="21"/>
                <w:highlight w:val="none"/>
                <w:lang w:eastAsia="zh-CN"/>
              </w:rPr>
            </w:pPr>
          </w:p>
        </w:tc>
        <w:tc>
          <w:tcPr>
            <w:tcW w:w="740" w:type="dxa"/>
          </w:tcPr>
          <w:p>
            <w:pPr>
              <w:pStyle w:val="327"/>
              <w:autoSpaceDE w:val="0"/>
              <w:autoSpaceDN w:val="0"/>
              <w:spacing w:before="80"/>
              <w:ind w:right="32"/>
              <w:jc w:val="righ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电话</w:t>
            </w:r>
          </w:p>
        </w:tc>
        <w:tc>
          <w:tcPr>
            <w:tcW w:w="1479" w:type="dxa"/>
          </w:tcPr>
          <w:p>
            <w:pPr>
              <w:pStyle w:val="327"/>
              <w:autoSpaceDE w:val="0"/>
              <w:autoSpaceDN w:val="0"/>
              <w:spacing w:before="80"/>
              <w:ind w:right="596"/>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327"/>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成立时间</w:t>
            </w:r>
          </w:p>
        </w:tc>
        <w:tc>
          <w:tcPr>
            <w:tcW w:w="2005" w:type="dxa"/>
            <w:gridSpan w:val="2"/>
          </w:tcPr>
          <w:p>
            <w:pPr>
              <w:pStyle w:val="327"/>
              <w:autoSpaceDE w:val="0"/>
              <w:autoSpaceDN w:val="0"/>
              <w:spacing w:before="80"/>
              <w:ind w:left="110"/>
              <w:jc w:val="center"/>
              <w:rPr>
                <w:rFonts w:hint="eastAsia" w:ascii="宋体" w:hAnsi="宋体" w:eastAsia="宋体" w:cs="宋体"/>
                <w:color w:val="auto"/>
                <w:sz w:val="21"/>
                <w:highlight w:val="none"/>
                <w:lang w:eastAsia="zh-CN"/>
              </w:rPr>
            </w:pPr>
          </w:p>
        </w:tc>
        <w:tc>
          <w:tcPr>
            <w:tcW w:w="5333" w:type="dxa"/>
            <w:gridSpan w:val="7"/>
          </w:tcPr>
          <w:p>
            <w:pPr>
              <w:pStyle w:val="327"/>
              <w:autoSpaceDE w:val="0"/>
              <w:autoSpaceDN w:val="0"/>
              <w:spacing w:before="80"/>
              <w:ind w:left="1953" w:right="184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327"/>
              <w:autoSpaceDE w:val="0"/>
              <w:autoSpaceDN w:val="0"/>
              <w:spacing w:before="80"/>
              <w:ind w:left="162"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pacing w:val="-3"/>
                <w:sz w:val="21"/>
                <w:highlight w:val="none"/>
                <w:lang w:eastAsia="en-US"/>
              </w:rPr>
              <w:t>企业资质等级</w:t>
            </w:r>
          </w:p>
        </w:tc>
        <w:tc>
          <w:tcPr>
            <w:tcW w:w="939" w:type="dxa"/>
          </w:tcPr>
          <w:p>
            <w:pPr>
              <w:pStyle w:val="327"/>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327"/>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restart"/>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5"/>
              <w:rPr>
                <w:rFonts w:hint="eastAsia" w:ascii="宋体" w:hAnsi="宋体" w:eastAsia="宋体" w:cs="宋体"/>
                <w:color w:val="auto"/>
                <w:sz w:val="16"/>
                <w:highlight w:val="none"/>
                <w:lang w:eastAsia="en-US"/>
              </w:rPr>
            </w:pPr>
          </w:p>
          <w:p>
            <w:pPr>
              <w:pStyle w:val="327"/>
              <w:autoSpaceDE w:val="0"/>
              <w:autoSpaceDN w:val="0"/>
              <w:ind w:left="285"/>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其中</w:t>
            </w:r>
          </w:p>
        </w:tc>
        <w:tc>
          <w:tcPr>
            <w:tcW w:w="2075" w:type="dxa"/>
            <w:gridSpan w:val="4"/>
          </w:tcPr>
          <w:p>
            <w:pPr>
              <w:pStyle w:val="327"/>
              <w:autoSpaceDE w:val="0"/>
              <w:autoSpaceDN w:val="0"/>
              <w:spacing w:before="80"/>
              <w:ind w:left="56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项目经理</w:t>
            </w:r>
          </w:p>
        </w:tc>
        <w:tc>
          <w:tcPr>
            <w:tcW w:w="2219" w:type="dxa"/>
            <w:gridSpan w:val="2"/>
          </w:tcPr>
          <w:p>
            <w:pPr>
              <w:pStyle w:val="327"/>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552" w:type="dxa"/>
          </w:tcPr>
          <w:p>
            <w:pPr>
              <w:pStyle w:val="327"/>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营业执照号</w:t>
            </w:r>
          </w:p>
        </w:tc>
        <w:tc>
          <w:tcPr>
            <w:tcW w:w="939" w:type="dxa"/>
          </w:tcPr>
          <w:p>
            <w:pPr>
              <w:pStyle w:val="327"/>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327"/>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327"/>
              <w:autoSpaceDE w:val="0"/>
              <w:autoSpaceDN w:val="0"/>
              <w:spacing w:before="80"/>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高级职称人员</w:t>
            </w:r>
          </w:p>
        </w:tc>
        <w:tc>
          <w:tcPr>
            <w:tcW w:w="2219" w:type="dxa"/>
            <w:gridSpan w:val="2"/>
          </w:tcPr>
          <w:p>
            <w:pPr>
              <w:pStyle w:val="327"/>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327"/>
              <w:autoSpaceDE w:val="0"/>
              <w:autoSpaceDN w:val="0"/>
              <w:spacing w:before="82"/>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注册资金</w:t>
            </w:r>
          </w:p>
        </w:tc>
        <w:tc>
          <w:tcPr>
            <w:tcW w:w="939" w:type="dxa"/>
          </w:tcPr>
          <w:p>
            <w:pPr>
              <w:pStyle w:val="327"/>
              <w:autoSpaceDE w:val="0"/>
              <w:autoSpaceDN w:val="0"/>
              <w:spacing w:before="82"/>
              <w:ind w:left="114"/>
              <w:jc w:val="center"/>
              <w:rPr>
                <w:rFonts w:hint="eastAsia" w:ascii="宋体" w:hAnsi="宋体" w:eastAsia="宋体" w:cs="宋体"/>
                <w:color w:val="auto"/>
                <w:sz w:val="21"/>
                <w:highlight w:val="none"/>
                <w:lang w:eastAsia="zh-CN"/>
              </w:rPr>
            </w:pPr>
          </w:p>
        </w:tc>
        <w:tc>
          <w:tcPr>
            <w:tcW w:w="1066" w:type="dxa"/>
          </w:tcPr>
          <w:p>
            <w:pPr>
              <w:pStyle w:val="327"/>
              <w:autoSpaceDE w:val="0"/>
              <w:autoSpaceDN w:val="0"/>
              <w:spacing w:before="82"/>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327"/>
              <w:autoSpaceDE w:val="0"/>
              <w:autoSpaceDN w:val="0"/>
              <w:spacing w:before="82"/>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中级职称人员</w:t>
            </w:r>
          </w:p>
        </w:tc>
        <w:tc>
          <w:tcPr>
            <w:tcW w:w="2219" w:type="dxa"/>
            <w:gridSpan w:val="2"/>
          </w:tcPr>
          <w:p>
            <w:pPr>
              <w:pStyle w:val="327"/>
              <w:autoSpaceDE w:val="0"/>
              <w:autoSpaceDN w:val="0"/>
              <w:spacing w:before="82"/>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552" w:type="dxa"/>
          </w:tcPr>
          <w:p>
            <w:pPr>
              <w:pStyle w:val="327"/>
              <w:autoSpaceDE w:val="0"/>
              <w:autoSpaceDN w:val="0"/>
              <w:spacing w:before="8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开户银行</w:t>
            </w:r>
          </w:p>
        </w:tc>
        <w:tc>
          <w:tcPr>
            <w:tcW w:w="939" w:type="dxa"/>
          </w:tcPr>
          <w:p>
            <w:pPr>
              <w:pStyle w:val="327"/>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327"/>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327"/>
              <w:autoSpaceDE w:val="0"/>
              <w:autoSpaceDN w:val="0"/>
              <w:spacing w:before="80"/>
              <w:ind w:left="358"/>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初级职称人员</w:t>
            </w:r>
          </w:p>
        </w:tc>
        <w:tc>
          <w:tcPr>
            <w:tcW w:w="2219" w:type="dxa"/>
            <w:gridSpan w:val="2"/>
          </w:tcPr>
          <w:p>
            <w:pPr>
              <w:pStyle w:val="327"/>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327"/>
              <w:autoSpaceDE w:val="0"/>
              <w:autoSpaceDN w:val="0"/>
              <w:spacing w:before="80"/>
              <w:ind w:left="151"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账号</w:t>
            </w:r>
          </w:p>
        </w:tc>
        <w:tc>
          <w:tcPr>
            <w:tcW w:w="939" w:type="dxa"/>
          </w:tcPr>
          <w:p>
            <w:pPr>
              <w:pStyle w:val="327"/>
              <w:autoSpaceDE w:val="0"/>
              <w:autoSpaceDN w:val="0"/>
              <w:spacing w:before="80"/>
              <w:ind w:left="114"/>
              <w:jc w:val="center"/>
              <w:rPr>
                <w:rFonts w:hint="eastAsia" w:ascii="宋体" w:hAnsi="宋体" w:eastAsia="宋体" w:cs="宋体"/>
                <w:color w:val="auto"/>
                <w:sz w:val="21"/>
                <w:highlight w:val="none"/>
                <w:lang w:eastAsia="zh-CN"/>
              </w:rPr>
            </w:pPr>
          </w:p>
        </w:tc>
        <w:tc>
          <w:tcPr>
            <w:tcW w:w="1066" w:type="dxa"/>
          </w:tcPr>
          <w:p>
            <w:pPr>
              <w:pStyle w:val="327"/>
              <w:autoSpaceDE w:val="0"/>
              <w:autoSpaceDN w:val="0"/>
              <w:spacing w:before="80"/>
              <w:ind w:right="396"/>
              <w:jc w:val="right"/>
              <w:rPr>
                <w:rFonts w:hint="eastAsia" w:ascii="宋体" w:hAnsi="宋体" w:eastAsia="宋体" w:cs="宋体"/>
                <w:color w:val="auto"/>
                <w:sz w:val="21"/>
                <w:highlight w:val="none"/>
                <w:lang w:eastAsia="zh-CN"/>
              </w:rPr>
            </w:pPr>
          </w:p>
        </w:tc>
        <w:tc>
          <w:tcPr>
            <w:tcW w:w="103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2075" w:type="dxa"/>
            <w:gridSpan w:val="4"/>
          </w:tcPr>
          <w:p>
            <w:pPr>
              <w:pStyle w:val="327"/>
              <w:autoSpaceDE w:val="0"/>
              <w:autoSpaceDN w:val="0"/>
              <w:spacing w:before="80"/>
              <w:ind w:left="811" w:right="705"/>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技工</w:t>
            </w:r>
          </w:p>
        </w:tc>
        <w:tc>
          <w:tcPr>
            <w:tcW w:w="2219" w:type="dxa"/>
            <w:gridSpan w:val="2"/>
          </w:tcPr>
          <w:p>
            <w:pPr>
              <w:pStyle w:val="327"/>
              <w:autoSpaceDE w:val="0"/>
              <w:autoSpaceDN w:val="0"/>
              <w:spacing w:before="80"/>
              <w:ind w:left="102"/>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jc w:val="center"/>
        </w:trPr>
        <w:tc>
          <w:tcPr>
            <w:tcW w:w="1552" w:type="dxa"/>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8"/>
              <w:rPr>
                <w:rFonts w:hint="eastAsia" w:ascii="宋体" w:hAnsi="宋体" w:eastAsia="宋体" w:cs="宋体"/>
                <w:color w:val="auto"/>
                <w:sz w:val="23"/>
                <w:highlight w:val="none"/>
                <w:lang w:eastAsia="en-US"/>
              </w:rPr>
            </w:pPr>
          </w:p>
          <w:p>
            <w:pPr>
              <w:pStyle w:val="327"/>
              <w:autoSpaceDE w:val="0"/>
              <w:autoSpaceDN w:val="0"/>
              <w:ind w:left="149"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经营范围</w:t>
            </w:r>
          </w:p>
        </w:tc>
        <w:tc>
          <w:tcPr>
            <w:tcW w:w="7337" w:type="dxa"/>
            <w:gridSpan w:val="9"/>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8"/>
              <w:rPr>
                <w:rFonts w:hint="eastAsia" w:ascii="宋体" w:hAnsi="宋体" w:eastAsia="宋体" w:cs="宋体"/>
                <w:color w:val="auto"/>
                <w:sz w:val="23"/>
                <w:highlight w:val="none"/>
                <w:lang w:eastAsia="en-US"/>
              </w:rPr>
            </w:pPr>
          </w:p>
          <w:p>
            <w:pPr>
              <w:pStyle w:val="327"/>
              <w:autoSpaceDE w:val="0"/>
              <w:autoSpaceDN w:val="0"/>
              <w:ind w:left="106"/>
              <w:jc w:val="center"/>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552" w:type="dxa"/>
          </w:tcPr>
          <w:p>
            <w:pPr>
              <w:pStyle w:val="327"/>
              <w:autoSpaceDE w:val="0"/>
              <w:autoSpaceDN w:val="0"/>
              <w:spacing w:before="80"/>
              <w:ind w:left="151" w:right="3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备注</w:t>
            </w:r>
          </w:p>
        </w:tc>
        <w:tc>
          <w:tcPr>
            <w:tcW w:w="7337" w:type="dxa"/>
            <w:gridSpan w:val="9"/>
          </w:tcPr>
          <w:p>
            <w:pPr>
              <w:pStyle w:val="327"/>
              <w:autoSpaceDE w:val="0"/>
              <w:autoSpaceDN w:val="0"/>
              <w:spacing w:before="80"/>
              <w:ind w:left="106"/>
              <w:jc w:val="center"/>
              <w:rPr>
                <w:rFonts w:hint="eastAsia" w:ascii="宋体" w:hAnsi="宋体" w:eastAsia="宋体" w:cs="宋体"/>
                <w:color w:val="auto"/>
                <w:sz w:val="21"/>
                <w:highlight w:val="none"/>
                <w:lang w:eastAsia="zh-CN"/>
              </w:rPr>
            </w:pPr>
          </w:p>
        </w:tc>
      </w:tr>
    </w:tbl>
    <w:p>
      <w:pPr>
        <w:spacing w:before="145" w:beforeLines="50" w:after="290" w:afterLines="100" w:line="440" w:lineRule="exact"/>
        <w:rPr>
          <w:rFonts w:hint="eastAsia" w:ascii="宋体" w:hAnsi="宋体" w:eastAsia="宋体" w:cs="宋体"/>
          <w:sz w:val="24"/>
          <w:szCs w:val="20"/>
          <w:highlight w:val="none"/>
        </w:rPr>
      </w:pPr>
    </w:p>
    <w:p>
      <w:pPr>
        <w:spacing w:before="145" w:beforeLines="50" w:after="290" w:afterLines="100" w:line="440" w:lineRule="exact"/>
        <w:rPr>
          <w:rFonts w:hint="eastAsia" w:ascii="宋体" w:hAnsi="宋体" w:eastAsia="宋体" w:cs="宋体"/>
          <w:sz w:val="24"/>
          <w:szCs w:val="20"/>
          <w:highlight w:val="none"/>
        </w:rPr>
      </w:pPr>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（二）近年财务状况表</w:t>
      </w:r>
      <w:bookmarkEnd w:id="523"/>
      <w:bookmarkEnd w:id="524"/>
      <w:bookmarkEnd w:id="525"/>
      <w:bookmarkEnd w:id="526"/>
      <w:bookmarkEnd w:id="527"/>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备注：在此附近三年经会计师事务所或审计机构审计的财务会计报表，包括资产负债表、损益表、现金流量表、利润表和财务情况说明书的复印件的扫描件。</w:t>
      </w:r>
    </w:p>
    <w:p>
      <w:pPr>
        <w:spacing w:before="145" w:beforeLines="50" w:after="145" w:afterLines="50" w:line="440" w:lineRule="exact"/>
        <w:ind w:left="630" w:hanging="630" w:hangingChars="300"/>
        <w:rPr>
          <w:rFonts w:hint="eastAsia" w:ascii="宋体" w:hAnsi="宋体" w:eastAsia="宋体" w:cs="宋体"/>
          <w:sz w:val="24"/>
          <w:szCs w:val="20"/>
          <w:highlight w:val="none"/>
        </w:rPr>
      </w:pPr>
      <w:r>
        <w:rPr>
          <w:rFonts w:hint="eastAsia" w:ascii="宋体" w:hAnsi="宋体" w:eastAsia="宋体" w:cs="宋体"/>
          <w:szCs w:val="21"/>
          <w:highlight w:val="none"/>
        </w:rPr>
        <w:br w:type="page"/>
      </w:r>
      <w:bookmarkStart w:id="533" w:name="_Toc403501699"/>
      <w:bookmarkStart w:id="534" w:name="_Toc409016141"/>
      <w:bookmarkStart w:id="535" w:name="_Toc403502138"/>
      <w:bookmarkStart w:id="536" w:name="_Toc432497607"/>
      <w:bookmarkStart w:id="537" w:name="_Toc20849"/>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（三）近年发生的诉讼和仲裁情况</w:t>
      </w:r>
      <w:bookmarkEnd w:id="533"/>
      <w:bookmarkEnd w:id="534"/>
      <w:bookmarkEnd w:id="535"/>
      <w:bookmarkEnd w:id="536"/>
      <w:bookmarkEnd w:id="537"/>
    </w:p>
    <w:p>
      <w:pPr>
        <w:spacing w:before="145" w:beforeLines="50" w:after="290" w:afterLines="100" w:line="440" w:lineRule="exact"/>
        <w:rPr>
          <w:rFonts w:hint="eastAsia" w:ascii="宋体" w:hAnsi="宋体" w:eastAsia="宋体" w:cs="宋体"/>
          <w:sz w:val="24"/>
          <w:szCs w:val="20"/>
          <w:highlight w:val="none"/>
        </w:rPr>
      </w:pPr>
      <w:r>
        <w:rPr>
          <w:rFonts w:hint="eastAsia" w:ascii="宋体" w:hAnsi="宋体" w:eastAsia="宋体" w:cs="宋体"/>
          <w:sz w:val="24"/>
          <w:szCs w:val="20"/>
          <w:highlight w:val="none"/>
        </w:rPr>
        <w:t>说明：近年发生的诉讼和仲裁情况仅限于供应商单位败诉的，且与履行施工承包合同有关的案件，不包括调解结案以及未裁决的仲裁或未终审判决的诉讼。</w:t>
      </w:r>
    </w:p>
    <w:p>
      <w:pPr>
        <w:spacing w:before="145" w:beforeLines="50" w:after="145" w:afterLines="50" w:line="440" w:lineRule="exact"/>
        <w:ind w:left="630" w:hanging="630" w:hangingChars="300"/>
        <w:rPr>
          <w:rFonts w:hint="eastAsia" w:ascii="宋体" w:hAnsi="宋体" w:eastAsia="宋体" w:cs="宋体"/>
          <w:sz w:val="24"/>
          <w:szCs w:val="20"/>
          <w:highlight w:val="none"/>
        </w:rPr>
      </w:pPr>
      <w:r>
        <w:rPr>
          <w:rFonts w:hint="eastAsia" w:ascii="宋体" w:hAnsi="宋体" w:eastAsia="宋体" w:cs="宋体"/>
          <w:szCs w:val="21"/>
          <w:highlight w:val="none"/>
        </w:rPr>
        <w:br w:type="page"/>
      </w:r>
      <w:bookmarkStart w:id="538" w:name="_Toc409016142"/>
      <w:bookmarkStart w:id="539" w:name="_Toc29616"/>
      <w:bookmarkStart w:id="540" w:name="_Toc403502139"/>
      <w:bookmarkStart w:id="541" w:name="_Toc403501700"/>
      <w:bookmarkStart w:id="542" w:name="_Toc432497608"/>
      <w:r>
        <w:rPr>
          <w:rFonts w:hint="eastAsia" w:ascii="宋体" w:hAnsi="宋体" w:eastAsia="宋体" w:cs="宋体"/>
          <w:sz w:val="24"/>
          <w:szCs w:val="20"/>
          <w:highlight w:val="none"/>
        </w:rPr>
        <w:t>（四）企业其他信誉情况表（年份要求同诉讼及仲裁情况年份要求）</w:t>
      </w:r>
      <w:bookmarkEnd w:id="538"/>
      <w:bookmarkEnd w:id="539"/>
      <w:bookmarkEnd w:id="540"/>
      <w:bookmarkEnd w:id="541"/>
      <w:bookmarkEnd w:id="542"/>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1、近年企业不良行为记录情况</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2、在施工程以及近年已竣工工程合同履行情况</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r>
        <w:rPr>
          <w:rFonts w:hint="eastAsia" w:ascii="宋体" w:hAnsi="宋体" w:eastAsia="宋体" w:cs="宋体"/>
          <w:szCs w:val="21"/>
          <w:highlight w:val="none"/>
        </w:rPr>
        <w:t>3、其他</w:t>
      </w: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630" w:hanging="630" w:hangingChars="300"/>
        <w:rPr>
          <w:rFonts w:hint="eastAsia" w:ascii="宋体" w:hAnsi="宋体" w:eastAsia="宋体" w:cs="宋体"/>
          <w:szCs w:val="21"/>
          <w:highlight w:val="none"/>
        </w:rPr>
      </w:pPr>
    </w:p>
    <w:p>
      <w:pPr>
        <w:spacing w:line="440" w:lineRule="exact"/>
        <w:ind w:left="945" w:hanging="945" w:hangingChars="450"/>
        <w:rPr>
          <w:rFonts w:hint="eastAsia" w:ascii="宋体" w:hAnsi="宋体" w:eastAsia="宋体" w:cs="宋体"/>
          <w:szCs w:val="21"/>
          <w:highlight w:val="none"/>
        </w:rPr>
      </w:pPr>
      <w:r>
        <w:rPr>
          <w:rFonts w:hint="eastAsia" w:ascii="宋体" w:hAnsi="宋体" w:eastAsia="宋体" w:cs="宋体"/>
          <w:szCs w:val="21"/>
          <w:highlight w:val="none"/>
        </w:rPr>
        <w:t>备注：1、企业不良行为记录情况主要是近年供应商单位在工程建设过程中因违反有关工程建设的法律、法规、规章或强制性标准和执业行为规范，经县级以上建设行政主管部门或其委托的执法监督机构查实和行政处罚，形成的不良行为记录。</w:t>
      </w:r>
    </w:p>
    <w:p>
      <w:pPr>
        <w:spacing w:line="440" w:lineRule="exact"/>
        <w:ind w:left="945" w:leftChars="300" w:hanging="315" w:hangingChars="150"/>
        <w:rPr>
          <w:rFonts w:hint="eastAsia" w:ascii="宋体" w:hAnsi="宋体" w:eastAsia="宋体" w:cs="宋体"/>
          <w:szCs w:val="21"/>
          <w:highlight w:val="none"/>
        </w:rPr>
      </w:pPr>
      <w:r>
        <w:rPr>
          <w:rFonts w:hint="eastAsia" w:ascii="宋体" w:hAnsi="宋体" w:eastAsia="宋体" w:cs="宋体"/>
          <w:szCs w:val="21"/>
          <w:highlight w:val="none"/>
        </w:rPr>
        <w:t>2、合同履行情况主要是供应商单位近年所承接工程和已竣工工程是否按合同约定的服务期限、质量、安全等履行合同义务，对未竣工工程合同履行情况还应重点说明非不可抗力解除合同（如果有)的原因等具体情况等。</w:t>
      </w:r>
    </w:p>
    <w:p>
      <w:pPr>
        <w:spacing w:line="440" w:lineRule="exact"/>
        <w:ind w:left="1080" w:leftChars="300" w:hanging="450" w:hangingChars="150"/>
        <w:jc w:val="center"/>
        <w:rPr>
          <w:rFonts w:hint="eastAsia" w:ascii="宋体" w:hAnsi="宋体" w:eastAsia="宋体" w:cs="宋体"/>
          <w:sz w:val="30"/>
          <w:szCs w:val="30"/>
          <w:highlight w:val="none"/>
        </w:rPr>
      </w:pPr>
    </w:p>
    <w:p>
      <w:pPr>
        <w:spacing w:line="440" w:lineRule="exact"/>
        <w:ind w:left="1080" w:leftChars="300" w:hanging="450" w:hangingChars="150"/>
        <w:jc w:val="center"/>
        <w:rPr>
          <w:rFonts w:hint="eastAsia" w:ascii="宋体" w:hAnsi="宋体" w:eastAsia="宋体" w:cs="宋体"/>
          <w:sz w:val="30"/>
          <w:szCs w:val="30"/>
          <w:highlight w:val="none"/>
        </w:rPr>
      </w:pPr>
    </w:p>
    <w:p>
      <w:pPr>
        <w:widowControl/>
        <w:jc w:val="left"/>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outlineLvl w:val="1"/>
        <w:rPr>
          <w:rFonts w:hint="eastAsia" w:ascii="宋体" w:hAnsi="宋体" w:eastAsia="宋体" w:cs="宋体"/>
          <w:b/>
          <w:sz w:val="32"/>
          <w:szCs w:val="32"/>
          <w:highlight w:val="none"/>
        </w:rPr>
      </w:pPr>
      <w:bookmarkStart w:id="543" w:name="_Toc63332577"/>
      <w:bookmarkStart w:id="544" w:name="_Toc63332497"/>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二</w:t>
      </w:r>
      <w:r>
        <w:rPr>
          <w:rFonts w:hint="eastAsia" w:ascii="宋体" w:hAnsi="宋体" w:eastAsia="宋体" w:cs="宋体"/>
          <w:b/>
          <w:sz w:val="32"/>
          <w:szCs w:val="32"/>
          <w:highlight w:val="none"/>
        </w:rPr>
        <w:t>：</w:t>
      </w:r>
      <w:bookmarkEnd w:id="528"/>
      <w:bookmarkEnd w:id="529"/>
      <w:bookmarkEnd w:id="530"/>
      <w:bookmarkEnd w:id="531"/>
      <w:bookmarkEnd w:id="532"/>
      <w:r>
        <w:rPr>
          <w:rFonts w:hint="eastAsia" w:ascii="宋体" w:hAnsi="宋体" w:eastAsia="宋体" w:cs="宋体"/>
          <w:b/>
          <w:sz w:val="32"/>
          <w:szCs w:val="32"/>
          <w:highlight w:val="none"/>
        </w:rPr>
        <w:t>业绩一览表</w:t>
      </w:r>
      <w:bookmarkEnd w:id="543"/>
      <w:bookmarkEnd w:id="544"/>
    </w:p>
    <w:p>
      <w:pPr>
        <w:widowControl/>
        <w:jc w:val="left"/>
        <w:rPr>
          <w:rFonts w:hint="eastAsia" w:ascii="宋体" w:hAnsi="宋体" w:eastAsia="宋体" w:cs="宋体"/>
          <w:highlight w:val="none"/>
        </w:rPr>
      </w:pPr>
      <w:bookmarkStart w:id="545" w:name="_Toc424113136"/>
      <w:bookmarkStart w:id="546" w:name="_Toc338378164"/>
      <w:bookmarkStart w:id="547" w:name="_Toc419377299"/>
      <w:bookmarkStart w:id="548" w:name="_Toc321842210"/>
    </w:p>
    <w:tbl>
      <w:tblPr>
        <w:tblStyle w:val="49"/>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1328"/>
        <w:gridCol w:w="1100"/>
        <w:gridCol w:w="962"/>
        <w:gridCol w:w="826"/>
        <w:gridCol w:w="824"/>
        <w:gridCol w:w="1199"/>
        <w:gridCol w:w="1843"/>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70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3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96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内容</w:t>
            </w:r>
          </w:p>
        </w:tc>
        <w:tc>
          <w:tcPr>
            <w:tcW w:w="8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合同签订时间</w:t>
            </w:r>
          </w:p>
        </w:tc>
        <w:tc>
          <w:tcPr>
            <w:tcW w:w="82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119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项目单位联系人</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联系电话</w:t>
            </w:r>
          </w:p>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（固定电话及手机号码）</w:t>
            </w:r>
          </w:p>
        </w:tc>
        <w:tc>
          <w:tcPr>
            <w:tcW w:w="1134" w:type="dxa"/>
            <w:tcBorders>
              <w:top w:val="single" w:color="auto" w:sz="4" w:space="0"/>
              <w:left w:val="single" w:color="auto" w:sz="4" w:space="0"/>
              <w:right w:val="single" w:color="auto" w:sz="4" w:space="0"/>
            </w:tcBorders>
            <w:vAlign w:val="center"/>
          </w:tcPr>
          <w:p>
            <w:pPr>
              <w:spacing w:line="340" w:lineRule="exact"/>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highlight w:val="none"/>
              </w:rPr>
            </w:pPr>
          </w:p>
        </w:tc>
      </w:tr>
      <w:bookmarkEnd w:id="545"/>
      <w:bookmarkEnd w:id="546"/>
      <w:bookmarkEnd w:id="547"/>
      <w:bookmarkEnd w:id="548"/>
    </w:tbl>
    <w:p>
      <w:pPr>
        <w:pStyle w:val="4"/>
        <w:jc w:val="center"/>
        <w:rPr>
          <w:rFonts w:hint="eastAsia" w:ascii="宋体" w:hAnsi="宋体" w:eastAsia="宋体" w:cs="宋体"/>
          <w:bCs w:val="0"/>
          <w:kern w:val="2"/>
          <w:highlight w:val="none"/>
        </w:rPr>
      </w:pPr>
    </w:p>
    <w:p>
      <w:pPr>
        <w:pStyle w:val="62"/>
        <w:rPr>
          <w:rFonts w:hint="eastAsia" w:ascii="宋体" w:hAnsi="宋体" w:eastAsia="宋体" w:cs="宋体"/>
          <w:sz w:val="32"/>
          <w:szCs w:val="32"/>
          <w:highlight w:val="none"/>
        </w:rPr>
      </w:pPr>
      <w:r>
        <w:rPr>
          <w:rFonts w:hint="eastAsia" w:ascii="宋体" w:hAnsi="宋体" w:eastAsia="宋体" w:cs="宋体"/>
          <w:highlight w:val="none"/>
        </w:rPr>
        <w:br w:type="page"/>
      </w:r>
    </w:p>
    <w:p>
      <w:pPr>
        <w:spacing w:line="420" w:lineRule="exact"/>
        <w:rPr>
          <w:rFonts w:hint="eastAsia" w:ascii="宋体" w:hAnsi="宋体" w:eastAsia="宋体" w:cs="宋体"/>
          <w:sz w:val="28"/>
          <w:szCs w:val="28"/>
          <w:highlight w:val="none"/>
        </w:rPr>
      </w:pPr>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三</w:t>
      </w:r>
      <w:r>
        <w:rPr>
          <w:rFonts w:hint="eastAsia" w:ascii="宋体" w:hAnsi="宋体" w:eastAsia="宋体" w:cs="宋体"/>
          <w:b/>
          <w:sz w:val="32"/>
          <w:szCs w:val="32"/>
          <w:highlight w:val="none"/>
        </w:rPr>
        <w:t>：项目管理机构</w:t>
      </w:r>
    </w:p>
    <w:p>
      <w:pPr>
        <w:spacing w:line="360" w:lineRule="auto"/>
        <w:ind w:firstLine="482" w:firstLineChars="200"/>
        <w:jc w:val="center"/>
        <w:rPr>
          <w:rFonts w:hint="eastAsia" w:ascii="宋体" w:hAnsi="宋体" w:eastAsia="宋体" w:cs="宋体"/>
          <w:b/>
          <w:sz w:val="24"/>
          <w:highlight w:val="none"/>
        </w:rPr>
      </w:pPr>
    </w:p>
    <w:p>
      <w:pPr>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（一）项目管理机构组成表</w:t>
      </w:r>
    </w:p>
    <w:tbl>
      <w:tblPr>
        <w:tblStyle w:val="331"/>
        <w:tblW w:w="105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9"/>
        <w:gridCol w:w="774"/>
        <w:gridCol w:w="1313"/>
        <w:gridCol w:w="1311"/>
        <w:gridCol w:w="1313"/>
        <w:gridCol w:w="1315"/>
        <w:gridCol w:w="1313"/>
        <w:gridCol w:w="1312"/>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9" w:type="dxa"/>
            <w:vMerge w:val="restart"/>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5"/>
              <w:rPr>
                <w:rFonts w:hint="eastAsia" w:ascii="宋体" w:hAnsi="宋体" w:eastAsia="宋体" w:cs="宋体"/>
                <w:color w:val="auto"/>
                <w:sz w:val="14"/>
                <w:highlight w:val="none"/>
                <w:lang w:eastAsia="en-US"/>
              </w:rPr>
            </w:pPr>
          </w:p>
          <w:p>
            <w:pPr>
              <w:pStyle w:val="327"/>
              <w:autoSpaceDE w:val="0"/>
              <w:autoSpaceDN w:val="0"/>
              <w:ind w:left="143"/>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序号</w:t>
            </w:r>
          </w:p>
        </w:tc>
        <w:tc>
          <w:tcPr>
            <w:tcW w:w="774" w:type="dxa"/>
            <w:vMerge w:val="restart"/>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9"/>
              <w:rPr>
                <w:rFonts w:hint="eastAsia" w:ascii="宋体" w:hAnsi="宋体" w:eastAsia="宋体" w:cs="宋体"/>
                <w:color w:val="auto"/>
                <w:sz w:val="23"/>
                <w:highlight w:val="none"/>
                <w:lang w:eastAsia="en-US"/>
              </w:rPr>
            </w:pPr>
          </w:p>
          <w:p>
            <w:pPr>
              <w:pStyle w:val="327"/>
              <w:autoSpaceDE w:val="0"/>
              <w:autoSpaceDN w:val="0"/>
              <w:spacing w:line="242" w:lineRule="auto"/>
              <w:ind w:left="201" w:right="8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姓名</w:t>
            </w:r>
          </w:p>
        </w:tc>
        <w:tc>
          <w:tcPr>
            <w:tcW w:w="1313" w:type="dxa"/>
            <w:vMerge w:val="restart"/>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5"/>
              <w:rPr>
                <w:rFonts w:hint="eastAsia" w:ascii="宋体" w:hAnsi="宋体" w:eastAsia="宋体" w:cs="宋体"/>
                <w:color w:val="auto"/>
                <w:sz w:val="14"/>
                <w:highlight w:val="none"/>
                <w:lang w:eastAsia="en-US"/>
              </w:rPr>
            </w:pPr>
          </w:p>
          <w:p>
            <w:pPr>
              <w:pStyle w:val="327"/>
              <w:autoSpaceDE w:val="0"/>
              <w:autoSpaceDN w:val="0"/>
              <w:ind w:left="445"/>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职务</w:t>
            </w:r>
          </w:p>
        </w:tc>
        <w:tc>
          <w:tcPr>
            <w:tcW w:w="1311" w:type="dxa"/>
            <w:vMerge w:val="restart"/>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9"/>
              <w:rPr>
                <w:rFonts w:hint="eastAsia" w:ascii="宋体" w:hAnsi="宋体" w:eastAsia="宋体" w:cs="宋体"/>
                <w:color w:val="auto"/>
                <w:sz w:val="23"/>
                <w:highlight w:val="none"/>
                <w:lang w:eastAsia="en-US"/>
              </w:rPr>
            </w:pPr>
          </w:p>
          <w:p>
            <w:pPr>
              <w:pStyle w:val="327"/>
              <w:autoSpaceDE w:val="0"/>
              <w:autoSpaceDN w:val="0"/>
              <w:spacing w:line="242" w:lineRule="auto"/>
              <w:ind w:left="445" w:right="116" w:hanging="317"/>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执业资格或职称</w:t>
            </w:r>
          </w:p>
        </w:tc>
        <w:tc>
          <w:tcPr>
            <w:tcW w:w="5253" w:type="dxa"/>
            <w:gridSpan w:val="4"/>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681"/>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执业或职业资格证明</w:t>
            </w:r>
          </w:p>
        </w:tc>
        <w:tc>
          <w:tcPr>
            <w:tcW w:w="1089" w:type="dxa"/>
            <w:vMerge w:val="restart"/>
          </w:tcPr>
          <w:p>
            <w:pPr>
              <w:pStyle w:val="327"/>
              <w:autoSpaceDE w:val="0"/>
              <w:autoSpaceDN w:val="0"/>
              <w:rPr>
                <w:rFonts w:hint="eastAsia" w:ascii="宋体" w:hAnsi="宋体" w:eastAsia="宋体" w:cs="宋体"/>
                <w:color w:val="auto"/>
                <w:sz w:val="20"/>
                <w:highlight w:val="none"/>
                <w:lang w:eastAsia="en-US"/>
              </w:rPr>
            </w:pPr>
          </w:p>
          <w:p>
            <w:pPr>
              <w:pStyle w:val="327"/>
              <w:autoSpaceDE w:val="0"/>
              <w:autoSpaceDN w:val="0"/>
              <w:spacing w:before="9"/>
              <w:rPr>
                <w:rFonts w:hint="eastAsia" w:ascii="宋体" w:hAnsi="宋体" w:eastAsia="宋体" w:cs="宋体"/>
                <w:color w:val="auto"/>
                <w:sz w:val="23"/>
                <w:highlight w:val="none"/>
                <w:lang w:eastAsia="en-US"/>
              </w:rPr>
            </w:pPr>
          </w:p>
          <w:p>
            <w:pPr>
              <w:pStyle w:val="327"/>
              <w:autoSpaceDE w:val="0"/>
              <w:autoSpaceDN w:val="0"/>
              <w:spacing w:line="242" w:lineRule="auto"/>
              <w:ind w:right="92"/>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8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774"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3"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1"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269" w:right="1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证书名称</w:t>
            </w:r>
          </w:p>
        </w:tc>
        <w:tc>
          <w:tcPr>
            <w:tcW w:w="1315"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480" w:right="36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级别</w:t>
            </w: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267" w:right="154"/>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证号</w:t>
            </w:r>
          </w:p>
        </w:tc>
        <w:tc>
          <w:tcPr>
            <w:tcW w:w="1312"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478" w:right="363"/>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en-US"/>
              </w:rPr>
              <w:t>专业</w:t>
            </w:r>
          </w:p>
        </w:tc>
        <w:tc>
          <w:tcPr>
            <w:tcW w:w="1089" w:type="dxa"/>
            <w:vMerge w:val="continue"/>
            <w:tcBorders>
              <w:top w:val="nil"/>
            </w:tcBorders>
          </w:tcPr>
          <w:p>
            <w:pPr>
              <w:autoSpaceDE w:val="0"/>
              <w:autoSpaceDN w:val="0"/>
              <w:rPr>
                <w:rFonts w:hint="eastAsia" w:ascii="宋体" w:hAnsi="宋体" w:eastAsia="宋体" w:cs="宋体"/>
                <w:color w:val="auto"/>
                <w:sz w:val="2"/>
                <w:szCs w:val="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9"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9"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7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10"/>
              <w:rPr>
                <w:rFonts w:hint="eastAsia" w:ascii="宋体" w:hAnsi="宋体" w:eastAsia="宋体" w:cs="宋体"/>
                <w:color w:val="auto"/>
                <w:sz w:val="21"/>
                <w:highlight w:val="none"/>
                <w:lang w:eastAsia="en-US"/>
              </w:rPr>
            </w:pPr>
          </w:p>
          <w:p>
            <w:pPr>
              <w:pStyle w:val="327"/>
              <w:autoSpaceDE w:val="0"/>
              <w:autoSpaceDN w:val="0"/>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9"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7"/>
              <w:rPr>
                <w:rFonts w:hint="eastAsia" w:ascii="宋体" w:hAnsi="宋体" w:eastAsia="宋体" w:cs="宋体"/>
                <w:color w:val="auto"/>
                <w:sz w:val="21"/>
                <w:highlight w:val="none"/>
                <w:lang w:eastAsia="en-US"/>
              </w:rPr>
            </w:pPr>
          </w:p>
          <w:p>
            <w:pPr>
              <w:pStyle w:val="327"/>
              <w:autoSpaceDE w:val="0"/>
              <w:autoSpaceDN w:val="0"/>
              <w:spacing w:before="1"/>
              <w:ind w:right="305"/>
              <w:jc w:val="right"/>
              <w:rPr>
                <w:rFonts w:hint="eastAsia" w:ascii="宋体" w:hAnsi="宋体" w:eastAsia="宋体" w:cs="宋体"/>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789"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right="233"/>
              <w:jc w:val="right"/>
              <w:rPr>
                <w:rFonts w:hint="eastAsia" w:ascii="宋体" w:hAnsi="宋体" w:eastAsia="宋体" w:cs="宋体"/>
                <w:color w:val="auto"/>
                <w:sz w:val="21"/>
                <w:highlight w:val="none"/>
                <w:lang w:eastAsia="zh-CN"/>
              </w:rPr>
            </w:pPr>
          </w:p>
        </w:tc>
        <w:tc>
          <w:tcPr>
            <w:tcW w:w="774"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right="185"/>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right="541"/>
              <w:jc w:val="right"/>
              <w:rPr>
                <w:rFonts w:hint="eastAsia" w:ascii="宋体" w:hAnsi="宋体" w:eastAsia="宋体" w:cs="宋体"/>
                <w:color w:val="auto"/>
                <w:sz w:val="21"/>
                <w:highlight w:val="none"/>
                <w:lang w:eastAsia="zh-CN"/>
              </w:rPr>
            </w:pPr>
          </w:p>
        </w:tc>
        <w:tc>
          <w:tcPr>
            <w:tcW w:w="1311"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right="538"/>
              <w:jc w:val="right"/>
              <w:rPr>
                <w:rFonts w:hint="eastAsia" w:ascii="宋体" w:hAnsi="宋体" w:eastAsia="宋体" w:cs="宋体"/>
                <w:color w:val="auto"/>
                <w:sz w:val="21"/>
                <w:highlight w:val="none"/>
                <w:lang w:eastAsia="zh-CN"/>
              </w:rPr>
            </w:pPr>
          </w:p>
        </w:tc>
        <w:tc>
          <w:tcPr>
            <w:tcW w:w="1313"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left="115"/>
              <w:jc w:val="center"/>
              <w:rPr>
                <w:rFonts w:hint="eastAsia" w:ascii="宋体" w:hAnsi="宋体" w:eastAsia="宋体" w:cs="宋体"/>
                <w:color w:val="auto"/>
                <w:sz w:val="21"/>
                <w:highlight w:val="none"/>
                <w:lang w:eastAsia="zh-CN"/>
              </w:rPr>
            </w:pPr>
          </w:p>
        </w:tc>
        <w:tc>
          <w:tcPr>
            <w:tcW w:w="1315"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313"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left="111"/>
              <w:jc w:val="center"/>
              <w:rPr>
                <w:rFonts w:hint="eastAsia" w:ascii="宋体" w:hAnsi="宋体" w:eastAsia="宋体" w:cs="宋体"/>
                <w:color w:val="auto"/>
                <w:sz w:val="21"/>
                <w:highlight w:val="none"/>
                <w:lang w:eastAsia="zh-CN"/>
              </w:rPr>
            </w:pPr>
          </w:p>
        </w:tc>
        <w:tc>
          <w:tcPr>
            <w:tcW w:w="1312"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left="113"/>
              <w:jc w:val="center"/>
              <w:rPr>
                <w:rFonts w:hint="eastAsia" w:ascii="宋体" w:hAnsi="宋体" w:eastAsia="宋体" w:cs="宋体"/>
                <w:color w:val="auto"/>
                <w:sz w:val="21"/>
                <w:highlight w:val="none"/>
                <w:lang w:eastAsia="zh-CN"/>
              </w:rPr>
            </w:pPr>
          </w:p>
        </w:tc>
        <w:tc>
          <w:tcPr>
            <w:tcW w:w="1089" w:type="dxa"/>
          </w:tcPr>
          <w:p>
            <w:pPr>
              <w:pStyle w:val="327"/>
              <w:autoSpaceDE w:val="0"/>
              <w:autoSpaceDN w:val="0"/>
              <w:spacing w:before="8"/>
              <w:rPr>
                <w:rFonts w:hint="eastAsia" w:ascii="宋体" w:hAnsi="宋体" w:eastAsia="宋体" w:cs="宋体"/>
                <w:color w:val="auto"/>
                <w:sz w:val="21"/>
                <w:highlight w:val="none"/>
                <w:lang w:eastAsia="en-US"/>
              </w:rPr>
            </w:pPr>
          </w:p>
          <w:p>
            <w:pPr>
              <w:pStyle w:val="327"/>
              <w:autoSpaceDE w:val="0"/>
              <w:autoSpaceDN w:val="0"/>
              <w:ind w:right="305"/>
              <w:jc w:val="right"/>
              <w:rPr>
                <w:rFonts w:hint="eastAsia" w:ascii="宋体" w:hAnsi="宋体" w:eastAsia="宋体" w:cs="宋体"/>
                <w:color w:val="auto"/>
                <w:sz w:val="21"/>
                <w:highlight w:val="none"/>
                <w:lang w:eastAsia="zh-CN"/>
              </w:rPr>
            </w:pPr>
          </w:p>
        </w:tc>
      </w:tr>
    </w:tbl>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（格式可自拟、此表可扩展）</w:t>
      </w:r>
    </w:p>
    <w:p>
      <w:pPr>
        <w:pStyle w:val="31"/>
        <w:rPr>
          <w:rFonts w:hint="eastAsia" w:ascii="宋体" w:hAnsi="宋体" w:eastAsia="宋体" w:cs="宋体"/>
          <w:highlight w:val="none"/>
        </w:rPr>
      </w:pPr>
      <w:r>
        <w:rPr>
          <w:rFonts w:hint="eastAsia" w:ascii="宋体" w:hAnsi="宋体" w:eastAsia="宋体" w:cs="宋体"/>
          <w:highlight w:val="none"/>
        </w:rPr>
        <w:br w:type="page"/>
      </w:r>
    </w:p>
    <w:p>
      <w:pPr>
        <w:rPr>
          <w:rFonts w:hint="eastAsia" w:ascii="宋体" w:hAnsi="宋体" w:eastAsia="宋体" w:cs="宋体"/>
          <w:b/>
          <w:sz w:val="24"/>
          <w:highlight w:val="none"/>
        </w:rPr>
      </w:pPr>
      <w:r>
        <w:rPr>
          <w:rFonts w:hint="eastAsia" w:ascii="宋体" w:hAnsi="宋体" w:eastAsia="宋体" w:cs="宋体"/>
          <w:b/>
          <w:sz w:val="24"/>
          <w:highlight w:val="none"/>
        </w:rPr>
        <w:t>（二）主要人员简历表</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“主要人员简历表”中的项目负责人应附身份证、职称证、养老保险扫描件，其他主要人员应附职称证（执业证或上岗证书）、养老保险扫描件。</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名</w:t>
            </w:r>
          </w:p>
        </w:tc>
        <w:tc>
          <w:tcPr>
            <w:tcW w:w="1625" w:type="dxa"/>
          </w:tcPr>
          <w:p>
            <w:pPr>
              <w:spacing w:line="360" w:lineRule="auto"/>
              <w:rPr>
                <w:rFonts w:hint="eastAsia" w:ascii="宋体" w:hAnsi="宋体" w:eastAsia="宋体" w:cs="宋体"/>
                <w:sz w:val="24"/>
                <w:highlight w:val="none"/>
              </w:rPr>
            </w:pPr>
          </w:p>
        </w:tc>
        <w:tc>
          <w:tcPr>
            <w:tcW w:w="108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年龄</w:t>
            </w:r>
          </w:p>
        </w:tc>
        <w:tc>
          <w:tcPr>
            <w:tcW w:w="1440" w:type="dxa"/>
            <w:gridSpan w:val="2"/>
          </w:tcPr>
          <w:p>
            <w:pPr>
              <w:spacing w:line="360" w:lineRule="auto"/>
              <w:rPr>
                <w:rFonts w:hint="eastAsia" w:ascii="宋体" w:hAnsi="宋体" w:eastAsia="宋体" w:cs="宋体"/>
                <w:sz w:val="24"/>
                <w:highlight w:val="none"/>
              </w:rPr>
            </w:pPr>
          </w:p>
        </w:tc>
        <w:tc>
          <w:tcPr>
            <w:tcW w:w="1980"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学历</w:t>
            </w:r>
          </w:p>
        </w:tc>
        <w:tc>
          <w:tcPr>
            <w:tcW w:w="1789" w:type="dxa"/>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职称</w:t>
            </w:r>
          </w:p>
        </w:tc>
        <w:tc>
          <w:tcPr>
            <w:tcW w:w="1625" w:type="dxa"/>
          </w:tcPr>
          <w:p>
            <w:pPr>
              <w:spacing w:line="360" w:lineRule="auto"/>
              <w:rPr>
                <w:rFonts w:hint="eastAsia" w:ascii="宋体" w:hAnsi="宋体" w:eastAsia="宋体" w:cs="宋体"/>
                <w:sz w:val="24"/>
                <w:highlight w:val="none"/>
              </w:rPr>
            </w:pPr>
          </w:p>
        </w:tc>
        <w:tc>
          <w:tcPr>
            <w:tcW w:w="108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职务</w:t>
            </w:r>
          </w:p>
        </w:tc>
        <w:tc>
          <w:tcPr>
            <w:tcW w:w="1440" w:type="dxa"/>
            <w:gridSpan w:val="2"/>
          </w:tcPr>
          <w:p>
            <w:pPr>
              <w:spacing w:line="360" w:lineRule="auto"/>
              <w:rPr>
                <w:rFonts w:hint="eastAsia" w:ascii="宋体" w:hAnsi="宋体" w:eastAsia="宋体" w:cs="宋体"/>
                <w:sz w:val="24"/>
                <w:highlight w:val="none"/>
              </w:rPr>
            </w:pPr>
          </w:p>
        </w:tc>
        <w:tc>
          <w:tcPr>
            <w:tcW w:w="1980"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拟在本合同任职</w:t>
            </w:r>
          </w:p>
        </w:tc>
        <w:tc>
          <w:tcPr>
            <w:tcW w:w="1789" w:type="dxa"/>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5"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毕业学校</w:t>
            </w:r>
          </w:p>
        </w:tc>
        <w:tc>
          <w:tcPr>
            <w:tcW w:w="7914" w:type="dxa"/>
            <w:gridSpan w:val="7"/>
          </w:tcPr>
          <w:p>
            <w:pPr>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29" w:type="dxa"/>
            <w:gridSpan w:val="9"/>
          </w:tcPr>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时间</w:t>
            </w:r>
          </w:p>
        </w:tc>
        <w:tc>
          <w:tcPr>
            <w:tcW w:w="3960" w:type="dxa"/>
            <w:gridSpan w:val="4"/>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参加过的类似项目</w:t>
            </w:r>
          </w:p>
        </w:tc>
        <w:tc>
          <w:tcPr>
            <w:tcW w:w="1792"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担任职务</w:t>
            </w:r>
          </w:p>
        </w:tc>
        <w:tc>
          <w:tcPr>
            <w:tcW w:w="2517" w:type="dxa"/>
            <w:gridSpan w:val="2"/>
            <w:vAlign w:val="center"/>
          </w:tcPr>
          <w:p>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tcPr>
          <w:p>
            <w:pPr>
              <w:spacing w:line="360" w:lineRule="auto"/>
              <w:rPr>
                <w:rFonts w:hint="eastAsia" w:ascii="宋体" w:hAnsi="宋体" w:eastAsia="宋体" w:cs="宋体"/>
                <w:sz w:val="24"/>
                <w:highlight w:val="none"/>
              </w:rPr>
            </w:pPr>
          </w:p>
        </w:tc>
        <w:tc>
          <w:tcPr>
            <w:tcW w:w="3960" w:type="dxa"/>
            <w:gridSpan w:val="4"/>
          </w:tcPr>
          <w:p>
            <w:pPr>
              <w:spacing w:line="360" w:lineRule="auto"/>
              <w:rPr>
                <w:rFonts w:hint="eastAsia" w:ascii="宋体" w:hAnsi="宋体" w:eastAsia="宋体" w:cs="宋体"/>
                <w:sz w:val="24"/>
                <w:highlight w:val="none"/>
              </w:rPr>
            </w:pPr>
          </w:p>
        </w:tc>
        <w:tc>
          <w:tcPr>
            <w:tcW w:w="1792" w:type="dxa"/>
            <w:gridSpan w:val="2"/>
          </w:tcPr>
          <w:p>
            <w:pPr>
              <w:spacing w:line="360" w:lineRule="auto"/>
              <w:rPr>
                <w:rFonts w:hint="eastAsia" w:ascii="宋体" w:hAnsi="宋体" w:eastAsia="宋体" w:cs="宋体"/>
                <w:sz w:val="24"/>
                <w:highlight w:val="none"/>
              </w:rPr>
            </w:pPr>
          </w:p>
        </w:tc>
        <w:tc>
          <w:tcPr>
            <w:tcW w:w="2517" w:type="dxa"/>
            <w:gridSpan w:val="2"/>
          </w:tcPr>
          <w:p>
            <w:pPr>
              <w:spacing w:line="360" w:lineRule="auto"/>
              <w:rPr>
                <w:rFonts w:hint="eastAsia" w:ascii="宋体" w:hAnsi="宋体" w:eastAsia="宋体" w:cs="宋体"/>
                <w:sz w:val="24"/>
                <w:highlight w:val="none"/>
              </w:rPr>
            </w:pPr>
          </w:p>
        </w:tc>
      </w:tr>
    </w:tbl>
    <w:p>
      <w:pPr>
        <w:jc w:val="center"/>
        <w:rPr>
          <w:rFonts w:hint="eastAsia" w:ascii="宋体" w:hAnsi="宋体" w:eastAsia="宋体" w:cs="宋体"/>
          <w:sz w:val="24"/>
          <w:highlight w:val="none"/>
        </w:rPr>
      </w:pPr>
    </w:p>
    <w:p>
      <w:pPr>
        <w:pStyle w:val="31"/>
        <w:rPr>
          <w:rFonts w:hint="eastAsia" w:ascii="宋体" w:hAnsi="宋体" w:eastAsia="宋体" w:cs="宋体"/>
          <w:b/>
          <w:sz w:val="32"/>
          <w:szCs w:val="32"/>
          <w:highlight w:val="none"/>
        </w:rPr>
      </w:pPr>
      <w:r>
        <w:rPr>
          <w:rFonts w:hint="eastAsia" w:ascii="宋体" w:hAnsi="宋体" w:eastAsia="宋体" w:cs="宋体"/>
          <w:highlight w:val="none"/>
        </w:rPr>
        <w:t>（格式可自拟、此表可扩展）</w:t>
      </w:r>
      <w:r>
        <w:rPr>
          <w:rFonts w:hint="eastAsia" w:ascii="宋体" w:hAnsi="宋体" w:eastAsia="宋体" w:cs="宋体"/>
          <w:highlight w:val="none"/>
        </w:rPr>
        <w:br w:type="page"/>
      </w:r>
      <w:r>
        <w:rPr>
          <w:rFonts w:hint="eastAsia" w:ascii="宋体" w:hAnsi="宋体" w:eastAsia="宋体" w:cs="宋体"/>
          <w:b/>
          <w:sz w:val="32"/>
          <w:szCs w:val="32"/>
          <w:highlight w:val="none"/>
        </w:rPr>
        <w:t>附件十</w:t>
      </w:r>
      <w:r>
        <w:rPr>
          <w:rFonts w:hint="eastAsia" w:ascii="宋体" w:hAnsi="宋体" w:eastAsia="宋体" w:cs="宋体"/>
          <w:b/>
          <w:sz w:val="32"/>
          <w:szCs w:val="32"/>
          <w:highlight w:val="none"/>
          <w:lang w:eastAsia="zh-CN"/>
        </w:rPr>
        <w:t>四</w:t>
      </w:r>
      <w:r>
        <w:rPr>
          <w:rFonts w:hint="eastAsia" w:ascii="宋体" w:hAnsi="宋体" w:eastAsia="宋体" w:cs="宋体"/>
          <w:b/>
          <w:sz w:val="32"/>
          <w:szCs w:val="32"/>
          <w:highlight w:val="none"/>
        </w:rPr>
        <w:t>：供应商认为需要提交的其他文件</w:t>
      </w:r>
    </w:p>
    <w:p>
      <w:pPr>
        <w:pStyle w:val="21"/>
        <w:spacing w:line="460" w:lineRule="exact"/>
        <w:outlineLvl w:val="1"/>
        <w:rPr>
          <w:rFonts w:hint="eastAsia" w:ascii="宋体" w:hAnsi="宋体" w:eastAsia="宋体" w:cs="宋体"/>
          <w:b/>
          <w:color w:val="auto"/>
          <w:spacing w:val="-2"/>
          <w:sz w:val="28"/>
          <w:szCs w:val="28"/>
          <w:highlight w:val="none"/>
        </w:rPr>
      </w:pPr>
      <w:r>
        <w:rPr>
          <w:rFonts w:hint="eastAsia" w:ascii="宋体" w:hAnsi="宋体" w:eastAsia="宋体" w:cs="宋体"/>
          <w:highlight w:val="none"/>
        </w:rPr>
        <w:br w:type="page"/>
      </w:r>
      <w:bookmarkStart w:id="549" w:name="_Toc516838972"/>
      <w:bookmarkStart w:id="550" w:name="_Toc519081998"/>
      <w:bookmarkStart w:id="551" w:name="_Toc18653883"/>
      <w:bookmarkStart w:id="552" w:name="_Toc516647526"/>
      <w:bookmarkStart w:id="553" w:name="_Toc18653937"/>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eastAsia="zh-CN"/>
        </w:rPr>
        <w:t>十五</w:t>
      </w:r>
      <w:r>
        <w:rPr>
          <w:rFonts w:hint="eastAsia" w:ascii="宋体" w:hAnsi="宋体" w:eastAsia="宋体" w:cs="宋体"/>
          <w:b/>
          <w:color w:val="auto"/>
          <w:sz w:val="28"/>
          <w:szCs w:val="28"/>
          <w:highlight w:val="none"/>
        </w:rPr>
        <w:t>：封面格式</w:t>
      </w:r>
      <w:bookmarkEnd w:id="549"/>
      <w:bookmarkEnd w:id="550"/>
      <w:bookmarkEnd w:id="551"/>
      <w:bookmarkEnd w:id="552"/>
      <w:bookmarkEnd w:id="553"/>
    </w:p>
    <w:tbl>
      <w:tblPr>
        <w:tblStyle w:val="4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2"/>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7" w:hRule="atLeast"/>
          <w:jc w:val="center"/>
        </w:trPr>
        <w:tc>
          <w:tcPr>
            <w:tcW w:w="5012" w:type="dxa"/>
          </w:tcPr>
          <w:p>
            <w:pPr>
              <w:pStyle w:val="44"/>
              <w:spacing w:before="0" w:beforeAutospacing="0" w:after="0" w:afterAutospacing="0" w:line="360" w:lineRule="auto"/>
              <w:ind w:firstLine="1656" w:firstLineChars="550"/>
              <w:rPr>
                <w:rFonts w:hint="eastAsia" w:ascii="宋体" w:hAnsi="宋体" w:eastAsia="宋体" w:cs="宋体"/>
                <w:b/>
                <w:color w:val="auto"/>
                <w:sz w:val="30"/>
                <w:szCs w:val="24"/>
                <w:highlight w:val="none"/>
              </w:rPr>
            </w:pPr>
            <w:r>
              <w:rPr>
                <w:rFonts w:hint="eastAsia" w:ascii="宋体" w:hAnsi="宋体" w:eastAsia="宋体" w:cs="宋体"/>
                <w:b/>
                <w:color w:val="auto"/>
                <w:sz w:val="30"/>
                <w:szCs w:val="24"/>
                <w:highlight w:val="none"/>
              </w:rPr>
              <w:t>报价文件</w:t>
            </w:r>
          </w:p>
          <w:p>
            <w:pPr>
              <w:pStyle w:val="44"/>
              <w:spacing w:before="0" w:beforeAutospacing="0" w:after="0" w:afterAutospacing="0" w:line="360" w:lineRule="auto"/>
              <w:ind w:firstLine="1506" w:firstLineChars="500"/>
              <w:rPr>
                <w:rFonts w:hint="eastAsia" w:ascii="宋体" w:hAnsi="宋体" w:eastAsia="宋体" w:cs="宋体"/>
                <w:color w:val="auto"/>
                <w:sz w:val="30"/>
                <w:szCs w:val="24"/>
                <w:highlight w:val="none"/>
              </w:rPr>
            </w:pPr>
            <w:r>
              <w:rPr>
                <w:rFonts w:hint="eastAsia" w:ascii="宋体" w:hAnsi="宋体" w:eastAsia="宋体" w:cs="宋体"/>
                <w:b/>
                <w:color w:val="auto"/>
                <w:sz w:val="30"/>
                <w:szCs w:val="24"/>
                <w:highlight w:val="none"/>
              </w:rPr>
              <w:t>（正本）</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供应商名称（公章）：</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传真：</w:t>
            </w:r>
          </w:p>
        </w:tc>
        <w:tc>
          <w:tcPr>
            <w:tcW w:w="4467" w:type="dxa"/>
          </w:tcPr>
          <w:p>
            <w:pPr>
              <w:pStyle w:val="44"/>
              <w:spacing w:before="0" w:beforeAutospacing="0" w:after="0" w:afterAutospacing="0" w:line="360" w:lineRule="auto"/>
              <w:ind w:firstLine="1506" w:firstLineChars="500"/>
              <w:rPr>
                <w:rFonts w:hint="eastAsia" w:ascii="宋体" w:hAnsi="宋体" w:eastAsia="宋体" w:cs="宋体"/>
                <w:b/>
                <w:color w:val="auto"/>
                <w:sz w:val="30"/>
                <w:szCs w:val="24"/>
                <w:highlight w:val="none"/>
              </w:rPr>
            </w:pPr>
            <w:r>
              <w:rPr>
                <w:rFonts w:hint="eastAsia" w:ascii="宋体" w:hAnsi="宋体" w:eastAsia="宋体" w:cs="宋体"/>
                <w:b/>
                <w:color w:val="auto"/>
                <w:sz w:val="30"/>
                <w:szCs w:val="24"/>
                <w:highlight w:val="none"/>
              </w:rPr>
              <w:t>报价文件</w:t>
            </w:r>
          </w:p>
          <w:p>
            <w:pPr>
              <w:pStyle w:val="44"/>
              <w:spacing w:before="0" w:beforeAutospacing="0" w:after="0" w:afterAutospacing="0" w:line="360" w:lineRule="auto"/>
              <w:ind w:firstLine="1506" w:firstLineChars="500"/>
              <w:rPr>
                <w:rFonts w:hint="eastAsia" w:ascii="宋体" w:hAnsi="宋体" w:eastAsia="宋体" w:cs="宋体"/>
                <w:color w:val="auto"/>
                <w:sz w:val="30"/>
                <w:szCs w:val="24"/>
                <w:highlight w:val="none"/>
              </w:rPr>
            </w:pPr>
            <w:r>
              <w:rPr>
                <w:rFonts w:hint="eastAsia" w:ascii="宋体" w:hAnsi="宋体" w:eastAsia="宋体" w:cs="宋体"/>
                <w:b/>
                <w:color w:val="auto"/>
                <w:sz w:val="30"/>
                <w:szCs w:val="24"/>
                <w:highlight w:val="none"/>
              </w:rPr>
              <w:t>（副本）</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供应商名称（公章）：</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w:t>
            </w:r>
          </w:p>
          <w:p>
            <w:pPr>
              <w:pStyle w:val="44"/>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电话：</w:t>
            </w:r>
          </w:p>
          <w:p>
            <w:pPr>
              <w:pStyle w:val="44"/>
              <w:spacing w:before="0" w:beforeAutospacing="0" w:after="0" w:afterAutospacing="0" w:line="360" w:lineRule="auto"/>
              <w:rPr>
                <w:rFonts w:hint="eastAsia" w:ascii="宋体" w:hAnsi="宋体" w:eastAsia="宋体" w:cs="宋体"/>
                <w:color w:val="auto"/>
                <w:sz w:val="32"/>
                <w:szCs w:val="24"/>
                <w:highlight w:val="none"/>
              </w:rPr>
            </w:pPr>
            <w:r>
              <w:rPr>
                <w:rFonts w:hint="eastAsia" w:ascii="宋体" w:hAnsi="宋体" w:eastAsia="宋体" w:cs="宋体"/>
                <w:color w:val="auto"/>
                <w:szCs w:val="24"/>
                <w:highlight w:val="none"/>
              </w:rPr>
              <w:t>传真：</w:t>
            </w:r>
          </w:p>
        </w:tc>
      </w:tr>
    </w:tbl>
    <w:p>
      <w:pPr>
        <w:pStyle w:val="44"/>
        <w:spacing w:line="300" w:lineRule="exact"/>
        <w:rPr>
          <w:rFonts w:hint="eastAsia" w:ascii="宋体" w:hAnsi="宋体" w:eastAsia="宋体" w:cs="宋体"/>
          <w:color w:val="auto"/>
          <w:highlight w:val="none"/>
        </w:rPr>
      </w:pPr>
    </w:p>
    <w:tbl>
      <w:tblPr>
        <w:tblStyle w:val="4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7"/>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2" w:hRule="atLeast"/>
          <w:jc w:val="center"/>
        </w:trPr>
        <w:tc>
          <w:tcPr>
            <w:tcW w:w="5047" w:type="dxa"/>
            <w:vAlign w:val="top"/>
          </w:tcPr>
          <w:p>
            <w:pPr>
              <w:pStyle w:val="23"/>
              <w:spacing w:line="480" w:lineRule="exact"/>
              <w:ind w:left="152" w:leftChars="0" w:hanging="152" w:hangingChars="63"/>
              <w:rPr>
                <w:rFonts w:hint="eastAsia" w:ascii="宋体" w:hAnsi="宋体" w:eastAsia="宋体" w:cs="宋体"/>
                <w:sz w:val="24"/>
                <w:highlight w:val="none"/>
                <w:lang w:eastAsia="zh-CN"/>
              </w:rPr>
            </w:pPr>
            <w:r>
              <w:rPr>
                <w:rFonts w:hint="eastAsia" w:ascii="宋体" w:hAnsi="宋体" w:eastAsia="宋体" w:cs="宋体"/>
                <w:b/>
                <w:sz w:val="24"/>
                <w:highlight w:val="none"/>
              </w:rPr>
              <w:t>报价一览表</w:t>
            </w:r>
          </w:p>
          <w:p>
            <w:pPr>
              <w:pStyle w:val="2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项目编号：</w:t>
            </w:r>
          </w:p>
          <w:p>
            <w:pPr>
              <w:pStyle w:val="2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2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供应商名称（公章）：</w:t>
            </w:r>
          </w:p>
          <w:p>
            <w:pPr>
              <w:pStyle w:val="2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地址：</w:t>
            </w:r>
          </w:p>
          <w:p>
            <w:pPr>
              <w:pStyle w:val="2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电话：</w:t>
            </w:r>
          </w:p>
          <w:p>
            <w:pPr>
              <w:pStyle w:val="23"/>
              <w:spacing w:line="480" w:lineRule="exact"/>
              <w:ind w:left="151" w:leftChars="0" w:hanging="151" w:hangingChars="63"/>
              <w:rPr>
                <w:rFonts w:hint="eastAsia" w:ascii="宋体" w:hAnsi="宋体" w:eastAsia="宋体" w:cs="宋体"/>
                <w:color w:val="auto"/>
                <w:szCs w:val="24"/>
                <w:highlight w:val="none"/>
              </w:rPr>
            </w:pPr>
            <w:r>
              <w:rPr>
                <w:rFonts w:hint="eastAsia" w:ascii="宋体" w:hAnsi="宋体" w:eastAsia="宋体" w:cs="宋体"/>
                <w:sz w:val="24"/>
                <w:highlight w:val="none"/>
              </w:rPr>
              <w:t>传真：</w:t>
            </w:r>
          </w:p>
        </w:tc>
        <w:tc>
          <w:tcPr>
            <w:tcW w:w="4455" w:type="dxa"/>
            <w:vAlign w:val="top"/>
          </w:tcPr>
          <w:p>
            <w:pPr>
              <w:pStyle w:val="23"/>
              <w:spacing w:line="480" w:lineRule="exact"/>
              <w:ind w:left="152" w:leftChars="0" w:hanging="152" w:hangingChars="63"/>
              <w:rPr>
                <w:rFonts w:hint="eastAsia" w:ascii="宋体" w:hAnsi="宋体" w:eastAsia="宋体" w:cs="宋体"/>
                <w:sz w:val="24"/>
                <w:highlight w:val="none"/>
                <w:lang w:eastAsia="zh-CN"/>
              </w:rPr>
            </w:pPr>
            <w:r>
              <w:rPr>
                <w:rFonts w:hint="eastAsia" w:ascii="宋体" w:hAnsi="宋体" w:eastAsia="宋体" w:cs="宋体"/>
                <w:b/>
                <w:sz w:val="24"/>
                <w:highlight w:val="none"/>
              </w:rPr>
              <w:t>资质证明文件</w:t>
            </w:r>
          </w:p>
          <w:p>
            <w:pPr>
              <w:pStyle w:val="2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项目编号：</w:t>
            </w:r>
          </w:p>
          <w:p>
            <w:pPr>
              <w:pStyle w:val="23"/>
              <w:spacing w:line="480" w:lineRule="exact"/>
              <w:ind w:left="151" w:leftChars="0" w:hanging="151" w:hangingChars="63"/>
              <w:jc w:val="left"/>
              <w:rPr>
                <w:rFonts w:hint="eastAsia" w:ascii="宋体" w:hAnsi="宋体" w:eastAsia="宋体" w:cs="宋体"/>
                <w:sz w:val="24"/>
                <w:highlight w:val="none"/>
              </w:rPr>
            </w:pPr>
            <w:r>
              <w:rPr>
                <w:rFonts w:hint="eastAsia" w:ascii="宋体" w:hAnsi="宋体" w:eastAsia="宋体" w:cs="宋体"/>
                <w:sz w:val="24"/>
                <w:highlight w:val="none"/>
              </w:rPr>
              <w:t>项目名称：</w:t>
            </w:r>
          </w:p>
          <w:p>
            <w:pPr>
              <w:pStyle w:val="2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供应商名称（公章）：</w:t>
            </w:r>
          </w:p>
          <w:p>
            <w:pPr>
              <w:pStyle w:val="2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地址：</w:t>
            </w:r>
          </w:p>
          <w:p>
            <w:pPr>
              <w:pStyle w:val="23"/>
              <w:spacing w:line="480" w:lineRule="exact"/>
              <w:ind w:left="151" w:leftChars="0" w:hanging="151" w:hangingChars="63"/>
              <w:rPr>
                <w:rFonts w:hint="eastAsia" w:ascii="宋体" w:hAnsi="宋体" w:eastAsia="宋体" w:cs="宋体"/>
                <w:sz w:val="24"/>
                <w:highlight w:val="none"/>
              </w:rPr>
            </w:pPr>
            <w:r>
              <w:rPr>
                <w:rFonts w:hint="eastAsia" w:ascii="宋体" w:hAnsi="宋体" w:eastAsia="宋体" w:cs="宋体"/>
                <w:sz w:val="24"/>
                <w:highlight w:val="none"/>
              </w:rPr>
              <w:t>电话：</w:t>
            </w:r>
          </w:p>
          <w:p>
            <w:pPr>
              <w:pStyle w:val="23"/>
              <w:spacing w:line="480" w:lineRule="exact"/>
              <w:ind w:left="151" w:leftChars="0" w:hanging="151" w:hangingChars="63"/>
              <w:rPr>
                <w:rFonts w:hint="eastAsia" w:ascii="宋体" w:hAnsi="宋体" w:eastAsia="宋体" w:cs="宋体"/>
                <w:color w:val="auto"/>
                <w:szCs w:val="24"/>
                <w:highlight w:val="none"/>
              </w:rPr>
            </w:pPr>
            <w:r>
              <w:rPr>
                <w:rFonts w:hint="eastAsia" w:ascii="宋体" w:hAnsi="宋体" w:eastAsia="宋体" w:cs="宋体"/>
                <w:sz w:val="24"/>
                <w:highlight w:val="none"/>
              </w:rPr>
              <w:t>传真：</w:t>
            </w:r>
          </w:p>
        </w:tc>
      </w:tr>
    </w:tbl>
    <w:p>
      <w:pPr>
        <w:pStyle w:val="31"/>
        <w:rPr>
          <w:rFonts w:hint="eastAsia" w:ascii="宋体" w:hAnsi="宋体" w:eastAsia="宋体" w:cs="宋体"/>
          <w:highlight w:val="none"/>
        </w:rPr>
      </w:pPr>
    </w:p>
    <w:bookmarkEnd w:id="480"/>
    <w:bookmarkEnd w:id="481"/>
    <w:bookmarkEnd w:id="482"/>
    <w:bookmarkEnd w:id="483"/>
    <w:p>
      <w:pPr>
        <w:spacing w:line="460" w:lineRule="exact"/>
        <w:rPr>
          <w:highlight w:val="none"/>
        </w:rPr>
      </w:pPr>
    </w:p>
    <w:p>
      <w:pPr>
        <w:pStyle w:val="21"/>
        <w:spacing w:after="0" w:line="460" w:lineRule="exact"/>
        <w:jc w:val="left"/>
        <w:rPr>
          <w:b/>
          <w:sz w:val="28"/>
          <w:highlight w:val="none"/>
        </w:rPr>
      </w:pPr>
    </w:p>
    <w:sectPr>
      <w:headerReference r:id="rId7" w:type="default"/>
      <w:footerReference r:id="rId8" w:type="default"/>
      <w:type w:val="continuous"/>
      <w:pgSz w:w="11911" w:h="16838"/>
      <w:pgMar w:top="907" w:right="1021" w:bottom="907" w:left="1021" w:header="0" w:footer="1378"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enlo">
    <w:altName w:val="Segoe Print"/>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938633"/>
    </w:sdtPr>
    <w:sdtContent>
      <w:p>
        <w:pPr>
          <w:pStyle w:val="33"/>
          <w:jc w:val="center"/>
        </w:pPr>
        <w:r>
          <w:fldChar w:fldCharType="begin"/>
        </w:r>
        <w:r>
          <w:instrText xml:space="preserve">PAGE   \* MERGEFORMAT</w:instrText>
        </w:r>
        <w:r>
          <w:fldChar w:fldCharType="separate"/>
        </w:r>
        <w:r>
          <w:rPr>
            <w:lang w:val="zh-CN"/>
          </w:rPr>
          <w:t>23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sz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79AEF"/>
    <w:multiLevelType w:val="multilevel"/>
    <w:tmpl w:val="C8879AEF"/>
    <w:lvl w:ilvl="0" w:tentative="0">
      <w:start w:val="1"/>
      <w:numFmt w:val="decimal"/>
      <w:lvlText w:val="（%1）"/>
      <w:lvlJc w:val="left"/>
      <w:pPr>
        <w:ind w:left="707" w:hanging="601"/>
      </w:pPr>
      <w:rPr>
        <w:rFonts w:hint="default" w:ascii="宋体" w:hAnsi="宋体" w:eastAsia="宋体" w:cs="宋体"/>
        <w:w w:val="100"/>
        <w:sz w:val="22"/>
        <w:szCs w:val="22"/>
        <w:lang w:val="en-US" w:eastAsia="zh-CN" w:bidi="ar-SA"/>
      </w:rPr>
    </w:lvl>
    <w:lvl w:ilvl="1" w:tentative="0">
      <w:start w:val="0"/>
      <w:numFmt w:val="bullet"/>
      <w:lvlText w:val="•"/>
      <w:lvlJc w:val="left"/>
      <w:pPr>
        <w:ind w:left="1360" w:hanging="601"/>
      </w:pPr>
      <w:rPr>
        <w:rFonts w:hint="default"/>
        <w:lang w:val="en-US" w:eastAsia="zh-CN" w:bidi="ar-SA"/>
      </w:rPr>
    </w:lvl>
    <w:lvl w:ilvl="2" w:tentative="0">
      <w:start w:val="0"/>
      <w:numFmt w:val="bullet"/>
      <w:lvlText w:val="•"/>
      <w:lvlJc w:val="left"/>
      <w:pPr>
        <w:ind w:left="2021" w:hanging="601"/>
      </w:pPr>
      <w:rPr>
        <w:rFonts w:hint="default"/>
        <w:lang w:val="en-US" w:eastAsia="zh-CN" w:bidi="ar-SA"/>
      </w:rPr>
    </w:lvl>
    <w:lvl w:ilvl="3" w:tentative="0">
      <w:start w:val="0"/>
      <w:numFmt w:val="bullet"/>
      <w:lvlText w:val="•"/>
      <w:lvlJc w:val="left"/>
      <w:pPr>
        <w:ind w:left="2682" w:hanging="601"/>
      </w:pPr>
      <w:rPr>
        <w:rFonts w:hint="default"/>
        <w:lang w:val="en-US" w:eastAsia="zh-CN" w:bidi="ar-SA"/>
      </w:rPr>
    </w:lvl>
    <w:lvl w:ilvl="4" w:tentative="0">
      <w:start w:val="0"/>
      <w:numFmt w:val="bullet"/>
      <w:lvlText w:val="•"/>
      <w:lvlJc w:val="left"/>
      <w:pPr>
        <w:ind w:left="3343" w:hanging="601"/>
      </w:pPr>
      <w:rPr>
        <w:rFonts w:hint="default"/>
        <w:lang w:val="en-US" w:eastAsia="zh-CN" w:bidi="ar-SA"/>
      </w:rPr>
    </w:lvl>
    <w:lvl w:ilvl="5" w:tentative="0">
      <w:start w:val="0"/>
      <w:numFmt w:val="bullet"/>
      <w:lvlText w:val="•"/>
      <w:lvlJc w:val="left"/>
      <w:pPr>
        <w:ind w:left="4004" w:hanging="601"/>
      </w:pPr>
      <w:rPr>
        <w:rFonts w:hint="default"/>
        <w:lang w:val="en-US" w:eastAsia="zh-CN" w:bidi="ar-SA"/>
      </w:rPr>
    </w:lvl>
    <w:lvl w:ilvl="6" w:tentative="0">
      <w:start w:val="0"/>
      <w:numFmt w:val="bullet"/>
      <w:lvlText w:val="•"/>
      <w:lvlJc w:val="left"/>
      <w:pPr>
        <w:ind w:left="4664" w:hanging="601"/>
      </w:pPr>
      <w:rPr>
        <w:rFonts w:hint="default"/>
        <w:lang w:val="en-US" w:eastAsia="zh-CN" w:bidi="ar-SA"/>
      </w:rPr>
    </w:lvl>
    <w:lvl w:ilvl="7" w:tentative="0">
      <w:start w:val="0"/>
      <w:numFmt w:val="bullet"/>
      <w:lvlText w:val="•"/>
      <w:lvlJc w:val="left"/>
      <w:pPr>
        <w:ind w:left="5325" w:hanging="601"/>
      </w:pPr>
      <w:rPr>
        <w:rFonts w:hint="default"/>
        <w:lang w:val="en-US" w:eastAsia="zh-CN" w:bidi="ar-SA"/>
      </w:rPr>
    </w:lvl>
    <w:lvl w:ilvl="8" w:tentative="0">
      <w:start w:val="0"/>
      <w:numFmt w:val="bullet"/>
      <w:lvlText w:val="•"/>
      <w:lvlJc w:val="left"/>
      <w:pPr>
        <w:ind w:left="5986" w:hanging="601"/>
      </w:pPr>
      <w:rPr>
        <w:rFonts w:hint="default"/>
        <w:lang w:val="en-US" w:eastAsia="zh-CN" w:bidi="ar-SA"/>
      </w:rPr>
    </w:lvl>
  </w:abstractNum>
  <w:abstractNum w:abstractNumId="1">
    <w:nsid w:val="E72FBE12"/>
    <w:multiLevelType w:val="singleLevel"/>
    <w:tmpl w:val="E72FBE12"/>
    <w:lvl w:ilvl="0" w:tentative="0">
      <w:start w:val="5"/>
      <w:numFmt w:val="chineseCounting"/>
      <w:suff w:val="nothing"/>
      <w:lvlText w:val="%1、"/>
      <w:lvlJc w:val="left"/>
      <w:rPr>
        <w:rFonts w:hint="eastAsia"/>
      </w:rPr>
    </w:lvl>
  </w:abstractNum>
  <w:abstractNum w:abstractNumId="2">
    <w:nsid w:val="107E11F4"/>
    <w:multiLevelType w:val="multilevel"/>
    <w:tmpl w:val="107E11F4"/>
    <w:lvl w:ilvl="0" w:tentative="0">
      <w:start w:val="1"/>
      <w:numFmt w:val="decimal"/>
      <w:pStyle w:val="5"/>
      <w:lvlText w:val="%1、"/>
      <w:lvlJc w:val="left"/>
      <w:pPr>
        <w:tabs>
          <w:tab w:val="left" w:pos="840"/>
        </w:tabs>
        <w:ind w:left="840" w:hanging="36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19A6ADE5"/>
    <w:multiLevelType w:val="singleLevel"/>
    <w:tmpl w:val="19A6ADE5"/>
    <w:lvl w:ilvl="0" w:tentative="0">
      <w:start w:val="2"/>
      <w:numFmt w:val="decimal"/>
      <w:lvlText w:val="%1."/>
      <w:lvlJc w:val="left"/>
      <w:pPr>
        <w:tabs>
          <w:tab w:val="left" w:pos="312"/>
        </w:tabs>
      </w:pPr>
    </w:lvl>
  </w:abstractNum>
  <w:abstractNum w:abstractNumId="4">
    <w:nsid w:val="31F9C28C"/>
    <w:multiLevelType w:val="singleLevel"/>
    <w:tmpl w:val="31F9C28C"/>
    <w:lvl w:ilvl="0" w:tentative="0">
      <w:start w:val="2"/>
      <w:numFmt w:val="decimal"/>
      <w:suff w:val="nothing"/>
      <w:lvlText w:val="%1、"/>
      <w:lvlJc w:val="left"/>
    </w:lvl>
  </w:abstractNum>
  <w:abstractNum w:abstractNumId="5">
    <w:nsid w:val="32CC81DD"/>
    <w:multiLevelType w:val="singleLevel"/>
    <w:tmpl w:val="32CC81DD"/>
    <w:lvl w:ilvl="0" w:tentative="0">
      <w:start w:val="1"/>
      <w:numFmt w:val="chineseCounting"/>
      <w:suff w:val="nothing"/>
      <w:lvlText w:val="%1、"/>
      <w:lvlJc w:val="left"/>
      <w:rPr>
        <w:rFonts w:hint="eastAsia"/>
      </w:rPr>
    </w:lvl>
  </w:abstractNum>
  <w:abstractNum w:abstractNumId="6">
    <w:nsid w:val="7970A2C3"/>
    <w:multiLevelType w:val="multilevel"/>
    <w:tmpl w:val="7970A2C3"/>
    <w:lvl w:ilvl="0" w:tentative="0">
      <w:start w:val="1"/>
      <w:numFmt w:val="decimal"/>
      <w:lvlText w:val="%1、"/>
      <w:lvlJc w:val="left"/>
      <w:pPr>
        <w:tabs>
          <w:tab w:val="left" w:pos="840"/>
        </w:tabs>
        <w:ind w:left="840" w:hanging="36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2NkNzMyODU3MGI5M2NhZjkxOTI3ZDZlNGJiNzUifQ=="/>
  </w:docVars>
  <w:rsids>
    <w:rsidRoot w:val="00172A27"/>
    <w:rsid w:val="00002587"/>
    <w:rsid w:val="00003EEE"/>
    <w:rsid w:val="00004273"/>
    <w:rsid w:val="00006796"/>
    <w:rsid w:val="00006EC5"/>
    <w:rsid w:val="0001495D"/>
    <w:rsid w:val="00024B93"/>
    <w:rsid w:val="00030DD1"/>
    <w:rsid w:val="00033C96"/>
    <w:rsid w:val="00042D30"/>
    <w:rsid w:val="0005253D"/>
    <w:rsid w:val="00052BFC"/>
    <w:rsid w:val="0005338B"/>
    <w:rsid w:val="0005552F"/>
    <w:rsid w:val="00056CD3"/>
    <w:rsid w:val="0006095C"/>
    <w:rsid w:val="000627A6"/>
    <w:rsid w:val="00070D26"/>
    <w:rsid w:val="00072C85"/>
    <w:rsid w:val="00075738"/>
    <w:rsid w:val="00077ACC"/>
    <w:rsid w:val="0008372F"/>
    <w:rsid w:val="00083832"/>
    <w:rsid w:val="00085046"/>
    <w:rsid w:val="00091200"/>
    <w:rsid w:val="000943B4"/>
    <w:rsid w:val="000A14B1"/>
    <w:rsid w:val="000A7030"/>
    <w:rsid w:val="000A768B"/>
    <w:rsid w:val="000B17B3"/>
    <w:rsid w:val="000B53DC"/>
    <w:rsid w:val="000C68D5"/>
    <w:rsid w:val="000C74F0"/>
    <w:rsid w:val="000D19D6"/>
    <w:rsid w:val="000D1B10"/>
    <w:rsid w:val="000D2DF0"/>
    <w:rsid w:val="000D3769"/>
    <w:rsid w:val="000E26CB"/>
    <w:rsid w:val="000E4A5B"/>
    <w:rsid w:val="000E5116"/>
    <w:rsid w:val="000E7A8F"/>
    <w:rsid w:val="000F29BA"/>
    <w:rsid w:val="000F3BD2"/>
    <w:rsid w:val="000F4CD7"/>
    <w:rsid w:val="000F4E01"/>
    <w:rsid w:val="000F7985"/>
    <w:rsid w:val="000F7E9B"/>
    <w:rsid w:val="00101821"/>
    <w:rsid w:val="001019F6"/>
    <w:rsid w:val="0010232E"/>
    <w:rsid w:val="0010486A"/>
    <w:rsid w:val="00106BF4"/>
    <w:rsid w:val="001105B5"/>
    <w:rsid w:val="00111B89"/>
    <w:rsid w:val="001243BD"/>
    <w:rsid w:val="0012655A"/>
    <w:rsid w:val="00142137"/>
    <w:rsid w:val="00143003"/>
    <w:rsid w:val="0014462C"/>
    <w:rsid w:val="001526FD"/>
    <w:rsid w:val="001555D9"/>
    <w:rsid w:val="00157520"/>
    <w:rsid w:val="00161A5B"/>
    <w:rsid w:val="00162042"/>
    <w:rsid w:val="00162B19"/>
    <w:rsid w:val="00166ABD"/>
    <w:rsid w:val="001678FF"/>
    <w:rsid w:val="00167E31"/>
    <w:rsid w:val="00170646"/>
    <w:rsid w:val="00172A27"/>
    <w:rsid w:val="0017665E"/>
    <w:rsid w:val="0019148A"/>
    <w:rsid w:val="00192CA6"/>
    <w:rsid w:val="001A0F8D"/>
    <w:rsid w:val="001A3EB2"/>
    <w:rsid w:val="001A5DED"/>
    <w:rsid w:val="001B3FBE"/>
    <w:rsid w:val="001C09DC"/>
    <w:rsid w:val="001D11E9"/>
    <w:rsid w:val="001D25BB"/>
    <w:rsid w:val="001D31AF"/>
    <w:rsid w:val="001D52E7"/>
    <w:rsid w:val="001E0597"/>
    <w:rsid w:val="001E0C45"/>
    <w:rsid w:val="001F08EF"/>
    <w:rsid w:val="001F5E6A"/>
    <w:rsid w:val="001F77B8"/>
    <w:rsid w:val="002048D8"/>
    <w:rsid w:val="002069C3"/>
    <w:rsid w:val="00210DE7"/>
    <w:rsid w:val="00220C03"/>
    <w:rsid w:val="00222098"/>
    <w:rsid w:val="002266B2"/>
    <w:rsid w:val="00230D4E"/>
    <w:rsid w:val="002326D1"/>
    <w:rsid w:val="00232A64"/>
    <w:rsid w:val="0023653C"/>
    <w:rsid w:val="00237C10"/>
    <w:rsid w:val="002413E3"/>
    <w:rsid w:val="00244DA1"/>
    <w:rsid w:val="00261854"/>
    <w:rsid w:val="00263436"/>
    <w:rsid w:val="00277FCA"/>
    <w:rsid w:val="00280165"/>
    <w:rsid w:val="00281512"/>
    <w:rsid w:val="0029019D"/>
    <w:rsid w:val="00290824"/>
    <w:rsid w:val="0029237B"/>
    <w:rsid w:val="00296A0C"/>
    <w:rsid w:val="002A436F"/>
    <w:rsid w:val="002A574F"/>
    <w:rsid w:val="002B1C10"/>
    <w:rsid w:val="002B2718"/>
    <w:rsid w:val="002B3E97"/>
    <w:rsid w:val="002B7092"/>
    <w:rsid w:val="002C1F11"/>
    <w:rsid w:val="002C7CDE"/>
    <w:rsid w:val="002D1DB0"/>
    <w:rsid w:val="002D3885"/>
    <w:rsid w:val="002D3C69"/>
    <w:rsid w:val="002D4D41"/>
    <w:rsid w:val="002E5912"/>
    <w:rsid w:val="002E6DA7"/>
    <w:rsid w:val="002F385A"/>
    <w:rsid w:val="003024B6"/>
    <w:rsid w:val="003070ED"/>
    <w:rsid w:val="00311548"/>
    <w:rsid w:val="00311638"/>
    <w:rsid w:val="00317CAA"/>
    <w:rsid w:val="003209FD"/>
    <w:rsid w:val="00322AA3"/>
    <w:rsid w:val="00326ACD"/>
    <w:rsid w:val="00326DA8"/>
    <w:rsid w:val="0033265F"/>
    <w:rsid w:val="00334DDF"/>
    <w:rsid w:val="00336064"/>
    <w:rsid w:val="00341B4F"/>
    <w:rsid w:val="0034312B"/>
    <w:rsid w:val="003471A7"/>
    <w:rsid w:val="003477B6"/>
    <w:rsid w:val="00351841"/>
    <w:rsid w:val="00360DEB"/>
    <w:rsid w:val="00363054"/>
    <w:rsid w:val="00364FEB"/>
    <w:rsid w:val="00370813"/>
    <w:rsid w:val="0037332E"/>
    <w:rsid w:val="003775C1"/>
    <w:rsid w:val="00381C50"/>
    <w:rsid w:val="00386912"/>
    <w:rsid w:val="00390A64"/>
    <w:rsid w:val="003A0D2E"/>
    <w:rsid w:val="003B2299"/>
    <w:rsid w:val="003B5591"/>
    <w:rsid w:val="003B5750"/>
    <w:rsid w:val="003C4BCA"/>
    <w:rsid w:val="003C76E6"/>
    <w:rsid w:val="003D06A7"/>
    <w:rsid w:val="003D1249"/>
    <w:rsid w:val="003D1453"/>
    <w:rsid w:val="003D1CF5"/>
    <w:rsid w:val="003D4A02"/>
    <w:rsid w:val="003D4BC2"/>
    <w:rsid w:val="003D535D"/>
    <w:rsid w:val="003D563C"/>
    <w:rsid w:val="003D7296"/>
    <w:rsid w:val="003D7F00"/>
    <w:rsid w:val="003E09C5"/>
    <w:rsid w:val="003E40F1"/>
    <w:rsid w:val="003E50E4"/>
    <w:rsid w:val="003E6CE1"/>
    <w:rsid w:val="003E7930"/>
    <w:rsid w:val="003F2674"/>
    <w:rsid w:val="003F2EB2"/>
    <w:rsid w:val="004026B1"/>
    <w:rsid w:val="004026CF"/>
    <w:rsid w:val="00405BDF"/>
    <w:rsid w:val="0040788A"/>
    <w:rsid w:val="00410F0F"/>
    <w:rsid w:val="004135F6"/>
    <w:rsid w:val="004155D4"/>
    <w:rsid w:val="00430844"/>
    <w:rsid w:val="00432E5A"/>
    <w:rsid w:val="00437CBB"/>
    <w:rsid w:val="00450B23"/>
    <w:rsid w:val="004551F2"/>
    <w:rsid w:val="00462490"/>
    <w:rsid w:val="00470569"/>
    <w:rsid w:val="00470789"/>
    <w:rsid w:val="004727D5"/>
    <w:rsid w:val="00475808"/>
    <w:rsid w:val="00476D48"/>
    <w:rsid w:val="004905B7"/>
    <w:rsid w:val="00495D15"/>
    <w:rsid w:val="00496162"/>
    <w:rsid w:val="00496F86"/>
    <w:rsid w:val="004A4A87"/>
    <w:rsid w:val="004B5EE2"/>
    <w:rsid w:val="004D286D"/>
    <w:rsid w:val="004D46A6"/>
    <w:rsid w:val="004D6E9D"/>
    <w:rsid w:val="004E0492"/>
    <w:rsid w:val="004E1829"/>
    <w:rsid w:val="004E1D46"/>
    <w:rsid w:val="004E29B5"/>
    <w:rsid w:val="004E7A5E"/>
    <w:rsid w:val="004F2C5B"/>
    <w:rsid w:val="005028B8"/>
    <w:rsid w:val="00504860"/>
    <w:rsid w:val="005058D5"/>
    <w:rsid w:val="00514DEE"/>
    <w:rsid w:val="005158B1"/>
    <w:rsid w:val="00521C5D"/>
    <w:rsid w:val="00524C7F"/>
    <w:rsid w:val="00533AC7"/>
    <w:rsid w:val="00541975"/>
    <w:rsid w:val="0054375D"/>
    <w:rsid w:val="005445B5"/>
    <w:rsid w:val="00545B80"/>
    <w:rsid w:val="00545F53"/>
    <w:rsid w:val="00546E69"/>
    <w:rsid w:val="0054781F"/>
    <w:rsid w:val="00547B8A"/>
    <w:rsid w:val="00551C18"/>
    <w:rsid w:val="00552C65"/>
    <w:rsid w:val="00554032"/>
    <w:rsid w:val="00556F0D"/>
    <w:rsid w:val="00557A15"/>
    <w:rsid w:val="00564746"/>
    <w:rsid w:val="0056644A"/>
    <w:rsid w:val="005664DA"/>
    <w:rsid w:val="0056761E"/>
    <w:rsid w:val="00577703"/>
    <w:rsid w:val="00580197"/>
    <w:rsid w:val="00586439"/>
    <w:rsid w:val="005962F1"/>
    <w:rsid w:val="005A592C"/>
    <w:rsid w:val="005C2033"/>
    <w:rsid w:val="005D2C2C"/>
    <w:rsid w:val="005D480A"/>
    <w:rsid w:val="005E0330"/>
    <w:rsid w:val="005E1F64"/>
    <w:rsid w:val="005E4057"/>
    <w:rsid w:val="005E4B61"/>
    <w:rsid w:val="005E5C91"/>
    <w:rsid w:val="005E6F77"/>
    <w:rsid w:val="005F06CC"/>
    <w:rsid w:val="005F63CB"/>
    <w:rsid w:val="00607393"/>
    <w:rsid w:val="00610E55"/>
    <w:rsid w:val="00616643"/>
    <w:rsid w:val="00625868"/>
    <w:rsid w:val="00627FE4"/>
    <w:rsid w:val="0063031D"/>
    <w:rsid w:val="00635712"/>
    <w:rsid w:val="006450C4"/>
    <w:rsid w:val="0064784A"/>
    <w:rsid w:val="00654171"/>
    <w:rsid w:val="006546AB"/>
    <w:rsid w:val="006638DC"/>
    <w:rsid w:val="00670713"/>
    <w:rsid w:val="00672C90"/>
    <w:rsid w:val="00674D11"/>
    <w:rsid w:val="006764C4"/>
    <w:rsid w:val="00676AA9"/>
    <w:rsid w:val="00692E9F"/>
    <w:rsid w:val="006A0438"/>
    <w:rsid w:val="006A096C"/>
    <w:rsid w:val="006A3423"/>
    <w:rsid w:val="006A3CAD"/>
    <w:rsid w:val="006B5B12"/>
    <w:rsid w:val="006B76F6"/>
    <w:rsid w:val="006D0260"/>
    <w:rsid w:val="006D4B9A"/>
    <w:rsid w:val="006E1493"/>
    <w:rsid w:val="006E173E"/>
    <w:rsid w:val="006F19B8"/>
    <w:rsid w:val="006F47DA"/>
    <w:rsid w:val="006F4E49"/>
    <w:rsid w:val="0070321F"/>
    <w:rsid w:val="00704636"/>
    <w:rsid w:val="007108D5"/>
    <w:rsid w:val="0071164F"/>
    <w:rsid w:val="007203E6"/>
    <w:rsid w:val="007204C5"/>
    <w:rsid w:val="007322AA"/>
    <w:rsid w:val="007370CD"/>
    <w:rsid w:val="00746421"/>
    <w:rsid w:val="00751A86"/>
    <w:rsid w:val="007578E9"/>
    <w:rsid w:val="00757D6A"/>
    <w:rsid w:val="0076163E"/>
    <w:rsid w:val="0077100F"/>
    <w:rsid w:val="00771935"/>
    <w:rsid w:val="00773844"/>
    <w:rsid w:val="00773D67"/>
    <w:rsid w:val="007749CE"/>
    <w:rsid w:val="00777783"/>
    <w:rsid w:val="0078295C"/>
    <w:rsid w:val="00786F9D"/>
    <w:rsid w:val="00787CE4"/>
    <w:rsid w:val="007909EA"/>
    <w:rsid w:val="00791EDF"/>
    <w:rsid w:val="00792F28"/>
    <w:rsid w:val="007A0D22"/>
    <w:rsid w:val="007A2843"/>
    <w:rsid w:val="007A3BCC"/>
    <w:rsid w:val="007B0869"/>
    <w:rsid w:val="007B2369"/>
    <w:rsid w:val="007B4812"/>
    <w:rsid w:val="007C1DF7"/>
    <w:rsid w:val="007C2C31"/>
    <w:rsid w:val="007C5136"/>
    <w:rsid w:val="007D215B"/>
    <w:rsid w:val="007D782A"/>
    <w:rsid w:val="007E4700"/>
    <w:rsid w:val="007F7EE4"/>
    <w:rsid w:val="00806D32"/>
    <w:rsid w:val="00810D75"/>
    <w:rsid w:val="008127CB"/>
    <w:rsid w:val="00812E4D"/>
    <w:rsid w:val="00812F91"/>
    <w:rsid w:val="0081533A"/>
    <w:rsid w:val="008205B4"/>
    <w:rsid w:val="008207AC"/>
    <w:rsid w:val="008234FA"/>
    <w:rsid w:val="00824915"/>
    <w:rsid w:val="008331F7"/>
    <w:rsid w:val="00833DB5"/>
    <w:rsid w:val="00835178"/>
    <w:rsid w:val="0084371F"/>
    <w:rsid w:val="00847BD7"/>
    <w:rsid w:val="008608C5"/>
    <w:rsid w:val="00864EA9"/>
    <w:rsid w:val="00867BF8"/>
    <w:rsid w:val="00870BC4"/>
    <w:rsid w:val="00872576"/>
    <w:rsid w:val="00874F8D"/>
    <w:rsid w:val="00876514"/>
    <w:rsid w:val="0088034D"/>
    <w:rsid w:val="00885ABA"/>
    <w:rsid w:val="008867BD"/>
    <w:rsid w:val="0089402A"/>
    <w:rsid w:val="00896ECA"/>
    <w:rsid w:val="008A06F4"/>
    <w:rsid w:val="008A3134"/>
    <w:rsid w:val="008A710F"/>
    <w:rsid w:val="008B48CB"/>
    <w:rsid w:val="008C1241"/>
    <w:rsid w:val="008D7B39"/>
    <w:rsid w:val="008E5D55"/>
    <w:rsid w:val="008F56A5"/>
    <w:rsid w:val="008F59C0"/>
    <w:rsid w:val="008F7051"/>
    <w:rsid w:val="0090044F"/>
    <w:rsid w:val="00905DE3"/>
    <w:rsid w:val="009179B4"/>
    <w:rsid w:val="009230FF"/>
    <w:rsid w:val="00927660"/>
    <w:rsid w:val="00931D52"/>
    <w:rsid w:val="00935FC1"/>
    <w:rsid w:val="00936420"/>
    <w:rsid w:val="009470D9"/>
    <w:rsid w:val="00956FB1"/>
    <w:rsid w:val="00964A6F"/>
    <w:rsid w:val="0096517C"/>
    <w:rsid w:val="00965D9A"/>
    <w:rsid w:val="00971C92"/>
    <w:rsid w:val="009840EB"/>
    <w:rsid w:val="00986368"/>
    <w:rsid w:val="0099297F"/>
    <w:rsid w:val="00993E31"/>
    <w:rsid w:val="009A3216"/>
    <w:rsid w:val="009A3881"/>
    <w:rsid w:val="009B127E"/>
    <w:rsid w:val="009B677C"/>
    <w:rsid w:val="009C7381"/>
    <w:rsid w:val="009D2A6E"/>
    <w:rsid w:val="009D5C48"/>
    <w:rsid w:val="009E084E"/>
    <w:rsid w:val="009E43FD"/>
    <w:rsid w:val="009E4FD1"/>
    <w:rsid w:val="009E7C00"/>
    <w:rsid w:val="009F76A5"/>
    <w:rsid w:val="00A00F68"/>
    <w:rsid w:val="00A109C1"/>
    <w:rsid w:val="00A123E2"/>
    <w:rsid w:val="00A13671"/>
    <w:rsid w:val="00A15FF4"/>
    <w:rsid w:val="00A173D4"/>
    <w:rsid w:val="00A24DA4"/>
    <w:rsid w:val="00A33E5C"/>
    <w:rsid w:val="00A348C2"/>
    <w:rsid w:val="00A46344"/>
    <w:rsid w:val="00A56E83"/>
    <w:rsid w:val="00A61000"/>
    <w:rsid w:val="00A612EF"/>
    <w:rsid w:val="00A61FDE"/>
    <w:rsid w:val="00A66FD8"/>
    <w:rsid w:val="00A67688"/>
    <w:rsid w:val="00A67DA4"/>
    <w:rsid w:val="00A72171"/>
    <w:rsid w:val="00A75A43"/>
    <w:rsid w:val="00A863DE"/>
    <w:rsid w:val="00A878BF"/>
    <w:rsid w:val="00A95F11"/>
    <w:rsid w:val="00A97259"/>
    <w:rsid w:val="00AA066B"/>
    <w:rsid w:val="00AC281B"/>
    <w:rsid w:val="00AC31DA"/>
    <w:rsid w:val="00AC48BF"/>
    <w:rsid w:val="00AE196B"/>
    <w:rsid w:val="00AE4C41"/>
    <w:rsid w:val="00AF08D4"/>
    <w:rsid w:val="00B00397"/>
    <w:rsid w:val="00B00881"/>
    <w:rsid w:val="00B028AF"/>
    <w:rsid w:val="00B046C6"/>
    <w:rsid w:val="00B06DB6"/>
    <w:rsid w:val="00B1162E"/>
    <w:rsid w:val="00B2302E"/>
    <w:rsid w:val="00B267D3"/>
    <w:rsid w:val="00B30973"/>
    <w:rsid w:val="00B3411A"/>
    <w:rsid w:val="00B351BB"/>
    <w:rsid w:val="00B36496"/>
    <w:rsid w:val="00B377BF"/>
    <w:rsid w:val="00B40957"/>
    <w:rsid w:val="00B40B2E"/>
    <w:rsid w:val="00B42F1A"/>
    <w:rsid w:val="00B43419"/>
    <w:rsid w:val="00B43F5A"/>
    <w:rsid w:val="00B45B41"/>
    <w:rsid w:val="00B46F17"/>
    <w:rsid w:val="00B4745B"/>
    <w:rsid w:val="00B508D1"/>
    <w:rsid w:val="00B57775"/>
    <w:rsid w:val="00B654F8"/>
    <w:rsid w:val="00B65833"/>
    <w:rsid w:val="00B65EAD"/>
    <w:rsid w:val="00B6785F"/>
    <w:rsid w:val="00B70B56"/>
    <w:rsid w:val="00B72EC2"/>
    <w:rsid w:val="00B76915"/>
    <w:rsid w:val="00B81A07"/>
    <w:rsid w:val="00B8328C"/>
    <w:rsid w:val="00B92959"/>
    <w:rsid w:val="00BA12E3"/>
    <w:rsid w:val="00BA55D1"/>
    <w:rsid w:val="00BA6CC3"/>
    <w:rsid w:val="00BB4C33"/>
    <w:rsid w:val="00BC386F"/>
    <w:rsid w:val="00BD113B"/>
    <w:rsid w:val="00BD4310"/>
    <w:rsid w:val="00BD70C8"/>
    <w:rsid w:val="00BE37E5"/>
    <w:rsid w:val="00BE43BC"/>
    <w:rsid w:val="00BF7022"/>
    <w:rsid w:val="00C01A04"/>
    <w:rsid w:val="00C02222"/>
    <w:rsid w:val="00C04B88"/>
    <w:rsid w:val="00C06A32"/>
    <w:rsid w:val="00C06FC0"/>
    <w:rsid w:val="00C15929"/>
    <w:rsid w:val="00C15D42"/>
    <w:rsid w:val="00C243A1"/>
    <w:rsid w:val="00C44DAF"/>
    <w:rsid w:val="00C5416A"/>
    <w:rsid w:val="00C54436"/>
    <w:rsid w:val="00C5699A"/>
    <w:rsid w:val="00C60758"/>
    <w:rsid w:val="00C6183F"/>
    <w:rsid w:val="00C7388D"/>
    <w:rsid w:val="00C74270"/>
    <w:rsid w:val="00C83AC9"/>
    <w:rsid w:val="00C852F4"/>
    <w:rsid w:val="00C859A8"/>
    <w:rsid w:val="00C90994"/>
    <w:rsid w:val="00C91984"/>
    <w:rsid w:val="00CA62D3"/>
    <w:rsid w:val="00CA6F4A"/>
    <w:rsid w:val="00CB2EA4"/>
    <w:rsid w:val="00CB2F5D"/>
    <w:rsid w:val="00CB49E1"/>
    <w:rsid w:val="00CC0CB7"/>
    <w:rsid w:val="00CD6447"/>
    <w:rsid w:val="00CE5854"/>
    <w:rsid w:val="00CE7C6E"/>
    <w:rsid w:val="00CF10B6"/>
    <w:rsid w:val="00CF6669"/>
    <w:rsid w:val="00D01598"/>
    <w:rsid w:val="00D12CA2"/>
    <w:rsid w:val="00D1417B"/>
    <w:rsid w:val="00D22896"/>
    <w:rsid w:val="00D32806"/>
    <w:rsid w:val="00D32E7C"/>
    <w:rsid w:val="00D3349F"/>
    <w:rsid w:val="00D343C6"/>
    <w:rsid w:val="00D42180"/>
    <w:rsid w:val="00D423E6"/>
    <w:rsid w:val="00D43465"/>
    <w:rsid w:val="00D43BB5"/>
    <w:rsid w:val="00D457A4"/>
    <w:rsid w:val="00D45B73"/>
    <w:rsid w:val="00D46F67"/>
    <w:rsid w:val="00D47399"/>
    <w:rsid w:val="00D51FFF"/>
    <w:rsid w:val="00D54ACD"/>
    <w:rsid w:val="00D5502F"/>
    <w:rsid w:val="00D565E0"/>
    <w:rsid w:val="00D57EF1"/>
    <w:rsid w:val="00D600C7"/>
    <w:rsid w:val="00D6384D"/>
    <w:rsid w:val="00D63BE1"/>
    <w:rsid w:val="00D71227"/>
    <w:rsid w:val="00D7415C"/>
    <w:rsid w:val="00D75623"/>
    <w:rsid w:val="00D836A8"/>
    <w:rsid w:val="00D914D5"/>
    <w:rsid w:val="00D947E1"/>
    <w:rsid w:val="00D954D9"/>
    <w:rsid w:val="00D9744D"/>
    <w:rsid w:val="00D976A0"/>
    <w:rsid w:val="00D97838"/>
    <w:rsid w:val="00DA18B5"/>
    <w:rsid w:val="00DA434D"/>
    <w:rsid w:val="00DA5790"/>
    <w:rsid w:val="00DB0DCB"/>
    <w:rsid w:val="00DB0E46"/>
    <w:rsid w:val="00DB15B6"/>
    <w:rsid w:val="00DB4A78"/>
    <w:rsid w:val="00DC0401"/>
    <w:rsid w:val="00DC070F"/>
    <w:rsid w:val="00DC2716"/>
    <w:rsid w:val="00DD0D4E"/>
    <w:rsid w:val="00DD648F"/>
    <w:rsid w:val="00DD7CDA"/>
    <w:rsid w:val="00DE1226"/>
    <w:rsid w:val="00DE14A6"/>
    <w:rsid w:val="00DE71F5"/>
    <w:rsid w:val="00E02DE3"/>
    <w:rsid w:val="00E05ACC"/>
    <w:rsid w:val="00E12E2F"/>
    <w:rsid w:val="00E149F0"/>
    <w:rsid w:val="00E252C8"/>
    <w:rsid w:val="00E261E8"/>
    <w:rsid w:val="00E31E9F"/>
    <w:rsid w:val="00E338CC"/>
    <w:rsid w:val="00E43DEF"/>
    <w:rsid w:val="00E44C3E"/>
    <w:rsid w:val="00E46FC5"/>
    <w:rsid w:val="00E52A89"/>
    <w:rsid w:val="00E53773"/>
    <w:rsid w:val="00E54586"/>
    <w:rsid w:val="00E643AD"/>
    <w:rsid w:val="00E64C65"/>
    <w:rsid w:val="00E73E69"/>
    <w:rsid w:val="00E75B62"/>
    <w:rsid w:val="00E8002B"/>
    <w:rsid w:val="00E849E4"/>
    <w:rsid w:val="00E84C6B"/>
    <w:rsid w:val="00E87F2E"/>
    <w:rsid w:val="00E90EBE"/>
    <w:rsid w:val="00EA1607"/>
    <w:rsid w:val="00EA332B"/>
    <w:rsid w:val="00EA3F57"/>
    <w:rsid w:val="00EB2989"/>
    <w:rsid w:val="00EB355E"/>
    <w:rsid w:val="00EB3E78"/>
    <w:rsid w:val="00EB4873"/>
    <w:rsid w:val="00EB72A0"/>
    <w:rsid w:val="00ED4D40"/>
    <w:rsid w:val="00ED6EDC"/>
    <w:rsid w:val="00EE4849"/>
    <w:rsid w:val="00EF69F4"/>
    <w:rsid w:val="00F00B73"/>
    <w:rsid w:val="00F07DDD"/>
    <w:rsid w:val="00F12330"/>
    <w:rsid w:val="00F209AF"/>
    <w:rsid w:val="00F26CB3"/>
    <w:rsid w:val="00F325D9"/>
    <w:rsid w:val="00F32F00"/>
    <w:rsid w:val="00F33A0A"/>
    <w:rsid w:val="00F348A3"/>
    <w:rsid w:val="00F352BD"/>
    <w:rsid w:val="00F473A6"/>
    <w:rsid w:val="00F50D33"/>
    <w:rsid w:val="00F574F3"/>
    <w:rsid w:val="00F576F2"/>
    <w:rsid w:val="00F63311"/>
    <w:rsid w:val="00F67EC3"/>
    <w:rsid w:val="00F745BD"/>
    <w:rsid w:val="00F77864"/>
    <w:rsid w:val="00F97F2B"/>
    <w:rsid w:val="00FA36F6"/>
    <w:rsid w:val="00FA4344"/>
    <w:rsid w:val="00FA6A52"/>
    <w:rsid w:val="00FA7819"/>
    <w:rsid w:val="00FB34CB"/>
    <w:rsid w:val="00FC4C73"/>
    <w:rsid w:val="00FC4DEE"/>
    <w:rsid w:val="00FD631F"/>
    <w:rsid w:val="00FD6E6D"/>
    <w:rsid w:val="00FE003E"/>
    <w:rsid w:val="00FE6246"/>
    <w:rsid w:val="00FE6A62"/>
    <w:rsid w:val="00FE76A8"/>
    <w:rsid w:val="00FF1A3D"/>
    <w:rsid w:val="00FF434C"/>
    <w:rsid w:val="00FF6161"/>
    <w:rsid w:val="00FF6A0D"/>
    <w:rsid w:val="00FF7347"/>
    <w:rsid w:val="00FF7FFB"/>
    <w:rsid w:val="01AA29E3"/>
    <w:rsid w:val="024850EB"/>
    <w:rsid w:val="028636E5"/>
    <w:rsid w:val="03386901"/>
    <w:rsid w:val="034B75D6"/>
    <w:rsid w:val="03712B99"/>
    <w:rsid w:val="04197102"/>
    <w:rsid w:val="04604998"/>
    <w:rsid w:val="046E2BB8"/>
    <w:rsid w:val="04BA4A9E"/>
    <w:rsid w:val="05216D70"/>
    <w:rsid w:val="05911111"/>
    <w:rsid w:val="060802D1"/>
    <w:rsid w:val="06585E06"/>
    <w:rsid w:val="079E0C90"/>
    <w:rsid w:val="07AC5F9C"/>
    <w:rsid w:val="07D103D2"/>
    <w:rsid w:val="07FB1013"/>
    <w:rsid w:val="08955765"/>
    <w:rsid w:val="08DF1A59"/>
    <w:rsid w:val="08FB5954"/>
    <w:rsid w:val="09F32436"/>
    <w:rsid w:val="0B811187"/>
    <w:rsid w:val="0C1C7B15"/>
    <w:rsid w:val="0C7F3B86"/>
    <w:rsid w:val="0F02299C"/>
    <w:rsid w:val="0F1947C2"/>
    <w:rsid w:val="0F37737F"/>
    <w:rsid w:val="0F5B5254"/>
    <w:rsid w:val="0F9628FE"/>
    <w:rsid w:val="0FB12FB3"/>
    <w:rsid w:val="100D7B57"/>
    <w:rsid w:val="10933603"/>
    <w:rsid w:val="10C01709"/>
    <w:rsid w:val="10F1078A"/>
    <w:rsid w:val="11CF10B4"/>
    <w:rsid w:val="11F41190"/>
    <w:rsid w:val="120F1BD0"/>
    <w:rsid w:val="1267402F"/>
    <w:rsid w:val="12797F43"/>
    <w:rsid w:val="12883761"/>
    <w:rsid w:val="12F41E83"/>
    <w:rsid w:val="133727DC"/>
    <w:rsid w:val="13470BAA"/>
    <w:rsid w:val="13A2536C"/>
    <w:rsid w:val="13B208CA"/>
    <w:rsid w:val="13C724DA"/>
    <w:rsid w:val="141564D9"/>
    <w:rsid w:val="143E4750"/>
    <w:rsid w:val="144A0AB0"/>
    <w:rsid w:val="14BA55C3"/>
    <w:rsid w:val="14C615BC"/>
    <w:rsid w:val="14D56A06"/>
    <w:rsid w:val="14FE4668"/>
    <w:rsid w:val="15673353"/>
    <w:rsid w:val="15F525D7"/>
    <w:rsid w:val="16183EE8"/>
    <w:rsid w:val="16245A9E"/>
    <w:rsid w:val="165D3FB7"/>
    <w:rsid w:val="16C26DA0"/>
    <w:rsid w:val="16F225F6"/>
    <w:rsid w:val="16FA43FF"/>
    <w:rsid w:val="17AE1303"/>
    <w:rsid w:val="17EC1257"/>
    <w:rsid w:val="18237EF4"/>
    <w:rsid w:val="184F476F"/>
    <w:rsid w:val="18C7160A"/>
    <w:rsid w:val="18F30084"/>
    <w:rsid w:val="190143BB"/>
    <w:rsid w:val="19774094"/>
    <w:rsid w:val="19A57BB9"/>
    <w:rsid w:val="19AE678A"/>
    <w:rsid w:val="1B6E270E"/>
    <w:rsid w:val="1BE70287"/>
    <w:rsid w:val="1BEA05F5"/>
    <w:rsid w:val="1C8E539D"/>
    <w:rsid w:val="1CF16636"/>
    <w:rsid w:val="1D52411A"/>
    <w:rsid w:val="1D7F1524"/>
    <w:rsid w:val="1E0E21EA"/>
    <w:rsid w:val="1E2D02BF"/>
    <w:rsid w:val="1E66390F"/>
    <w:rsid w:val="1ECE516B"/>
    <w:rsid w:val="1FE2060A"/>
    <w:rsid w:val="201D712B"/>
    <w:rsid w:val="20B95B34"/>
    <w:rsid w:val="20FA6839"/>
    <w:rsid w:val="221F25FB"/>
    <w:rsid w:val="22376474"/>
    <w:rsid w:val="22725180"/>
    <w:rsid w:val="23306100"/>
    <w:rsid w:val="236A4515"/>
    <w:rsid w:val="236C3016"/>
    <w:rsid w:val="238771A3"/>
    <w:rsid w:val="238F2220"/>
    <w:rsid w:val="23FB0480"/>
    <w:rsid w:val="24BB0A60"/>
    <w:rsid w:val="24F018A7"/>
    <w:rsid w:val="24F8003C"/>
    <w:rsid w:val="252D7E8D"/>
    <w:rsid w:val="25C75ED2"/>
    <w:rsid w:val="25F44DA7"/>
    <w:rsid w:val="26716E90"/>
    <w:rsid w:val="2689685B"/>
    <w:rsid w:val="26C271FC"/>
    <w:rsid w:val="26D32C0D"/>
    <w:rsid w:val="27711491"/>
    <w:rsid w:val="27757C17"/>
    <w:rsid w:val="27CF6E7C"/>
    <w:rsid w:val="293B006F"/>
    <w:rsid w:val="297272EF"/>
    <w:rsid w:val="2990189C"/>
    <w:rsid w:val="29A0493A"/>
    <w:rsid w:val="29E135D7"/>
    <w:rsid w:val="29F7735C"/>
    <w:rsid w:val="2A2263AD"/>
    <w:rsid w:val="2A3414C4"/>
    <w:rsid w:val="2A5054E8"/>
    <w:rsid w:val="2A827E48"/>
    <w:rsid w:val="2AA07CC6"/>
    <w:rsid w:val="2ABB5AC9"/>
    <w:rsid w:val="2B5364F4"/>
    <w:rsid w:val="2DDD3DAD"/>
    <w:rsid w:val="2E2830BB"/>
    <w:rsid w:val="2E5D3EE0"/>
    <w:rsid w:val="2F7F7556"/>
    <w:rsid w:val="30714C49"/>
    <w:rsid w:val="30BB6114"/>
    <w:rsid w:val="31160FBF"/>
    <w:rsid w:val="3211425C"/>
    <w:rsid w:val="328C22E9"/>
    <w:rsid w:val="32A161DD"/>
    <w:rsid w:val="32D75F37"/>
    <w:rsid w:val="32DE0F47"/>
    <w:rsid w:val="33472E43"/>
    <w:rsid w:val="33A438B0"/>
    <w:rsid w:val="33B948A2"/>
    <w:rsid w:val="33C3004C"/>
    <w:rsid w:val="33DB0641"/>
    <w:rsid w:val="3438561A"/>
    <w:rsid w:val="344838B6"/>
    <w:rsid w:val="349F15AE"/>
    <w:rsid w:val="34A04E76"/>
    <w:rsid w:val="35226636"/>
    <w:rsid w:val="354C203C"/>
    <w:rsid w:val="36C71DEB"/>
    <w:rsid w:val="371C0744"/>
    <w:rsid w:val="37E63865"/>
    <w:rsid w:val="37F32B1A"/>
    <w:rsid w:val="382424A4"/>
    <w:rsid w:val="38491900"/>
    <w:rsid w:val="397F500E"/>
    <w:rsid w:val="39D23192"/>
    <w:rsid w:val="3A8D57C9"/>
    <w:rsid w:val="3AB03048"/>
    <w:rsid w:val="3AD9444D"/>
    <w:rsid w:val="3C5239BD"/>
    <w:rsid w:val="3C8C1C6C"/>
    <w:rsid w:val="3C9D30A8"/>
    <w:rsid w:val="3CA21559"/>
    <w:rsid w:val="3D250796"/>
    <w:rsid w:val="3D6E4651"/>
    <w:rsid w:val="3D927F79"/>
    <w:rsid w:val="3DAF3B4C"/>
    <w:rsid w:val="3EF37079"/>
    <w:rsid w:val="3F343F07"/>
    <w:rsid w:val="3F75437B"/>
    <w:rsid w:val="3FCF1B32"/>
    <w:rsid w:val="406117E0"/>
    <w:rsid w:val="40E3121F"/>
    <w:rsid w:val="411B4BF5"/>
    <w:rsid w:val="413214B6"/>
    <w:rsid w:val="41353317"/>
    <w:rsid w:val="414B777D"/>
    <w:rsid w:val="41B42B9D"/>
    <w:rsid w:val="41B803BD"/>
    <w:rsid w:val="432A10E9"/>
    <w:rsid w:val="438E53E0"/>
    <w:rsid w:val="4434000E"/>
    <w:rsid w:val="44BC0F48"/>
    <w:rsid w:val="44BF2167"/>
    <w:rsid w:val="44D6404F"/>
    <w:rsid w:val="45DC3E50"/>
    <w:rsid w:val="461D4D17"/>
    <w:rsid w:val="465E0EA0"/>
    <w:rsid w:val="46633FDD"/>
    <w:rsid w:val="46AA5189"/>
    <w:rsid w:val="46CA7A51"/>
    <w:rsid w:val="47382C37"/>
    <w:rsid w:val="47FB1224"/>
    <w:rsid w:val="483627B8"/>
    <w:rsid w:val="48B943F9"/>
    <w:rsid w:val="48CC551B"/>
    <w:rsid w:val="490804B9"/>
    <w:rsid w:val="499E6FA1"/>
    <w:rsid w:val="49ED09CF"/>
    <w:rsid w:val="4A9A6652"/>
    <w:rsid w:val="4AC12851"/>
    <w:rsid w:val="4AF44552"/>
    <w:rsid w:val="4B3211AC"/>
    <w:rsid w:val="4B5E1633"/>
    <w:rsid w:val="4BE843D6"/>
    <w:rsid w:val="4C4D5915"/>
    <w:rsid w:val="4CA55A07"/>
    <w:rsid w:val="4CF532EB"/>
    <w:rsid w:val="4D247699"/>
    <w:rsid w:val="4D351864"/>
    <w:rsid w:val="4D3B3EC3"/>
    <w:rsid w:val="4DC0154C"/>
    <w:rsid w:val="4DF27875"/>
    <w:rsid w:val="4E0A0226"/>
    <w:rsid w:val="4E6D62B9"/>
    <w:rsid w:val="4FEB3296"/>
    <w:rsid w:val="50183229"/>
    <w:rsid w:val="50B47BD2"/>
    <w:rsid w:val="50E43DA5"/>
    <w:rsid w:val="51111061"/>
    <w:rsid w:val="51284C4A"/>
    <w:rsid w:val="51CD14F7"/>
    <w:rsid w:val="521B1822"/>
    <w:rsid w:val="52BD52D3"/>
    <w:rsid w:val="533E1C77"/>
    <w:rsid w:val="539331B5"/>
    <w:rsid w:val="539D011D"/>
    <w:rsid w:val="53A34804"/>
    <w:rsid w:val="53C24E1C"/>
    <w:rsid w:val="53EB265E"/>
    <w:rsid w:val="54260DEC"/>
    <w:rsid w:val="5428442E"/>
    <w:rsid w:val="546E2D3B"/>
    <w:rsid w:val="54A413D7"/>
    <w:rsid w:val="54F5488B"/>
    <w:rsid w:val="551B2238"/>
    <w:rsid w:val="5561162D"/>
    <w:rsid w:val="558E2A0D"/>
    <w:rsid w:val="57216536"/>
    <w:rsid w:val="57492A44"/>
    <w:rsid w:val="585013B1"/>
    <w:rsid w:val="58590021"/>
    <w:rsid w:val="585C0AEA"/>
    <w:rsid w:val="58F129FB"/>
    <w:rsid w:val="59A27852"/>
    <w:rsid w:val="59A56EDA"/>
    <w:rsid w:val="59C80083"/>
    <w:rsid w:val="5A387F6A"/>
    <w:rsid w:val="5A4B3C62"/>
    <w:rsid w:val="5AB3272D"/>
    <w:rsid w:val="5B7D42B7"/>
    <w:rsid w:val="5CD40F53"/>
    <w:rsid w:val="5CD564C5"/>
    <w:rsid w:val="5CF911FC"/>
    <w:rsid w:val="5D977672"/>
    <w:rsid w:val="5E021550"/>
    <w:rsid w:val="5E3E55C2"/>
    <w:rsid w:val="5E775F36"/>
    <w:rsid w:val="5E7D7150"/>
    <w:rsid w:val="5F1364DB"/>
    <w:rsid w:val="5F1C3EB9"/>
    <w:rsid w:val="5F202333"/>
    <w:rsid w:val="5F7B2168"/>
    <w:rsid w:val="6069565F"/>
    <w:rsid w:val="60CA7BF0"/>
    <w:rsid w:val="611D4463"/>
    <w:rsid w:val="61400955"/>
    <w:rsid w:val="61EE02CC"/>
    <w:rsid w:val="628E7778"/>
    <w:rsid w:val="63175484"/>
    <w:rsid w:val="636E496F"/>
    <w:rsid w:val="637053D0"/>
    <w:rsid w:val="642C6FD8"/>
    <w:rsid w:val="64B5640B"/>
    <w:rsid w:val="64F968EA"/>
    <w:rsid w:val="65523609"/>
    <w:rsid w:val="659071DC"/>
    <w:rsid w:val="65F103C9"/>
    <w:rsid w:val="664B0B34"/>
    <w:rsid w:val="66A104E1"/>
    <w:rsid w:val="6727567F"/>
    <w:rsid w:val="67835616"/>
    <w:rsid w:val="679C6098"/>
    <w:rsid w:val="67FE43C3"/>
    <w:rsid w:val="680D2A11"/>
    <w:rsid w:val="686903EE"/>
    <w:rsid w:val="68913ECD"/>
    <w:rsid w:val="68C32CAA"/>
    <w:rsid w:val="69B548A4"/>
    <w:rsid w:val="6A016F9D"/>
    <w:rsid w:val="6ADB7663"/>
    <w:rsid w:val="6AFE0B75"/>
    <w:rsid w:val="6B025E87"/>
    <w:rsid w:val="6B142EE9"/>
    <w:rsid w:val="6B2828D4"/>
    <w:rsid w:val="6B2A5B4A"/>
    <w:rsid w:val="6B685CE4"/>
    <w:rsid w:val="6B7F6FA3"/>
    <w:rsid w:val="6BB944FF"/>
    <w:rsid w:val="6BF411A8"/>
    <w:rsid w:val="6C183A6F"/>
    <w:rsid w:val="6CD977B4"/>
    <w:rsid w:val="6D024144"/>
    <w:rsid w:val="6DF45F34"/>
    <w:rsid w:val="6E475405"/>
    <w:rsid w:val="6E4D2AC1"/>
    <w:rsid w:val="6E786A58"/>
    <w:rsid w:val="6E786FE2"/>
    <w:rsid w:val="6E813161"/>
    <w:rsid w:val="6E9A1018"/>
    <w:rsid w:val="6EBC3D89"/>
    <w:rsid w:val="6EC1184A"/>
    <w:rsid w:val="6F1D2D8D"/>
    <w:rsid w:val="708635EC"/>
    <w:rsid w:val="7091328B"/>
    <w:rsid w:val="70FE3045"/>
    <w:rsid w:val="71502ED3"/>
    <w:rsid w:val="71834109"/>
    <w:rsid w:val="72210D66"/>
    <w:rsid w:val="727F7148"/>
    <w:rsid w:val="72D56812"/>
    <w:rsid w:val="73A073A8"/>
    <w:rsid w:val="73C120C6"/>
    <w:rsid w:val="741F0FAE"/>
    <w:rsid w:val="74564254"/>
    <w:rsid w:val="74EB476E"/>
    <w:rsid w:val="75477C29"/>
    <w:rsid w:val="75C1021C"/>
    <w:rsid w:val="75D620C0"/>
    <w:rsid w:val="76300CB8"/>
    <w:rsid w:val="76902130"/>
    <w:rsid w:val="771C26AC"/>
    <w:rsid w:val="775B4A7A"/>
    <w:rsid w:val="782A0A2E"/>
    <w:rsid w:val="78800556"/>
    <w:rsid w:val="79227E0D"/>
    <w:rsid w:val="798D777F"/>
    <w:rsid w:val="799B45E9"/>
    <w:rsid w:val="7B677938"/>
    <w:rsid w:val="7B901CB1"/>
    <w:rsid w:val="7BF46181"/>
    <w:rsid w:val="7C066A75"/>
    <w:rsid w:val="7C73143C"/>
    <w:rsid w:val="7CD641F3"/>
    <w:rsid w:val="7D0D231D"/>
    <w:rsid w:val="7D207E06"/>
    <w:rsid w:val="7DE377BC"/>
    <w:rsid w:val="7DFE1886"/>
    <w:rsid w:val="7E204CF1"/>
    <w:rsid w:val="7EA03A53"/>
    <w:rsid w:val="7EC33FC1"/>
    <w:rsid w:val="7F943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qFormat="1"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4"/>
    <w:qFormat/>
    <w:uiPriority w:val="0"/>
    <w:pPr>
      <w:keepNext/>
      <w:tabs>
        <w:tab w:val="left" w:pos="0"/>
        <w:tab w:val="left" w:pos="720"/>
        <w:tab w:val="left" w:pos="1440"/>
        <w:tab w:val="left" w:pos="2160"/>
        <w:tab w:val="left" w:pos="2880"/>
        <w:tab w:val="left" w:pos="3600"/>
        <w:tab w:val="left" w:pos="4320"/>
      </w:tabs>
      <w:autoSpaceDE w:val="0"/>
      <w:autoSpaceDN w:val="0"/>
      <w:adjustRightInd w:val="0"/>
      <w:spacing w:line="360" w:lineRule="auto"/>
      <w:jc w:val="center"/>
      <w:outlineLvl w:val="0"/>
    </w:pPr>
    <w:rPr>
      <w:rFonts w:hint="eastAsia" w:ascii="宋体" w:hAnsi="Times New Roman" w:eastAsia="宋体" w:cs="Times New Roman"/>
      <w:b/>
      <w:sz w:val="30"/>
    </w:rPr>
  </w:style>
  <w:style w:type="paragraph" w:styleId="4">
    <w:name w:val="heading 2"/>
    <w:basedOn w:val="1"/>
    <w:next w:val="1"/>
    <w:link w:val="90"/>
    <w:unhideWhenUsed/>
    <w:qFormat/>
    <w:uiPriority w:val="0"/>
    <w:pPr>
      <w:keepNext/>
      <w:keepLines/>
      <w:spacing w:before="260" w:after="260" w:line="408" w:lineRule="auto"/>
      <w:outlineLvl w:val="1"/>
    </w:pPr>
    <w:rPr>
      <w:rFonts w:ascii="Arial" w:hAnsi="Arial" w:eastAsia="黑体" w:cs="Times New Roman"/>
      <w:b/>
      <w:sz w:val="32"/>
      <w:szCs w:val="32"/>
    </w:rPr>
  </w:style>
  <w:style w:type="paragraph" w:styleId="5">
    <w:name w:val="heading 3"/>
    <w:basedOn w:val="1"/>
    <w:next w:val="1"/>
    <w:link w:val="75"/>
    <w:unhideWhenUsed/>
    <w:qFormat/>
    <w:uiPriority w:val="0"/>
    <w:pPr>
      <w:keepNext/>
      <w:numPr>
        <w:ilvl w:val="0"/>
        <w:numId w:val="1"/>
      </w:numPr>
      <w:tabs>
        <w:tab w:val="left" w:pos="960"/>
      </w:tabs>
      <w:spacing w:line="360" w:lineRule="auto"/>
      <w:outlineLvl w:val="2"/>
    </w:pPr>
    <w:rPr>
      <w:rFonts w:hint="eastAsia" w:ascii="宋体" w:hAnsi="Times New Roman" w:eastAsia="宋体" w:cs="Times New Roman"/>
      <w:bCs/>
      <w:sz w:val="28"/>
      <w:szCs w:val="20"/>
    </w:rPr>
  </w:style>
  <w:style w:type="paragraph" w:styleId="6">
    <w:name w:val="heading 4"/>
    <w:basedOn w:val="1"/>
    <w:next w:val="1"/>
    <w:link w:val="105"/>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106"/>
    <w:unhideWhenUsed/>
    <w:qFormat/>
    <w:uiPriority w:val="0"/>
    <w:pPr>
      <w:keepNext/>
      <w:keepLines/>
      <w:spacing w:before="280" w:after="290" w:line="372" w:lineRule="auto"/>
      <w:outlineLvl w:val="4"/>
    </w:pPr>
    <w:rPr>
      <w:b/>
      <w:sz w:val="28"/>
    </w:rPr>
  </w:style>
  <w:style w:type="paragraph" w:styleId="8">
    <w:name w:val="heading 6"/>
    <w:basedOn w:val="1"/>
    <w:next w:val="1"/>
    <w:link w:val="107"/>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108"/>
    <w:unhideWhenUsed/>
    <w:qFormat/>
    <w:uiPriority w:val="0"/>
    <w:pPr>
      <w:keepNext/>
      <w:keepLines/>
      <w:spacing w:before="240" w:after="64" w:line="317" w:lineRule="auto"/>
      <w:outlineLvl w:val="6"/>
    </w:pPr>
    <w:rPr>
      <w:b/>
      <w:sz w:val="24"/>
    </w:rPr>
  </w:style>
  <w:style w:type="paragraph" w:styleId="10">
    <w:name w:val="heading 8"/>
    <w:basedOn w:val="1"/>
    <w:next w:val="1"/>
    <w:link w:val="68"/>
    <w:unhideWhenUsed/>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109"/>
    <w:unhideWhenUsed/>
    <w:qFormat/>
    <w:uiPriority w:val="0"/>
    <w:pPr>
      <w:keepNext/>
      <w:keepLines/>
      <w:spacing w:before="240" w:after="64" w:line="317"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ascii="Times New Roman" w:hAnsi="Times New Roman" w:eastAsia="宋体" w:cs="Times New Roman"/>
    </w:rPr>
  </w:style>
  <w:style w:type="paragraph" w:styleId="12">
    <w:name w:val="List 3"/>
    <w:basedOn w:val="1"/>
    <w:qFormat/>
    <w:uiPriority w:val="0"/>
    <w:pPr>
      <w:spacing w:line="360" w:lineRule="auto"/>
      <w:ind w:left="100" w:leftChars="400" w:hanging="200" w:hangingChars="200"/>
    </w:pPr>
    <w:rPr>
      <w:rFonts w:ascii="Times New Roman" w:hAnsi="Times New Roman" w:eastAsia="宋体" w:cs="Times New Roman"/>
      <w:szCs w:val="20"/>
    </w:rPr>
  </w:style>
  <w:style w:type="paragraph" w:styleId="13">
    <w:name w:val="toc 7"/>
    <w:basedOn w:val="1"/>
    <w:next w:val="1"/>
    <w:qFormat/>
    <w:uiPriority w:val="39"/>
    <w:pPr>
      <w:ind w:left="2520" w:leftChars="1200"/>
    </w:pPr>
    <w:rPr>
      <w:rFonts w:ascii="Calibri" w:hAnsi="Calibri" w:eastAsia="宋体" w:cs="Times New Roman"/>
      <w:szCs w:val="22"/>
    </w:rPr>
  </w:style>
  <w:style w:type="paragraph" w:styleId="14">
    <w:name w:val="Normal Indent"/>
    <w:basedOn w:val="1"/>
    <w:link w:val="135"/>
    <w:qFormat/>
    <w:uiPriority w:val="0"/>
    <w:pPr>
      <w:ind w:firstLine="420" w:firstLineChars="200"/>
    </w:pPr>
  </w:style>
  <w:style w:type="paragraph" w:styleId="15">
    <w:name w:val="caption"/>
    <w:basedOn w:val="1"/>
    <w:next w:val="1"/>
    <w:link w:val="198"/>
    <w:unhideWhenUsed/>
    <w:qFormat/>
    <w:uiPriority w:val="0"/>
    <w:rPr>
      <w:rFonts w:ascii="Arial" w:hAnsi="Arial" w:eastAsia="黑体"/>
      <w:sz w:val="20"/>
    </w:rPr>
  </w:style>
  <w:style w:type="paragraph" w:styleId="16">
    <w:name w:val="Document Map"/>
    <w:basedOn w:val="1"/>
    <w:link w:val="116"/>
    <w:qFormat/>
    <w:uiPriority w:val="0"/>
    <w:pPr>
      <w:shd w:val="clear" w:color="auto" w:fill="000080"/>
    </w:pPr>
  </w:style>
  <w:style w:type="paragraph" w:styleId="17">
    <w:name w:val="toa heading"/>
    <w:basedOn w:val="1"/>
    <w:next w:val="1"/>
    <w:qFormat/>
    <w:uiPriority w:val="0"/>
    <w:pPr>
      <w:spacing w:before="120" w:line="360" w:lineRule="auto"/>
    </w:pPr>
    <w:rPr>
      <w:rFonts w:ascii="Arial" w:hAnsi="Arial" w:eastAsia="宋体" w:cs="Times New Roman"/>
      <w:sz w:val="24"/>
      <w:szCs w:val="20"/>
    </w:rPr>
  </w:style>
  <w:style w:type="paragraph" w:styleId="18">
    <w:name w:val="annotation text"/>
    <w:basedOn w:val="1"/>
    <w:link w:val="110"/>
    <w:qFormat/>
    <w:uiPriority w:val="0"/>
    <w:pPr>
      <w:jc w:val="left"/>
    </w:pPr>
    <w:rPr>
      <w:rFonts w:ascii="Calibri" w:hAnsi="Calibri" w:eastAsia="宋体" w:cs="Times New Roman"/>
    </w:rPr>
  </w:style>
  <w:style w:type="paragraph" w:styleId="19">
    <w:name w:val="Salutation"/>
    <w:basedOn w:val="1"/>
    <w:next w:val="1"/>
    <w:link w:val="117"/>
    <w:qFormat/>
    <w:uiPriority w:val="0"/>
  </w:style>
  <w:style w:type="paragraph" w:styleId="20">
    <w:name w:val="Body Text 3"/>
    <w:basedOn w:val="1"/>
    <w:link w:val="67"/>
    <w:qFormat/>
    <w:uiPriority w:val="0"/>
    <w:pPr>
      <w:spacing w:after="120"/>
    </w:pPr>
    <w:rPr>
      <w:sz w:val="16"/>
    </w:rPr>
  </w:style>
  <w:style w:type="paragraph" w:styleId="21">
    <w:name w:val="Body Text"/>
    <w:basedOn w:val="1"/>
    <w:next w:val="22"/>
    <w:link w:val="114"/>
    <w:qFormat/>
    <w:uiPriority w:val="0"/>
    <w:pPr>
      <w:spacing w:after="120"/>
    </w:pPr>
    <w:rPr>
      <w:rFonts w:ascii="Calibri" w:hAnsi="Calibri" w:eastAsia="宋体" w:cs="Times New Roman"/>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3">
    <w:name w:val="Body Text Indent"/>
    <w:basedOn w:val="1"/>
    <w:next w:val="1"/>
    <w:link w:val="118"/>
    <w:qFormat/>
    <w:uiPriority w:val="0"/>
    <w:pPr>
      <w:spacing w:after="120" w:line="360" w:lineRule="auto"/>
      <w:ind w:left="200" w:leftChars="200"/>
    </w:pPr>
    <w:rPr>
      <w:rFonts w:ascii="Times New Roman" w:hAnsi="Times New Roman" w:eastAsia="宋体" w:cs="Times New Roman"/>
      <w:kern w:val="0"/>
      <w:sz w:val="20"/>
    </w:rPr>
  </w:style>
  <w:style w:type="paragraph" w:styleId="24">
    <w:name w:val="List 2"/>
    <w:basedOn w:val="1"/>
    <w:unhideWhenUsed/>
    <w:qFormat/>
    <w:uiPriority w:val="0"/>
    <w:pPr>
      <w:ind w:left="200" w:leftChars="200" w:hanging="200" w:hangingChars="200"/>
    </w:pPr>
  </w:style>
  <w:style w:type="paragraph" w:styleId="25">
    <w:name w:val="index 4"/>
    <w:basedOn w:val="1"/>
    <w:next w:val="1"/>
    <w:qFormat/>
    <w:uiPriority w:val="0"/>
    <w:pPr>
      <w:ind w:left="600" w:leftChars="600"/>
    </w:pPr>
    <w:rPr>
      <w:rFonts w:ascii="Times New Roman" w:hAnsi="Times New Roman" w:eastAsia="宋体" w:cs="Times New Roman"/>
    </w:rPr>
  </w:style>
  <w:style w:type="paragraph" w:styleId="26">
    <w:name w:val="toc 5"/>
    <w:basedOn w:val="1"/>
    <w:next w:val="1"/>
    <w:qFormat/>
    <w:uiPriority w:val="39"/>
    <w:pPr>
      <w:ind w:left="1680" w:leftChars="800"/>
    </w:pPr>
  </w:style>
  <w:style w:type="paragraph" w:styleId="27">
    <w:name w:val="toc 3"/>
    <w:basedOn w:val="1"/>
    <w:next w:val="1"/>
    <w:qFormat/>
    <w:uiPriority w:val="39"/>
    <w:pPr>
      <w:ind w:left="840" w:leftChars="400"/>
    </w:pPr>
  </w:style>
  <w:style w:type="paragraph" w:styleId="28">
    <w:name w:val="Plain Text"/>
    <w:basedOn w:val="1"/>
    <w:link w:val="271"/>
    <w:qFormat/>
    <w:uiPriority w:val="0"/>
    <w:rPr>
      <w:rFonts w:ascii="宋体" w:hAnsi="Courier New"/>
    </w:rPr>
  </w:style>
  <w:style w:type="paragraph" w:styleId="29">
    <w:name w:val="toc 8"/>
    <w:basedOn w:val="1"/>
    <w:next w:val="1"/>
    <w:qFormat/>
    <w:uiPriority w:val="39"/>
    <w:pPr>
      <w:ind w:left="2940" w:leftChars="1400"/>
    </w:pPr>
    <w:rPr>
      <w:rFonts w:ascii="Calibri" w:hAnsi="Calibri" w:eastAsia="宋体" w:cs="Times New Roman"/>
      <w:szCs w:val="22"/>
    </w:rPr>
  </w:style>
  <w:style w:type="paragraph" w:styleId="30">
    <w:name w:val="Date"/>
    <w:basedOn w:val="1"/>
    <w:next w:val="1"/>
    <w:link w:val="272"/>
    <w:qFormat/>
    <w:uiPriority w:val="0"/>
    <w:pPr>
      <w:ind w:left="100" w:leftChars="2500"/>
    </w:pPr>
  </w:style>
  <w:style w:type="paragraph" w:styleId="31">
    <w:name w:val="Body Text Indent 2"/>
    <w:basedOn w:val="1"/>
    <w:next w:val="1"/>
    <w:link w:val="270"/>
    <w:qFormat/>
    <w:uiPriority w:val="0"/>
    <w:pPr>
      <w:spacing w:after="120" w:line="480" w:lineRule="auto"/>
      <w:ind w:left="420" w:leftChars="200"/>
    </w:pPr>
  </w:style>
  <w:style w:type="paragraph" w:styleId="32">
    <w:name w:val="Balloon Text"/>
    <w:basedOn w:val="1"/>
    <w:link w:val="211"/>
    <w:qFormat/>
    <w:uiPriority w:val="0"/>
    <w:rPr>
      <w:sz w:val="18"/>
    </w:rPr>
  </w:style>
  <w:style w:type="paragraph" w:styleId="33">
    <w:name w:val="footer"/>
    <w:basedOn w:val="1"/>
    <w:link w:val="126"/>
    <w:qFormat/>
    <w:uiPriority w:val="99"/>
    <w:pPr>
      <w:tabs>
        <w:tab w:val="center" w:pos="4153"/>
        <w:tab w:val="right" w:pos="8306"/>
      </w:tabs>
      <w:snapToGrid w:val="0"/>
      <w:jc w:val="left"/>
    </w:pPr>
    <w:rPr>
      <w:sz w:val="18"/>
    </w:rPr>
  </w:style>
  <w:style w:type="paragraph" w:styleId="34">
    <w:name w:val="header"/>
    <w:basedOn w:val="1"/>
    <w:link w:val="1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5">
    <w:name w:val="toc 4"/>
    <w:basedOn w:val="1"/>
    <w:next w:val="1"/>
    <w:qFormat/>
    <w:uiPriority w:val="39"/>
    <w:pPr>
      <w:ind w:left="1260" w:leftChars="600"/>
    </w:pPr>
  </w:style>
  <w:style w:type="paragraph" w:styleId="36">
    <w:name w:val="Subtitle"/>
    <w:basedOn w:val="1"/>
    <w:link w:val="214"/>
    <w:qFormat/>
    <w:uiPriority w:val="0"/>
    <w:pPr>
      <w:spacing w:before="240" w:after="60" w:line="312" w:lineRule="auto"/>
      <w:jc w:val="center"/>
      <w:outlineLvl w:val="1"/>
    </w:pPr>
    <w:rPr>
      <w:rFonts w:ascii="Arial" w:hAnsi="Arial"/>
      <w:b/>
      <w:kern w:val="28"/>
      <w:sz w:val="32"/>
    </w:rPr>
  </w:style>
  <w:style w:type="paragraph" w:styleId="37">
    <w:name w:val="toc 6"/>
    <w:basedOn w:val="1"/>
    <w:next w:val="1"/>
    <w:qFormat/>
    <w:uiPriority w:val="39"/>
    <w:pPr>
      <w:ind w:left="2100" w:leftChars="1000"/>
    </w:pPr>
    <w:rPr>
      <w:rFonts w:ascii="Calibri" w:hAnsi="Calibri" w:eastAsia="宋体" w:cs="Times New Roman"/>
      <w:szCs w:val="22"/>
    </w:rPr>
  </w:style>
  <w:style w:type="paragraph" w:styleId="38">
    <w:name w:val="Body Text Indent 3"/>
    <w:basedOn w:val="1"/>
    <w:link w:val="129"/>
    <w:qFormat/>
    <w:uiPriority w:val="0"/>
    <w:pPr>
      <w:spacing w:after="120"/>
      <w:ind w:left="420" w:leftChars="200"/>
    </w:pPr>
    <w:rPr>
      <w:sz w:val="16"/>
    </w:rPr>
  </w:style>
  <w:style w:type="paragraph" w:styleId="39">
    <w:name w:val="toc 2"/>
    <w:basedOn w:val="1"/>
    <w:next w:val="1"/>
    <w:qFormat/>
    <w:uiPriority w:val="39"/>
    <w:pPr>
      <w:spacing w:line="360" w:lineRule="auto"/>
      <w:ind w:left="200" w:leftChars="200"/>
    </w:pPr>
    <w:rPr>
      <w:rFonts w:ascii="Times New Roman" w:hAnsi="Times New Roman" w:eastAsia="宋体" w:cs="Times New Roman"/>
    </w:rPr>
  </w:style>
  <w:style w:type="paragraph" w:styleId="40">
    <w:name w:val="toc 9"/>
    <w:basedOn w:val="1"/>
    <w:next w:val="1"/>
    <w:qFormat/>
    <w:uiPriority w:val="39"/>
    <w:pPr>
      <w:ind w:left="3360" w:leftChars="1600"/>
    </w:pPr>
    <w:rPr>
      <w:rFonts w:ascii="Calibri" w:hAnsi="Calibri" w:eastAsia="宋体" w:cs="Times New Roman"/>
      <w:szCs w:val="22"/>
    </w:rPr>
  </w:style>
  <w:style w:type="paragraph" w:styleId="41">
    <w:name w:val="Body Text 2"/>
    <w:basedOn w:val="1"/>
    <w:link w:val="176"/>
    <w:qFormat/>
    <w:uiPriority w:val="0"/>
    <w:pPr>
      <w:spacing w:after="120" w:line="480" w:lineRule="auto"/>
    </w:pPr>
  </w:style>
  <w:style w:type="paragraph" w:styleId="42">
    <w:name w:val="List Continue 2"/>
    <w:basedOn w:val="1"/>
    <w:qFormat/>
    <w:uiPriority w:val="0"/>
    <w:pPr>
      <w:spacing w:after="120" w:line="360" w:lineRule="auto"/>
      <w:ind w:left="400" w:leftChars="400"/>
    </w:pPr>
    <w:rPr>
      <w:rFonts w:ascii="Times New Roman" w:hAnsi="Times New Roman" w:eastAsia="宋体" w:cs="Times New Roman"/>
    </w:rPr>
  </w:style>
  <w:style w:type="paragraph" w:styleId="43">
    <w:name w:val="HTML Preformatted"/>
    <w:basedOn w:val="1"/>
    <w:link w:val="91"/>
    <w:qFormat/>
    <w:uiPriority w:val="0"/>
    <w:rPr>
      <w:rFonts w:ascii="Courier New" w:hAnsi="Courier New"/>
      <w:sz w:val="20"/>
    </w:rPr>
  </w:style>
  <w:style w:type="paragraph" w:styleId="44">
    <w:name w:val="Normal (Web)"/>
    <w:basedOn w:val="1"/>
    <w:link w:val="93"/>
    <w:qFormat/>
    <w:uiPriority w:val="0"/>
    <w:pPr>
      <w:widowControl/>
      <w:spacing w:beforeAutospacing="1" w:afterAutospacing="1" w:line="360" w:lineRule="auto"/>
      <w:jc w:val="left"/>
    </w:pPr>
    <w:rPr>
      <w:rFonts w:hint="eastAsia" w:ascii="宋体" w:hAnsi="宋体" w:eastAsia="宋体" w:cs="Times New Roman"/>
      <w:kern w:val="0"/>
      <w:sz w:val="24"/>
      <w:szCs w:val="20"/>
    </w:rPr>
  </w:style>
  <w:style w:type="paragraph" w:styleId="45">
    <w:name w:val="Title"/>
    <w:basedOn w:val="1"/>
    <w:link w:val="267"/>
    <w:qFormat/>
    <w:uiPriority w:val="0"/>
    <w:pPr>
      <w:spacing w:before="240" w:after="60"/>
      <w:jc w:val="center"/>
      <w:outlineLvl w:val="0"/>
    </w:pPr>
    <w:rPr>
      <w:rFonts w:ascii="Arial" w:hAnsi="Arial"/>
      <w:b/>
      <w:sz w:val="32"/>
    </w:rPr>
  </w:style>
  <w:style w:type="paragraph" w:styleId="46">
    <w:name w:val="annotation subject"/>
    <w:basedOn w:val="18"/>
    <w:next w:val="18"/>
    <w:link w:val="269"/>
    <w:qFormat/>
    <w:uiPriority w:val="0"/>
    <w:rPr>
      <w:b/>
    </w:rPr>
  </w:style>
  <w:style w:type="paragraph" w:styleId="47">
    <w:name w:val="Body Text First Indent"/>
    <w:basedOn w:val="21"/>
    <w:next w:val="37"/>
    <w:link w:val="266"/>
    <w:qFormat/>
    <w:uiPriority w:val="0"/>
    <w:pPr>
      <w:ind w:firstLine="420" w:firstLineChars="100"/>
    </w:pPr>
  </w:style>
  <w:style w:type="paragraph" w:styleId="48">
    <w:name w:val="Body Text First Indent 2"/>
    <w:basedOn w:val="23"/>
    <w:next w:val="47"/>
    <w:qFormat/>
    <w:uiPriority w:val="0"/>
    <w:pPr>
      <w:ind w:firstLine="420" w:firstLineChars="200"/>
    </w:pPr>
  </w:style>
  <w:style w:type="table" w:styleId="50">
    <w:name w:val="Table Grid"/>
    <w:basedOn w:val="4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52">
    <w:name w:val="Strong"/>
    <w:basedOn w:val="51"/>
    <w:qFormat/>
    <w:uiPriority w:val="0"/>
    <w:rPr>
      <w:rFonts w:hint="default" w:ascii="Times New Roman" w:hAnsi="Times New Roman" w:cs="Times New Roman"/>
      <w:b/>
    </w:rPr>
  </w:style>
  <w:style w:type="character" w:styleId="53">
    <w:name w:val="page number"/>
    <w:qFormat/>
    <w:uiPriority w:val="0"/>
    <w:rPr>
      <w:rFonts w:cs="Times New Roman"/>
    </w:rPr>
  </w:style>
  <w:style w:type="character" w:styleId="54">
    <w:name w:val="FollowedHyperlink"/>
    <w:basedOn w:val="51"/>
    <w:qFormat/>
    <w:uiPriority w:val="99"/>
    <w:rPr>
      <w:rFonts w:hint="default" w:ascii="Times New Roman" w:hAnsi="Times New Roman" w:cs="Times New Roman"/>
      <w:color w:val="800080"/>
      <w:u w:val="single"/>
    </w:rPr>
  </w:style>
  <w:style w:type="character" w:styleId="55">
    <w:name w:val="Emphasis"/>
    <w:basedOn w:val="51"/>
    <w:qFormat/>
    <w:uiPriority w:val="0"/>
  </w:style>
  <w:style w:type="character" w:styleId="56">
    <w:name w:val="HTML Definition"/>
    <w:basedOn w:val="51"/>
    <w:qFormat/>
    <w:uiPriority w:val="0"/>
    <w:rPr>
      <w:i/>
      <w:sz w:val="27"/>
    </w:rPr>
  </w:style>
  <w:style w:type="character" w:styleId="57">
    <w:name w:val="Hyperlink"/>
    <w:basedOn w:val="51"/>
    <w:qFormat/>
    <w:uiPriority w:val="99"/>
    <w:rPr>
      <w:rFonts w:hint="default" w:ascii="Times New Roman" w:hAnsi="Times New Roman" w:cs="Times New Roman"/>
      <w:color w:val="337AB7"/>
      <w:u w:val="none"/>
    </w:rPr>
  </w:style>
  <w:style w:type="character" w:styleId="58">
    <w:name w:val="HTML Code"/>
    <w:basedOn w:val="51"/>
    <w:qFormat/>
    <w:uiPriority w:val="0"/>
    <w:rPr>
      <w:rFonts w:hint="default" w:ascii="Menlo" w:hAnsi="Menlo" w:eastAsia="Times New Roman" w:cs="Times New Roman"/>
      <w:color w:val="C7254E"/>
      <w:sz w:val="21"/>
      <w:shd w:val="clear" w:color="auto" w:fill="F9F2F4"/>
    </w:rPr>
  </w:style>
  <w:style w:type="character" w:styleId="59">
    <w:name w:val="annotation reference"/>
    <w:basedOn w:val="51"/>
    <w:qFormat/>
    <w:uiPriority w:val="0"/>
    <w:rPr>
      <w:sz w:val="21"/>
    </w:rPr>
  </w:style>
  <w:style w:type="character" w:styleId="60">
    <w:name w:val="HTML Keyboard"/>
    <w:basedOn w:val="51"/>
    <w:qFormat/>
    <w:uiPriority w:val="0"/>
    <w:rPr>
      <w:rFonts w:hint="default" w:ascii="Menlo" w:hAnsi="Menlo" w:eastAsia="Times New Roman" w:cs="Times New Roman"/>
      <w:color w:val="FFFFFF"/>
      <w:sz w:val="21"/>
      <w:shd w:val="clear" w:color="auto" w:fill="333333"/>
    </w:rPr>
  </w:style>
  <w:style w:type="character" w:styleId="61">
    <w:name w:val="HTML Sample"/>
    <w:basedOn w:val="51"/>
    <w:qFormat/>
    <w:uiPriority w:val="0"/>
    <w:rPr>
      <w:rFonts w:hint="default" w:ascii="Menlo" w:hAnsi="Menlo" w:eastAsia="Times New Roman" w:cs="Times New Roman"/>
      <w:sz w:val="21"/>
    </w:rPr>
  </w:style>
  <w:style w:type="paragraph" w:styleId="62">
    <w:name w:val="List Paragraph"/>
    <w:basedOn w:val="1"/>
    <w:next w:val="1"/>
    <w:qFormat/>
    <w:uiPriority w:val="0"/>
    <w:pPr>
      <w:ind w:firstLine="420" w:firstLineChars="200"/>
    </w:pPr>
  </w:style>
  <w:style w:type="paragraph" w:customStyle="1" w:styleId="63">
    <w:name w:val="_Style 1"/>
    <w:basedOn w:val="1"/>
    <w:qFormat/>
    <w:uiPriority w:val="99"/>
    <w:pPr>
      <w:spacing w:line="360" w:lineRule="auto"/>
      <w:ind w:firstLine="420" w:firstLineChars="200"/>
      <w:jc w:val="left"/>
    </w:pPr>
    <w:rPr>
      <w:sz w:val="24"/>
    </w:rPr>
  </w:style>
  <w:style w:type="character" w:customStyle="1" w:styleId="64">
    <w:name w:val="标题 字符1"/>
    <w:basedOn w:val="51"/>
    <w:qFormat/>
    <w:uiPriority w:val="0"/>
    <w:rPr>
      <w:rFonts w:hint="default" w:ascii="Calibri Light" w:hAnsi="Calibri Light" w:eastAsia="宋体" w:cs="Calibri Light"/>
      <w:b/>
      <w:sz w:val="32"/>
    </w:rPr>
  </w:style>
  <w:style w:type="character" w:customStyle="1" w:styleId="65">
    <w:name w:val="纯文本 Char"/>
    <w:basedOn w:val="51"/>
    <w:qFormat/>
    <w:uiPriority w:val="0"/>
    <w:rPr>
      <w:rFonts w:hint="eastAsia" w:ascii="宋体" w:hAnsi="Courier New" w:eastAsia="宋体" w:cs="Courier New"/>
      <w:kern w:val="2"/>
      <w:sz w:val="21"/>
      <w:szCs w:val="21"/>
    </w:rPr>
  </w:style>
  <w:style w:type="character" w:customStyle="1" w:styleId="66">
    <w:name w:val="明显引用 Char3"/>
    <w:basedOn w:val="51"/>
    <w:qFormat/>
    <w:uiPriority w:val="0"/>
    <w:rPr>
      <w:b/>
      <w:i/>
      <w:color w:val="4F81BD"/>
    </w:rPr>
  </w:style>
  <w:style w:type="character" w:customStyle="1" w:styleId="67">
    <w:name w:val="正文文本 3 Char"/>
    <w:basedOn w:val="51"/>
    <w:link w:val="20"/>
    <w:qFormat/>
    <w:uiPriority w:val="0"/>
    <w:rPr>
      <w:rFonts w:hint="default" w:ascii="Calibri" w:hAnsi="Calibri" w:eastAsia="宋体" w:cs="Times New Roman"/>
      <w:kern w:val="2"/>
      <w:sz w:val="16"/>
      <w:szCs w:val="24"/>
    </w:rPr>
  </w:style>
  <w:style w:type="character" w:customStyle="1" w:styleId="68">
    <w:name w:val="标题 8 Char"/>
    <w:basedOn w:val="51"/>
    <w:link w:val="10"/>
    <w:qFormat/>
    <w:uiPriority w:val="0"/>
    <w:rPr>
      <w:rFonts w:hint="default" w:ascii="Arial" w:hAnsi="Arial" w:eastAsia="黑体" w:cs="Times New Roman"/>
      <w:kern w:val="2"/>
      <w:sz w:val="24"/>
      <w:szCs w:val="24"/>
    </w:rPr>
  </w:style>
  <w:style w:type="character" w:customStyle="1" w:styleId="69">
    <w:name w:val="Char Char1"/>
    <w:basedOn w:val="51"/>
    <w:qFormat/>
    <w:uiPriority w:val="0"/>
    <w:rPr>
      <w:rFonts w:hint="eastAsia" w:ascii="宋体" w:hAnsi="宋体" w:eastAsia="宋体" w:cs="宋体"/>
      <w:kern w:val="2"/>
      <w:sz w:val="21"/>
      <w:lang w:val="en-US" w:eastAsia="zh-CN"/>
    </w:rPr>
  </w:style>
  <w:style w:type="character" w:customStyle="1" w:styleId="70">
    <w:name w:val="Char Char18"/>
    <w:basedOn w:val="51"/>
    <w:qFormat/>
    <w:uiPriority w:val="0"/>
    <w:rPr>
      <w:rFonts w:hint="eastAsia" w:ascii="宋体" w:hAnsi="宋体" w:eastAsia="宋体" w:cs="宋体"/>
      <w:b/>
      <w:kern w:val="44"/>
      <w:sz w:val="44"/>
      <w:lang w:val="en-US" w:eastAsia="zh-CN"/>
    </w:rPr>
  </w:style>
  <w:style w:type="character" w:customStyle="1" w:styleId="71">
    <w:name w:val="Intense Quote Char"/>
    <w:basedOn w:val="51"/>
    <w:qFormat/>
    <w:uiPriority w:val="0"/>
    <w:rPr>
      <w:b/>
      <w:i/>
      <w:color w:val="4F81BD"/>
      <w:sz w:val="22"/>
    </w:rPr>
  </w:style>
  <w:style w:type="character" w:customStyle="1" w:styleId="72">
    <w:name w:val="页脚 Char2"/>
    <w:basedOn w:val="51"/>
    <w:qFormat/>
    <w:uiPriority w:val="0"/>
    <w:rPr>
      <w:rFonts w:hint="default" w:ascii="Times New Roman" w:hAnsi="Times New Roman" w:eastAsia="宋体" w:cs="Times New Roman"/>
      <w:kern w:val="0"/>
      <w:sz w:val="18"/>
      <w:szCs w:val="18"/>
    </w:rPr>
  </w:style>
  <w:style w:type="character" w:customStyle="1" w:styleId="73">
    <w:name w:val="样式4 Char"/>
    <w:basedOn w:val="51"/>
    <w:qFormat/>
    <w:uiPriority w:val="0"/>
    <w:rPr>
      <w:rFonts w:hint="eastAsia" w:ascii="宋体" w:hAnsi="宋体" w:eastAsia="宋体" w:cs="宋体"/>
      <w:b/>
      <w:color w:val="000000"/>
      <w:sz w:val="52"/>
    </w:rPr>
  </w:style>
  <w:style w:type="character" w:customStyle="1" w:styleId="74">
    <w:name w:val="标题 1 Char1"/>
    <w:basedOn w:val="51"/>
    <w:qFormat/>
    <w:uiPriority w:val="0"/>
    <w:rPr>
      <w:rFonts w:hint="default" w:ascii="Times New Roman" w:hAnsi="Times New Roman" w:eastAsia="宋体" w:cs="Times New Roman"/>
      <w:b/>
      <w:kern w:val="44"/>
      <w:sz w:val="44"/>
    </w:rPr>
  </w:style>
  <w:style w:type="character" w:customStyle="1" w:styleId="75">
    <w:name w:val="标题 3 Char"/>
    <w:basedOn w:val="51"/>
    <w:link w:val="5"/>
    <w:qFormat/>
    <w:uiPriority w:val="0"/>
    <w:rPr>
      <w:rFonts w:hint="eastAsia" w:ascii="宋体" w:hAnsi="宋体" w:eastAsia="宋体" w:cs="宋体"/>
      <w:bCs/>
      <w:kern w:val="2"/>
      <w:sz w:val="28"/>
    </w:rPr>
  </w:style>
  <w:style w:type="character" w:customStyle="1" w:styleId="76">
    <w:name w:val="标题 9 Char1"/>
    <w:basedOn w:val="51"/>
    <w:qFormat/>
    <w:uiPriority w:val="0"/>
    <w:rPr>
      <w:rFonts w:hint="default" w:ascii="Arial" w:hAnsi="Arial" w:eastAsia="黑体" w:cs="Arial"/>
      <w:kern w:val="0"/>
      <w:sz w:val="21"/>
    </w:rPr>
  </w:style>
  <w:style w:type="character" w:customStyle="1" w:styleId="77">
    <w:name w:val="明显引用 字符1"/>
    <w:basedOn w:val="51"/>
    <w:qFormat/>
    <w:uiPriority w:val="0"/>
    <w:rPr>
      <w:rFonts w:hint="default" w:ascii="Times New Roman" w:hAnsi="Times New Roman" w:eastAsia="宋体" w:cs="Times New Roman"/>
      <w:i/>
      <w:color w:val="5B9BD5"/>
      <w:sz w:val="24"/>
    </w:rPr>
  </w:style>
  <w:style w:type="character" w:customStyle="1" w:styleId="78">
    <w:name w:val="HTML 预设格式 Char2"/>
    <w:basedOn w:val="51"/>
    <w:qFormat/>
    <w:uiPriority w:val="0"/>
    <w:rPr>
      <w:rFonts w:hint="default" w:ascii="Courier New" w:hAnsi="Courier New" w:eastAsia="宋体" w:cs="Times New Roman"/>
      <w:kern w:val="2"/>
      <w:szCs w:val="24"/>
    </w:rPr>
  </w:style>
  <w:style w:type="character" w:customStyle="1" w:styleId="79">
    <w:name w:val="body text Char"/>
    <w:basedOn w:val="51"/>
    <w:qFormat/>
    <w:uiPriority w:val="0"/>
    <w:rPr>
      <w:rFonts w:hint="eastAsia" w:ascii="宋体" w:hAnsi="宋体" w:eastAsia="宋体" w:cs="宋体"/>
      <w:kern w:val="2"/>
      <w:sz w:val="21"/>
      <w:lang w:val="en-US" w:eastAsia="zh-CN"/>
    </w:rPr>
  </w:style>
  <w:style w:type="character" w:customStyle="1" w:styleId="80">
    <w:name w:val="old"/>
    <w:basedOn w:val="51"/>
    <w:qFormat/>
    <w:uiPriority w:val="0"/>
    <w:rPr>
      <w:rFonts w:hint="default" w:ascii="Times New Roman" w:hAnsi="Times New Roman" w:cs="Times New Roman"/>
      <w:color w:val="999999"/>
    </w:rPr>
  </w:style>
  <w:style w:type="character" w:customStyle="1" w:styleId="81">
    <w:name w:val="Intense Quote Char1"/>
    <w:basedOn w:val="51"/>
    <w:qFormat/>
    <w:uiPriority w:val="0"/>
    <w:rPr>
      <w:rFonts w:hint="default" w:ascii="Times New Roman" w:hAnsi="Times New Roman" w:cs="Times New Roman"/>
      <w:b/>
      <w:i/>
      <w:color w:val="4F81BD"/>
    </w:rPr>
  </w:style>
  <w:style w:type="character" w:customStyle="1" w:styleId="82">
    <w:name w:val="引用 Char"/>
    <w:basedOn w:val="51"/>
    <w:link w:val="83"/>
    <w:qFormat/>
    <w:uiPriority w:val="0"/>
    <w:rPr>
      <w:rFonts w:hint="default" w:ascii="Times New Roman" w:hAnsi="Times New Roman" w:eastAsia="宋体" w:cs="Times New Roman"/>
      <w:i/>
      <w:color w:val="000000"/>
      <w:sz w:val="24"/>
      <w:szCs w:val="24"/>
    </w:rPr>
  </w:style>
  <w:style w:type="paragraph" w:styleId="83">
    <w:name w:val="Quote"/>
    <w:basedOn w:val="1"/>
    <w:next w:val="1"/>
    <w:link w:val="82"/>
    <w:qFormat/>
    <w:uiPriority w:val="0"/>
    <w:rPr>
      <w:rFonts w:ascii="Times New Roman" w:hAnsi="Times New Roman" w:eastAsia="宋体" w:cs="Times New Roman"/>
      <w:i/>
      <w:color w:val="000000"/>
      <w:kern w:val="0"/>
      <w:sz w:val="24"/>
    </w:rPr>
  </w:style>
  <w:style w:type="character" w:customStyle="1" w:styleId="84">
    <w:name w:val="15"/>
    <w:basedOn w:val="51"/>
    <w:qFormat/>
    <w:uiPriority w:val="0"/>
    <w:rPr>
      <w:rFonts w:hint="eastAsia" w:ascii="方正仿宋简体" w:hAnsi="方正仿宋简体" w:eastAsia="方正仿宋简体" w:cs="方正仿宋简体"/>
      <w:color w:val="000000"/>
      <w:sz w:val="24"/>
    </w:rPr>
  </w:style>
  <w:style w:type="character" w:customStyle="1" w:styleId="85">
    <w:name w:val="批注文字 Char Char"/>
    <w:basedOn w:val="51"/>
    <w:qFormat/>
    <w:uiPriority w:val="0"/>
    <w:rPr>
      <w:rFonts w:hint="eastAsia" w:ascii="宋体" w:hAnsi="Times New Roman" w:eastAsia="宋体" w:cs="宋体"/>
      <w:sz w:val="20"/>
    </w:rPr>
  </w:style>
  <w:style w:type="character" w:customStyle="1" w:styleId="86">
    <w:name w:val="引用 字符1"/>
    <w:basedOn w:val="51"/>
    <w:qFormat/>
    <w:uiPriority w:val="0"/>
    <w:rPr>
      <w:rFonts w:hint="default" w:ascii="Times New Roman" w:hAnsi="Times New Roman" w:eastAsia="宋体" w:cs="Times New Roman"/>
      <w:i/>
      <w:color w:val="404040"/>
      <w:sz w:val="24"/>
    </w:rPr>
  </w:style>
  <w:style w:type="character" w:customStyle="1" w:styleId="87">
    <w:name w:val="正文文本缩进 Char2"/>
    <w:basedOn w:val="51"/>
    <w:qFormat/>
    <w:uiPriority w:val="0"/>
    <w:rPr>
      <w:szCs w:val="24"/>
    </w:rPr>
  </w:style>
  <w:style w:type="character" w:customStyle="1" w:styleId="88">
    <w:name w:val="正文文本缩进 3 Char2"/>
    <w:basedOn w:val="51"/>
    <w:qFormat/>
    <w:uiPriority w:val="0"/>
    <w:rPr>
      <w:rFonts w:hint="default" w:ascii="Calibri" w:hAnsi="Calibri" w:eastAsia="宋体" w:cs="Times New Roman"/>
      <w:kern w:val="2"/>
      <w:sz w:val="16"/>
      <w:szCs w:val="24"/>
    </w:rPr>
  </w:style>
  <w:style w:type="character" w:customStyle="1" w:styleId="89">
    <w:name w:val="style41"/>
    <w:basedOn w:val="51"/>
    <w:qFormat/>
    <w:uiPriority w:val="0"/>
    <w:rPr>
      <w:sz w:val="24"/>
    </w:rPr>
  </w:style>
  <w:style w:type="character" w:customStyle="1" w:styleId="90">
    <w:name w:val="标题 2 Char"/>
    <w:basedOn w:val="51"/>
    <w:link w:val="4"/>
    <w:qFormat/>
    <w:uiPriority w:val="0"/>
    <w:rPr>
      <w:rFonts w:hint="default" w:ascii="Arial" w:hAnsi="Arial" w:eastAsia="黑体" w:cs="Arial"/>
      <w:b/>
      <w:kern w:val="2"/>
      <w:sz w:val="32"/>
      <w:szCs w:val="32"/>
    </w:rPr>
  </w:style>
  <w:style w:type="character" w:customStyle="1" w:styleId="91">
    <w:name w:val="HTML 预设格式 Char"/>
    <w:basedOn w:val="51"/>
    <w:link w:val="43"/>
    <w:qFormat/>
    <w:uiPriority w:val="0"/>
    <w:rPr>
      <w:rFonts w:hint="default" w:ascii="Courier New" w:hAnsi="Courier New" w:eastAsia="宋体" w:cs="Courier New"/>
      <w:kern w:val="2"/>
    </w:rPr>
  </w:style>
  <w:style w:type="character" w:customStyle="1" w:styleId="92">
    <w:name w:val="标题 Char1"/>
    <w:basedOn w:val="51"/>
    <w:qFormat/>
    <w:uiPriority w:val="10"/>
    <w:rPr>
      <w:rFonts w:hint="default" w:ascii="Cambria" w:hAnsi="Cambria" w:eastAsia="宋体" w:cs="Cambria"/>
      <w:b/>
      <w:sz w:val="32"/>
    </w:rPr>
  </w:style>
  <w:style w:type="character" w:customStyle="1" w:styleId="93">
    <w:name w:val="普通(网站) Char"/>
    <w:basedOn w:val="51"/>
    <w:link w:val="44"/>
    <w:qFormat/>
    <w:uiPriority w:val="0"/>
    <w:rPr>
      <w:rFonts w:hint="eastAsia" w:ascii="宋体" w:hAnsi="宋体" w:eastAsia="宋体" w:cs="宋体"/>
      <w:sz w:val="24"/>
    </w:rPr>
  </w:style>
  <w:style w:type="character" w:customStyle="1" w:styleId="94">
    <w:name w:val="批注框文本 字符1"/>
    <w:basedOn w:val="51"/>
    <w:qFormat/>
    <w:uiPriority w:val="0"/>
    <w:rPr>
      <w:rFonts w:hint="default" w:ascii="Times New Roman" w:hAnsi="Times New Roman" w:eastAsia="宋体" w:cs="Times New Roman"/>
      <w:sz w:val="18"/>
    </w:rPr>
  </w:style>
  <w:style w:type="character" w:customStyle="1" w:styleId="95">
    <w:name w:val="正文文本缩进 字符1"/>
    <w:basedOn w:val="51"/>
    <w:qFormat/>
    <w:uiPriority w:val="0"/>
    <w:rPr>
      <w:rFonts w:hint="default" w:ascii="Times New Roman" w:hAnsi="Times New Roman" w:eastAsia="宋体" w:cs="Times New Roman"/>
      <w:sz w:val="24"/>
    </w:rPr>
  </w:style>
  <w:style w:type="character" w:customStyle="1" w:styleId="96">
    <w:name w:val="正文文本缩进 3 Char1"/>
    <w:basedOn w:val="51"/>
    <w:qFormat/>
    <w:uiPriority w:val="0"/>
    <w:rPr>
      <w:rFonts w:hint="default" w:ascii="Calibri" w:hAnsi="Calibri" w:eastAsia="宋体" w:cs="Calibri"/>
      <w:sz w:val="16"/>
    </w:rPr>
  </w:style>
  <w:style w:type="character" w:customStyle="1" w:styleId="97">
    <w:name w:val="ui-icon9"/>
    <w:basedOn w:val="51"/>
    <w:qFormat/>
    <w:uiPriority w:val="0"/>
    <w:rPr>
      <w:rFonts w:hint="default" w:ascii="Times New Roman" w:hAnsi="Times New Roman" w:cs="Times New Roman"/>
    </w:rPr>
  </w:style>
  <w:style w:type="paragraph" w:customStyle="1" w:styleId="98">
    <w:name w:val="样式 标题 2 + Times New Roman 四号 非加粗 段前: 5 磅 段后: 0 磅 行距: 固定值 20..."/>
    <w:basedOn w:val="4"/>
    <w:link w:val="216"/>
    <w:qFormat/>
    <w:uiPriority w:val="0"/>
    <w:pPr>
      <w:spacing w:before="100" w:after="0" w:line="400" w:lineRule="exact"/>
    </w:pPr>
    <w:rPr>
      <w:rFonts w:hint="eastAsia" w:ascii="黑体" w:hAnsi="宋体"/>
      <w:kern w:val="0"/>
      <w:sz w:val="28"/>
      <w:szCs w:val="20"/>
    </w:rPr>
  </w:style>
  <w:style w:type="character" w:customStyle="1" w:styleId="99">
    <w:name w:val="副标题 Char"/>
    <w:basedOn w:val="51"/>
    <w:qFormat/>
    <w:uiPriority w:val="0"/>
    <w:rPr>
      <w:rFonts w:hint="default" w:ascii="Calibri Light" w:hAnsi="Calibri Light" w:eastAsia="Calibri Light" w:cs="Times New Roman"/>
      <w:b/>
      <w:kern w:val="28"/>
      <w:sz w:val="32"/>
      <w:szCs w:val="32"/>
    </w:rPr>
  </w:style>
  <w:style w:type="character" w:customStyle="1" w:styleId="100">
    <w:name w:val="Char Char"/>
    <w:basedOn w:val="51"/>
    <w:qFormat/>
    <w:uiPriority w:val="0"/>
    <w:rPr>
      <w:rFonts w:hint="default" w:ascii="Times New Roman" w:hAnsi="Times New Roman" w:cs="Times New Roman"/>
      <w:kern w:val="2"/>
      <w:sz w:val="24"/>
    </w:rPr>
  </w:style>
  <w:style w:type="character" w:customStyle="1" w:styleId="101">
    <w:name w:val="正文文本 字符1"/>
    <w:basedOn w:val="51"/>
    <w:qFormat/>
    <w:uiPriority w:val="0"/>
    <w:rPr>
      <w:rFonts w:hint="default" w:ascii="Times New Roman" w:hAnsi="Times New Roman" w:eastAsia="宋体" w:cs="Times New Roman"/>
      <w:sz w:val="24"/>
    </w:rPr>
  </w:style>
  <w:style w:type="character" w:customStyle="1" w:styleId="102">
    <w:name w:val="No Spacing Char"/>
    <w:basedOn w:val="51"/>
    <w:qFormat/>
    <w:uiPriority w:val="0"/>
    <w:rPr>
      <w:rFonts w:hint="default" w:ascii="Times New Roman" w:hAnsi="Times New Roman" w:cs="Times New Roman"/>
      <w:kern w:val="2"/>
      <w:sz w:val="21"/>
      <w:szCs w:val="22"/>
    </w:rPr>
  </w:style>
  <w:style w:type="character" w:customStyle="1" w:styleId="103">
    <w:name w:val="Heading 2 Char"/>
    <w:basedOn w:val="51"/>
    <w:qFormat/>
    <w:uiPriority w:val="0"/>
    <w:rPr>
      <w:rFonts w:hint="default" w:ascii="Cambria" w:hAnsi="Cambria" w:eastAsia="宋体" w:cs="Cambria"/>
      <w:b/>
      <w:kern w:val="2"/>
      <w:sz w:val="32"/>
      <w:lang w:val="en-US" w:eastAsia="zh-CN"/>
    </w:rPr>
  </w:style>
  <w:style w:type="character" w:customStyle="1" w:styleId="104">
    <w:name w:val="标题 1 Char"/>
    <w:basedOn w:val="51"/>
    <w:link w:val="3"/>
    <w:qFormat/>
    <w:uiPriority w:val="0"/>
    <w:rPr>
      <w:rFonts w:hint="eastAsia" w:ascii="宋体" w:hAnsi="宋体" w:eastAsia="宋体" w:cs="宋体"/>
      <w:b/>
      <w:kern w:val="2"/>
      <w:sz w:val="30"/>
      <w:szCs w:val="24"/>
    </w:rPr>
  </w:style>
  <w:style w:type="character" w:customStyle="1" w:styleId="105">
    <w:name w:val="标题 4 Char"/>
    <w:basedOn w:val="51"/>
    <w:link w:val="6"/>
    <w:qFormat/>
    <w:uiPriority w:val="0"/>
    <w:rPr>
      <w:rFonts w:hint="default" w:ascii="Arial" w:hAnsi="Arial" w:eastAsia="黑体" w:cs="Times New Roman"/>
      <w:b/>
      <w:kern w:val="2"/>
      <w:sz w:val="28"/>
      <w:szCs w:val="24"/>
    </w:rPr>
  </w:style>
  <w:style w:type="character" w:customStyle="1" w:styleId="106">
    <w:name w:val="标题 5 Char"/>
    <w:basedOn w:val="51"/>
    <w:link w:val="7"/>
    <w:qFormat/>
    <w:uiPriority w:val="0"/>
    <w:rPr>
      <w:rFonts w:hint="default" w:ascii="Calibri" w:hAnsi="Calibri" w:eastAsia="宋体" w:cs="Times New Roman"/>
      <w:b/>
      <w:kern w:val="2"/>
      <w:sz w:val="28"/>
      <w:szCs w:val="24"/>
    </w:rPr>
  </w:style>
  <w:style w:type="character" w:customStyle="1" w:styleId="107">
    <w:name w:val="标题 6 Char"/>
    <w:basedOn w:val="51"/>
    <w:link w:val="8"/>
    <w:qFormat/>
    <w:uiPriority w:val="0"/>
    <w:rPr>
      <w:rFonts w:hint="default" w:ascii="Arial" w:hAnsi="Arial" w:eastAsia="黑体" w:cs="Times New Roman"/>
      <w:b/>
      <w:kern w:val="2"/>
      <w:sz w:val="24"/>
      <w:szCs w:val="24"/>
    </w:rPr>
  </w:style>
  <w:style w:type="character" w:customStyle="1" w:styleId="108">
    <w:name w:val="标题 7 Char"/>
    <w:basedOn w:val="51"/>
    <w:link w:val="9"/>
    <w:qFormat/>
    <w:uiPriority w:val="0"/>
    <w:rPr>
      <w:rFonts w:hint="default" w:ascii="Calibri" w:hAnsi="Calibri" w:eastAsia="宋体" w:cs="Times New Roman"/>
      <w:b/>
      <w:kern w:val="2"/>
      <w:sz w:val="24"/>
      <w:szCs w:val="24"/>
    </w:rPr>
  </w:style>
  <w:style w:type="character" w:customStyle="1" w:styleId="109">
    <w:name w:val="标题 9 Char"/>
    <w:basedOn w:val="51"/>
    <w:link w:val="11"/>
    <w:qFormat/>
    <w:uiPriority w:val="0"/>
    <w:rPr>
      <w:rFonts w:hint="default" w:ascii="Arial" w:hAnsi="Arial" w:eastAsia="黑体" w:cs="Times New Roman"/>
      <w:kern w:val="2"/>
      <w:sz w:val="21"/>
      <w:szCs w:val="24"/>
    </w:rPr>
  </w:style>
  <w:style w:type="character" w:customStyle="1" w:styleId="110">
    <w:name w:val="批注文字 Char"/>
    <w:basedOn w:val="51"/>
    <w:link w:val="18"/>
    <w:qFormat/>
    <w:uiPriority w:val="0"/>
    <w:rPr>
      <w:rFonts w:hint="default" w:ascii="Calibri" w:hAnsi="Calibri" w:eastAsia="宋体" w:cs="Times New Roman"/>
      <w:kern w:val="2"/>
      <w:sz w:val="21"/>
      <w:szCs w:val="24"/>
    </w:rPr>
  </w:style>
  <w:style w:type="character" w:customStyle="1" w:styleId="111">
    <w:name w:val="批注文字 字符1"/>
    <w:basedOn w:val="51"/>
    <w:qFormat/>
    <w:uiPriority w:val="0"/>
    <w:rPr>
      <w:rFonts w:hint="eastAsia" w:ascii="宋体" w:hAnsi="宋体" w:eastAsia="宋体" w:cs="宋体"/>
      <w:kern w:val="2"/>
      <w:sz w:val="24"/>
      <w:lang w:val="en-US" w:eastAsia="zh-CN"/>
    </w:rPr>
  </w:style>
  <w:style w:type="character" w:customStyle="1" w:styleId="112">
    <w:name w:val="批注主题 Char"/>
    <w:basedOn w:val="110"/>
    <w:qFormat/>
    <w:uiPriority w:val="0"/>
    <w:rPr>
      <w:rFonts w:hint="default" w:ascii="Calibri" w:hAnsi="Calibri" w:eastAsia="宋体" w:cs="Times New Roman"/>
      <w:b/>
      <w:kern w:val="2"/>
      <w:sz w:val="21"/>
      <w:szCs w:val="24"/>
    </w:rPr>
  </w:style>
  <w:style w:type="character" w:customStyle="1" w:styleId="113">
    <w:name w:val="textcontents"/>
    <w:basedOn w:val="51"/>
    <w:qFormat/>
    <w:uiPriority w:val="0"/>
    <w:rPr>
      <w:rFonts w:hint="default" w:ascii="Times New Roman" w:hAnsi="Times New Roman" w:cs="Times New Roman"/>
    </w:rPr>
  </w:style>
  <w:style w:type="character" w:customStyle="1" w:styleId="114">
    <w:name w:val="正文文本 Char"/>
    <w:basedOn w:val="51"/>
    <w:link w:val="21"/>
    <w:qFormat/>
    <w:uiPriority w:val="0"/>
    <w:rPr>
      <w:rFonts w:hint="default" w:ascii="Calibri" w:hAnsi="Calibri" w:eastAsia="宋体" w:cs="Times New Roman"/>
      <w:kern w:val="2"/>
      <w:sz w:val="21"/>
      <w:szCs w:val="24"/>
    </w:rPr>
  </w:style>
  <w:style w:type="character" w:customStyle="1" w:styleId="115">
    <w:name w:val="正文首行缩进 Char"/>
    <w:basedOn w:val="114"/>
    <w:qFormat/>
    <w:uiPriority w:val="0"/>
    <w:rPr>
      <w:rFonts w:hint="default" w:ascii="Calibri" w:hAnsi="Calibri" w:eastAsia="宋体" w:cs="Times New Roman"/>
      <w:kern w:val="2"/>
      <w:sz w:val="21"/>
      <w:szCs w:val="24"/>
    </w:rPr>
  </w:style>
  <w:style w:type="character" w:customStyle="1" w:styleId="116">
    <w:name w:val="文档结构图 Char"/>
    <w:basedOn w:val="51"/>
    <w:link w:val="16"/>
    <w:qFormat/>
    <w:uiPriority w:val="0"/>
    <w:rPr>
      <w:rFonts w:hint="default" w:ascii="Calibri" w:hAnsi="Calibri" w:eastAsia="宋体" w:cs="Times New Roman"/>
      <w:kern w:val="2"/>
      <w:sz w:val="21"/>
      <w:szCs w:val="24"/>
      <w:shd w:val="clear" w:color="auto" w:fill="000080"/>
    </w:rPr>
  </w:style>
  <w:style w:type="character" w:customStyle="1" w:styleId="117">
    <w:name w:val="称呼 Char"/>
    <w:basedOn w:val="51"/>
    <w:link w:val="19"/>
    <w:qFormat/>
    <w:uiPriority w:val="0"/>
    <w:rPr>
      <w:rFonts w:hint="default" w:ascii="Calibri" w:hAnsi="Calibri" w:eastAsia="宋体" w:cs="Times New Roman"/>
      <w:kern w:val="2"/>
      <w:sz w:val="21"/>
      <w:szCs w:val="24"/>
    </w:rPr>
  </w:style>
  <w:style w:type="character" w:customStyle="1" w:styleId="118">
    <w:name w:val="正文文本缩进 Char"/>
    <w:basedOn w:val="51"/>
    <w:link w:val="23"/>
    <w:qFormat/>
    <w:uiPriority w:val="0"/>
    <w:rPr>
      <w:rFonts w:hint="default" w:ascii="Calibri" w:hAnsi="Calibri" w:eastAsia="宋体" w:cs="Times New Roman"/>
      <w:kern w:val="2"/>
      <w:sz w:val="21"/>
      <w:szCs w:val="24"/>
    </w:rPr>
  </w:style>
  <w:style w:type="character" w:customStyle="1" w:styleId="119">
    <w:name w:val="日期 Char"/>
    <w:basedOn w:val="51"/>
    <w:qFormat/>
    <w:uiPriority w:val="0"/>
    <w:rPr>
      <w:rFonts w:hint="default" w:ascii="Calibri" w:hAnsi="Calibri" w:eastAsia="宋体" w:cs="Times New Roman"/>
      <w:kern w:val="2"/>
      <w:sz w:val="21"/>
      <w:szCs w:val="24"/>
    </w:rPr>
  </w:style>
  <w:style w:type="character" w:customStyle="1" w:styleId="120">
    <w:name w:val="副标题 Char2"/>
    <w:basedOn w:val="51"/>
    <w:qFormat/>
    <w:uiPriority w:val="0"/>
    <w:rPr>
      <w:rFonts w:hint="default" w:ascii="Calibri Light" w:hAnsi="Calibri Light" w:eastAsia="Calibri Light" w:cs="Calibri Light"/>
      <w:b/>
      <w:kern w:val="28"/>
      <w:sz w:val="32"/>
    </w:rPr>
  </w:style>
  <w:style w:type="character" w:customStyle="1" w:styleId="121">
    <w:name w:val="Book Title1"/>
    <w:basedOn w:val="51"/>
    <w:qFormat/>
    <w:uiPriority w:val="0"/>
    <w:rPr>
      <w:b/>
      <w:smallCaps/>
      <w:spacing w:val="5"/>
    </w:rPr>
  </w:style>
  <w:style w:type="character" w:customStyle="1" w:styleId="122">
    <w:name w:val="正文文本缩进 2 Char"/>
    <w:basedOn w:val="51"/>
    <w:qFormat/>
    <w:uiPriority w:val="0"/>
    <w:rPr>
      <w:rFonts w:hint="default" w:ascii="Calibri" w:hAnsi="Calibri" w:eastAsia="宋体" w:cs="Times New Roman"/>
      <w:kern w:val="2"/>
      <w:sz w:val="21"/>
      <w:szCs w:val="24"/>
    </w:rPr>
  </w:style>
  <w:style w:type="character" w:customStyle="1" w:styleId="123">
    <w:name w:val="ca-21"/>
    <w:basedOn w:val="51"/>
    <w:qFormat/>
    <w:uiPriority w:val="0"/>
    <w:rPr>
      <w:rFonts w:hint="eastAsia" w:ascii="宋体" w:hAnsi="宋体" w:eastAsia="宋体" w:cs="宋体"/>
      <w:sz w:val="28"/>
    </w:rPr>
  </w:style>
  <w:style w:type="character" w:customStyle="1" w:styleId="124">
    <w:name w:val="批注框文本 Char"/>
    <w:basedOn w:val="51"/>
    <w:qFormat/>
    <w:uiPriority w:val="0"/>
    <w:rPr>
      <w:rFonts w:hint="default" w:ascii="Calibri" w:hAnsi="Calibri" w:eastAsia="宋体" w:cs="Times New Roman"/>
      <w:kern w:val="2"/>
      <w:sz w:val="18"/>
      <w:szCs w:val="18"/>
    </w:rPr>
  </w:style>
  <w:style w:type="character" w:customStyle="1" w:styleId="125">
    <w:name w:val="明显参考1"/>
    <w:basedOn w:val="51"/>
    <w:qFormat/>
    <w:uiPriority w:val="0"/>
    <w:rPr>
      <w:b/>
      <w:smallCaps/>
      <w:color w:val="C0504D"/>
      <w:spacing w:val="5"/>
      <w:u w:val="single"/>
    </w:rPr>
  </w:style>
  <w:style w:type="character" w:customStyle="1" w:styleId="126">
    <w:name w:val="页脚 Char"/>
    <w:basedOn w:val="51"/>
    <w:link w:val="33"/>
    <w:qFormat/>
    <w:uiPriority w:val="99"/>
    <w:rPr>
      <w:rFonts w:hint="default" w:ascii="Calibri" w:hAnsi="Calibri" w:eastAsia="宋体" w:cs="Times New Roman"/>
      <w:kern w:val="2"/>
      <w:sz w:val="18"/>
      <w:szCs w:val="24"/>
    </w:rPr>
  </w:style>
  <w:style w:type="character" w:customStyle="1" w:styleId="127">
    <w:name w:val="页眉 Char"/>
    <w:basedOn w:val="51"/>
    <w:link w:val="34"/>
    <w:qFormat/>
    <w:uiPriority w:val="99"/>
    <w:rPr>
      <w:rFonts w:hint="default" w:ascii="Calibri" w:hAnsi="Calibri" w:eastAsia="宋体" w:cs="Times New Roman"/>
      <w:kern w:val="2"/>
      <w:sz w:val="18"/>
      <w:szCs w:val="24"/>
    </w:rPr>
  </w:style>
  <w:style w:type="character" w:customStyle="1" w:styleId="128">
    <w:name w:val="标题 8 Char1"/>
    <w:basedOn w:val="51"/>
    <w:qFormat/>
    <w:uiPriority w:val="0"/>
    <w:rPr>
      <w:rFonts w:hint="default" w:ascii="Arial" w:hAnsi="Arial" w:eastAsia="黑体" w:cs="Arial"/>
      <w:kern w:val="0"/>
      <w:sz w:val="24"/>
    </w:rPr>
  </w:style>
  <w:style w:type="character" w:customStyle="1" w:styleId="129">
    <w:name w:val="正文文本缩进 3 Char"/>
    <w:basedOn w:val="51"/>
    <w:link w:val="38"/>
    <w:qFormat/>
    <w:uiPriority w:val="0"/>
    <w:rPr>
      <w:rFonts w:hint="default" w:ascii="Calibri" w:hAnsi="Calibri" w:eastAsia="宋体" w:cs="Times New Roman"/>
      <w:kern w:val="2"/>
      <w:sz w:val="16"/>
      <w:szCs w:val="16"/>
    </w:rPr>
  </w:style>
  <w:style w:type="character" w:customStyle="1" w:styleId="130">
    <w:name w:val="正文文本 2 Char"/>
    <w:basedOn w:val="51"/>
    <w:qFormat/>
    <w:uiPriority w:val="0"/>
    <w:rPr>
      <w:rFonts w:hint="default" w:ascii="Calibri" w:hAnsi="Calibri" w:eastAsia="宋体" w:cs="Times New Roman"/>
      <w:kern w:val="2"/>
      <w:sz w:val="21"/>
      <w:szCs w:val="24"/>
    </w:rPr>
  </w:style>
  <w:style w:type="character" w:customStyle="1" w:styleId="131">
    <w:name w:val="标题 Char"/>
    <w:basedOn w:val="51"/>
    <w:qFormat/>
    <w:uiPriority w:val="0"/>
    <w:rPr>
      <w:rFonts w:hint="default" w:ascii="Calibri Light" w:hAnsi="Calibri Light" w:eastAsia="Calibri Light" w:cs="Times New Roman"/>
      <w:b/>
      <w:kern w:val="2"/>
      <w:sz w:val="32"/>
      <w:szCs w:val="32"/>
    </w:rPr>
  </w:style>
  <w:style w:type="character" w:customStyle="1" w:styleId="132">
    <w:name w:val="副标题 Char1"/>
    <w:basedOn w:val="51"/>
    <w:qFormat/>
    <w:uiPriority w:val="11"/>
    <w:rPr>
      <w:rFonts w:hint="default" w:ascii="Cambria" w:hAnsi="Cambria" w:eastAsia="Cambria" w:cs="Cambria"/>
      <w:b/>
      <w:kern w:val="28"/>
      <w:sz w:val="32"/>
    </w:rPr>
  </w:style>
  <w:style w:type="character" w:customStyle="1" w:styleId="133">
    <w:name w:val="Comment Text Char"/>
    <w:basedOn w:val="51"/>
    <w:qFormat/>
    <w:uiPriority w:val="0"/>
    <w:rPr>
      <w:rFonts w:hint="eastAsia" w:ascii="宋体" w:hAnsi="宋体" w:eastAsia="宋体" w:cs="宋体"/>
      <w:sz w:val="24"/>
    </w:rPr>
  </w:style>
  <w:style w:type="character" w:customStyle="1" w:styleId="134">
    <w:name w:val="标题 6 Char1"/>
    <w:basedOn w:val="51"/>
    <w:qFormat/>
    <w:uiPriority w:val="0"/>
    <w:rPr>
      <w:rFonts w:hint="default" w:ascii="Arial" w:hAnsi="Arial" w:eastAsia="黑体" w:cs="Arial"/>
      <w:b/>
      <w:kern w:val="0"/>
      <w:sz w:val="24"/>
    </w:rPr>
  </w:style>
  <w:style w:type="character" w:customStyle="1" w:styleId="135">
    <w:name w:val="正文缩进 Char"/>
    <w:basedOn w:val="51"/>
    <w:link w:val="14"/>
    <w:qFormat/>
    <w:uiPriority w:val="0"/>
    <w:rPr>
      <w:rFonts w:hint="default" w:ascii="Calibri" w:hAnsi="Calibri" w:eastAsia="宋体" w:cs="Times New Roman"/>
      <w:kern w:val="2"/>
      <w:sz w:val="21"/>
      <w:szCs w:val="24"/>
    </w:rPr>
  </w:style>
  <w:style w:type="character" w:customStyle="1" w:styleId="136">
    <w:name w:val="副标题 字符1"/>
    <w:basedOn w:val="51"/>
    <w:qFormat/>
    <w:uiPriority w:val="0"/>
    <w:rPr>
      <w:b/>
      <w:kern w:val="28"/>
      <w:sz w:val="32"/>
    </w:rPr>
  </w:style>
  <w:style w:type="character" w:customStyle="1" w:styleId="137">
    <w:name w:val="引用 Char1"/>
    <w:basedOn w:val="51"/>
    <w:qFormat/>
    <w:uiPriority w:val="29"/>
    <w:rPr>
      <w:i/>
      <w:color w:val="000000"/>
      <w:kern w:val="2"/>
      <w:sz w:val="21"/>
    </w:rPr>
  </w:style>
  <w:style w:type="character" w:customStyle="1" w:styleId="138">
    <w:name w:val="批注主题 Char1"/>
    <w:basedOn w:val="51"/>
    <w:qFormat/>
    <w:uiPriority w:val="0"/>
    <w:rPr>
      <w:rFonts w:hint="default" w:ascii="Calibri" w:hAnsi="Calibri" w:eastAsia="宋体" w:cs="Calibri"/>
      <w:b/>
    </w:rPr>
  </w:style>
  <w:style w:type="character" w:customStyle="1" w:styleId="139">
    <w:name w:val="Body Text First Indent Char"/>
    <w:basedOn w:val="51"/>
    <w:qFormat/>
    <w:uiPriority w:val="0"/>
    <w:rPr>
      <w:rFonts w:hint="eastAsia" w:ascii="方正小标宋_GBK" w:hAnsi="方正小标宋_GBK" w:eastAsia="方正小标宋_GBK" w:cs="方正小标宋_GBK"/>
      <w:b/>
      <w:sz w:val="32"/>
    </w:rPr>
  </w:style>
  <w:style w:type="character" w:customStyle="1" w:styleId="140">
    <w:name w:val="Char Char24"/>
    <w:basedOn w:val="51"/>
    <w:qFormat/>
    <w:uiPriority w:val="0"/>
    <w:rPr>
      <w:rFonts w:hint="eastAsia" w:ascii="宋体" w:hAnsi="宋体" w:eastAsia="宋体" w:cs="宋体"/>
      <w:sz w:val="24"/>
    </w:rPr>
  </w:style>
  <w:style w:type="character" w:customStyle="1" w:styleId="141">
    <w:name w:val="纯文本 字符1"/>
    <w:basedOn w:val="51"/>
    <w:qFormat/>
    <w:uiPriority w:val="0"/>
    <w:rPr>
      <w:rFonts w:hint="eastAsia" w:ascii="宋体" w:hAnsi="Courier New" w:eastAsia="宋体" w:cs="宋体"/>
      <w:sz w:val="24"/>
    </w:rPr>
  </w:style>
  <w:style w:type="character" w:customStyle="1" w:styleId="142">
    <w:name w:val="Heading 4 Char"/>
    <w:basedOn w:val="51"/>
    <w:qFormat/>
    <w:uiPriority w:val="0"/>
    <w:rPr>
      <w:rFonts w:hint="default" w:ascii="Cambria" w:hAnsi="Cambria" w:eastAsia="宋体" w:cs="Cambria"/>
      <w:b/>
      <w:kern w:val="2"/>
      <w:sz w:val="28"/>
      <w:lang w:val="en-US" w:eastAsia="zh-CN"/>
    </w:rPr>
  </w:style>
  <w:style w:type="character" w:customStyle="1" w:styleId="143">
    <w:name w:val="正文文本 Char1"/>
    <w:basedOn w:val="51"/>
    <w:qFormat/>
    <w:uiPriority w:val="0"/>
    <w:rPr>
      <w:rFonts w:hint="default" w:ascii="Times New Roman" w:hAnsi="Times New Roman" w:eastAsia="宋体" w:cs="Times New Roman"/>
      <w:sz w:val="20"/>
    </w:rPr>
  </w:style>
  <w:style w:type="character" w:customStyle="1" w:styleId="144">
    <w:name w:val="Char Char8"/>
    <w:basedOn w:val="51"/>
    <w:qFormat/>
    <w:uiPriority w:val="0"/>
    <w:rPr>
      <w:rFonts w:hint="eastAsia" w:ascii="黑体" w:hAnsi="宋体" w:eastAsia="黑体" w:cs="黑体"/>
      <w:b/>
      <w:kern w:val="2"/>
      <w:sz w:val="24"/>
      <w:lang w:val="en-US" w:eastAsia="zh-CN"/>
    </w:rPr>
  </w:style>
  <w:style w:type="character" w:customStyle="1" w:styleId="145">
    <w:name w:val="正文文本缩进 3 字符1"/>
    <w:basedOn w:val="51"/>
    <w:qFormat/>
    <w:uiPriority w:val="0"/>
    <w:rPr>
      <w:rFonts w:hint="default" w:ascii="Times New Roman" w:hAnsi="Times New Roman" w:eastAsia="宋体" w:cs="Times New Roman"/>
      <w:sz w:val="16"/>
    </w:rPr>
  </w:style>
  <w:style w:type="character" w:customStyle="1" w:styleId="146">
    <w:name w:val="正文文本缩进 2 字符1"/>
    <w:basedOn w:val="51"/>
    <w:qFormat/>
    <w:uiPriority w:val="0"/>
    <w:rPr>
      <w:rFonts w:hint="default" w:ascii="Times New Roman" w:hAnsi="Times New Roman" w:eastAsia="宋体" w:cs="Times New Roman"/>
      <w:sz w:val="24"/>
    </w:rPr>
  </w:style>
  <w:style w:type="character" w:customStyle="1" w:styleId="147">
    <w:name w:val="Char Char7"/>
    <w:basedOn w:val="51"/>
    <w:qFormat/>
    <w:uiPriority w:val="0"/>
    <w:rPr>
      <w:rFonts w:hint="eastAsia" w:ascii="宋体" w:hAnsi="宋体" w:eastAsia="宋体" w:cs="宋体"/>
      <w:kern w:val="2"/>
      <w:sz w:val="21"/>
      <w:lang w:val="en-US" w:eastAsia="zh-CN"/>
    </w:rPr>
  </w:style>
  <w:style w:type="character" w:customStyle="1" w:styleId="148">
    <w:name w:val="正文文本 Char2"/>
    <w:basedOn w:val="51"/>
    <w:qFormat/>
    <w:uiPriority w:val="99"/>
    <w:rPr>
      <w:kern w:val="2"/>
      <w:sz w:val="21"/>
    </w:rPr>
  </w:style>
  <w:style w:type="character" w:customStyle="1" w:styleId="149">
    <w:name w:val="正文文本 3 Char2"/>
    <w:basedOn w:val="51"/>
    <w:qFormat/>
    <w:uiPriority w:val="0"/>
    <w:rPr>
      <w:rFonts w:hint="default" w:ascii="Times New Roman" w:hAnsi="Times New Roman" w:cs="Times New Roman"/>
      <w:sz w:val="16"/>
      <w:szCs w:val="16"/>
    </w:rPr>
  </w:style>
  <w:style w:type="character" w:customStyle="1" w:styleId="150">
    <w:name w:val="Blockquote Char"/>
    <w:basedOn w:val="51"/>
    <w:qFormat/>
    <w:uiPriority w:val="0"/>
    <w:rPr>
      <w:sz w:val="24"/>
    </w:rPr>
  </w:style>
  <w:style w:type="character" w:customStyle="1" w:styleId="151">
    <w:name w:val="页脚 Char1"/>
    <w:basedOn w:val="51"/>
    <w:qFormat/>
    <w:uiPriority w:val="99"/>
    <w:rPr>
      <w:kern w:val="2"/>
      <w:sz w:val="18"/>
    </w:rPr>
  </w:style>
  <w:style w:type="character" w:customStyle="1" w:styleId="152">
    <w:name w:val="页脚 字符1"/>
    <w:basedOn w:val="51"/>
    <w:qFormat/>
    <w:uiPriority w:val="0"/>
    <w:rPr>
      <w:rFonts w:hint="default" w:ascii="Times New Roman" w:hAnsi="Times New Roman" w:eastAsia="宋体" w:cs="Times New Roman"/>
      <w:sz w:val="18"/>
    </w:rPr>
  </w:style>
  <w:style w:type="character" w:customStyle="1" w:styleId="153">
    <w:name w:val="Date Char"/>
    <w:basedOn w:val="51"/>
    <w:qFormat/>
    <w:uiPriority w:val="0"/>
    <w:rPr>
      <w:sz w:val="24"/>
    </w:rPr>
  </w:style>
  <w:style w:type="character" w:customStyle="1" w:styleId="154">
    <w:name w:val="页眉 字符1"/>
    <w:basedOn w:val="51"/>
    <w:qFormat/>
    <w:uiPriority w:val="0"/>
    <w:rPr>
      <w:rFonts w:hint="default" w:ascii="Times New Roman" w:hAnsi="Times New Roman" w:eastAsia="宋体" w:cs="Times New Roman"/>
      <w:sz w:val="18"/>
    </w:rPr>
  </w:style>
  <w:style w:type="character" w:customStyle="1" w:styleId="155">
    <w:name w:val="正文文本 Char3"/>
    <w:basedOn w:val="51"/>
    <w:qFormat/>
    <w:uiPriority w:val="0"/>
    <w:rPr>
      <w:rFonts w:hint="eastAsia" w:ascii="宋体" w:hAnsi="宋体" w:eastAsia="宋体" w:cs="宋体"/>
      <w:sz w:val="32"/>
    </w:rPr>
  </w:style>
  <w:style w:type="character" w:customStyle="1" w:styleId="156">
    <w:name w:val="hover13"/>
    <w:basedOn w:val="51"/>
    <w:qFormat/>
    <w:uiPriority w:val="0"/>
    <w:rPr>
      <w:rFonts w:hint="default" w:ascii="Times New Roman" w:hAnsi="Times New Roman" w:cs="Times New Roman"/>
      <w:shd w:val="clear" w:color="auto" w:fill="EEEEEE"/>
    </w:rPr>
  </w:style>
  <w:style w:type="character" w:customStyle="1" w:styleId="157">
    <w:name w:val="批注文字 Char2"/>
    <w:basedOn w:val="51"/>
    <w:qFormat/>
    <w:uiPriority w:val="0"/>
    <w:rPr>
      <w:rFonts w:hint="default" w:ascii="Times New Roman" w:hAnsi="Times New Roman" w:eastAsia="宋体" w:cs="Times New Roman"/>
      <w:sz w:val="24"/>
    </w:rPr>
  </w:style>
  <w:style w:type="character" w:customStyle="1" w:styleId="158">
    <w:name w:val="Char Char2"/>
    <w:basedOn w:val="51"/>
    <w:qFormat/>
    <w:uiPriority w:val="0"/>
    <w:rPr>
      <w:rFonts w:hint="eastAsia" w:ascii="宋体" w:hAnsi="宋体" w:eastAsia="宋体" w:cs="宋体"/>
      <w:kern w:val="2"/>
      <w:sz w:val="24"/>
      <w:lang w:val="en-US" w:eastAsia="zh-CN"/>
    </w:rPr>
  </w:style>
  <w:style w:type="character" w:customStyle="1" w:styleId="159">
    <w:name w:val="first-child"/>
    <w:basedOn w:val="51"/>
    <w:qFormat/>
    <w:uiPriority w:val="0"/>
    <w:rPr>
      <w:rFonts w:hint="default" w:ascii="Times New Roman" w:hAnsi="Times New Roman" w:cs="Times New Roman"/>
    </w:rPr>
  </w:style>
  <w:style w:type="character" w:customStyle="1" w:styleId="160">
    <w:name w:val="明显引用 Char2"/>
    <w:basedOn w:val="51"/>
    <w:qFormat/>
    <w:uiPriority w:val="0"/>
    <w:rPr>
      <w:b/>
      <w:i/>
      <w:color w:val="4F81BD"/>
    </w:rPr>
  </w:style>
  <w:style w:type="character" w:customStyle="1" w:styleId="161">
    <w:name w:val="批注文字 Char1"/>
    <w:basedOn w:val="51"/>
    <w:qFormat/>
    <w:uiPriority w:val="0"/>
    <w:rPr>
      <w:rFonts w:hint="default" w:ascii="Times New Roman" w:hAnsi="Times New Roman" w:cs="Times New Roman"/>
    </w:rPr>
  </w:style>
  <w:style w:type="character" w:customStyle="1" w:styleId="162">
    <w:name w:val="Document Map Char"/>
    <w:basedOn w:val="51"/>
    <w:qFormat/>
    <w:uiPriority w:val="0"/>
    <w:rPr>
      <w:sz w:val="24"/>
      <w:shd w:val="clear" w:color="auto" w:fill="000080"/>
    </w:rPr>
  </w:style>
  <w:style w:type="character" w:customStyle="1" w:styleId="163">
    <w:name w:val="text_blue1"/>
    <w:basedOn w:val="51"/>
    <w:qFormat/>
    <w:uiPriority w:val="0"/>
    <w:rPr>
      <w:rFonts w:hint="default" w:ascii="Verdana" w:hAnsi="Verdana" w:cs="Verdana"/>
      <w:color w:val="000033"/>
      <w:sz w:val="18"/>
    </w:rPr>
  </w:style>
  <w:style w:type="character" w:customStyle="1" w:styleId="164">
    <w:name w:val="Char Char11"/>
    <w:basedOn w:val="51"/>
    <w:qFormat/>
    <w:uiPriority w:val="0"/>
    <w:rPr>
      <w:rFonts w:hint="eastAsia" w:ascii="宋体" w:hAnsi="宋体" w:eastAsia="宋体" w:cs="宋体"/>
      <w:kern w:val="2"/>
      <w:sz w:val="24"/>
      <w:lang w:val="en-US" w:eastAsia="zh-CN"/>
    </w:rPr>
  </w:style>
  <w:style w:type="character" w:customStyle="1" w:styleId="165">
    <w:name w:val="line1"/>
    <w:basedOn w:val="51"/>
    <w:qFormat/>
    <w:uiPriority w:val="0"/>
    <w:rPr>
      <w:sz w:val="18"/>
    </w:rPr>
  </w:style>
  <w:style w:type="character" w:customStyle="1" w:styleId="166">
    <w:name w:val="标题 4 Char1"/>
    <w:basedOn w:val="51"/>
    <w:qFormat/>
    <w:uiPriority w:val="0"/>
    <w:rPr>
      <w:rFonts w:hint="default" w:ascii="Arial" w:hAnsi="Arial" w:eastAsia="黑体" w:cs="Arial"/>
      <w:b/>
      <w:sz w:val="28"/>
    </w:rPr>
  </w:style>
  <w:style w:type="character" w:customStyle="1" w:styleId="167">
    <w:name w:val="明显引用 Char"/>
    <w:basedOn w:val="51"/>
    <w:link w:val="168"/>
    <w:qFormat/>
    <w:uiPriority w:val="0"/>
    <w:rPr>
      <w:rFonts w:hint="default" w:ascii="Times New Roman" w:hAnsi="Times New Roman" w:eastAsia="宋体" w:cs="Times New Roman"/>
      <w:b/>
      <w:i/>
      <w:color w:val="4F81BD"/>
      <w:sz w:val="24"/>
      <w:szCs w:val="24"/>
    </w:rPr>
  </w:style>
  <w:style w:type="paragraph" w:styleId="168">
    <w:name w:val="Intense Quote"/>
    <w:basedOn w:val="1"/>
    <w:next w:val="1"/>
    <w:link w:val="167"/>
    <w:qFormat/>
    <w:uiPriority w:val="0"/>
    <w:pPr>
      <w:pBdr>
        <w:bottom w:val="single" w:color="4F81BD" w:sz="4" w:space="4"/>
      </w:pBdr>
      <w:spacing w:before="200" w:after="280"/>
      <w:ind w:left="936" w:right="936"/>
    </w:pPr>
    <w:rPr>
      <w:rFonts w:ascii="Times New Roman" w:hAnsi="Times New Roman" w:eastAsia="宋体" w:cs="Times New Roman"/>
      <w:b/>
      <w:i/>
      <w:color w:val="4F81BD"/>
      <w:kern w:val="0"/>
      <w:sz w:val="24"/>
    </w:rPr>
  </w:style>
  <w:style w:type="character" w:customStyle="1" w:styleId="169">
    <w:name w:val="Subtle Reference1"/>
    <w:basedOn w:val="51"/>
    <w:qFormat/>
    <w:uiPriority w:val="0"/>
    <w:rPr>
      <w:smallCaps/>
      <w:color w:val="C0504D"/>
      <w:u w:val="single"/>
    </w:rPr>
  </w:style>
  <w:style w:type="character" w:customStyle="1" w:styleId="170">
    <w:name w:val="正文首行缩进 Char2"/>
    <w:basedOn w:val="51"/>
    <w:qFormat/>
    <w:uiPriority w:val="0"/>
    <w:rPr>
      <w:rFonts w:hint="eastAsia" w:ascii="宋体" w:hAnsi="宋体" w:eastAsia="宋体" w:cs="宋体"/>
      <w:kern w:val="2"/>
      <w:sz w:val="24"/>
    </w:rPr>
  </w:style>
  <w:style w:type="character" w:customStyle="1" w:styleId="171">
    <w:name w:val="批注框文本 Char1"/>
    <w:basedOn w:val="51"/>
    <w:qFormat/>
    <w:uiPriority w:val="0"/>
    <w:rPr>
      <w:rFonts w:hint="default" w:ascii="Calibri" w:hAnsi="Calibri" w:eastAsia="宋体" w:cs="Calibri"/>
      <w:sz w:val="18"/>
    </w:rPr>
  </w:style>
  <w:style w:type="character" w:customStyle="1" w:styleId="172">
    <w:name w:val="hour_am"/>
    <w:basedOn w:val="51"/>
    <w:qFormat/>
    <w:uiPriority w:val="0"/>
    <w:rPr>
      <w:rFonts w:hint="default" w:ascii="Times New Roman" w:hAnsi="Times New Roman" w:cs="Times New Roman"/>
    </w:rPr>
  </w:style>
  <w:style w:type="character" w:customStyle="1" w:styleId="173">
    <w:name w:val="页眉 Char2"/>
    <w:basedOn w:val="51"/>
    <w:qFormat/>
    <w:uiPriority w:val="0"/>
    <w:rPr>
      <w:rFonts w:hint="default" w:ascii="Times New Roman" w:hAnsi="Times New Roman" w:cs="Times New Roman"/>
      <w:kern w:val="0"/>
      <w:sz w:val="18"/>
      <w:szCs w:val="18"/>
    </w:rPr>
  </w:style>
  <w:style w:type="character" w:customStyle="1" w:styleId="174">
    <w:name w:val="标题5 Char Char"/>
    <w:basedOn w:val="51"/>
    <w:link w:val="175"/>
    <w:qFormat/>
    <w:uiPriority w:val="0"/>
    <w:rPr>
      <w:rFonts w:hint="default" w:ascii="Arial" w:hAnsi="Arial" w:cs="Arial"/>
      <w:b/>
      <w:sz w:val="32"/>
    </w:rPr>
  </w:style>
  <w:style w:type="paragraph" w:customStyle="1" w:styleId="175">
    <w:name w:val="标题5"/>
    <w:basedOn w:val="5"/>
    <w:link w:val="174"/>
    <w:qFormat/>
    <w:uiPriority w:val="0"/>
    <w:pPr>
      <w:keepLines/>
      <w:numPr>
        <w:numId w:val="0"/>
      </w:numPr>
      <w:tabs>
        <w:tab w:val="clear" w:pos="840"/>
        <w:tab w:val="clear" w:pos="960"/>
      </w:tabs>
      <w:spacing w:before="260" w:after="260" w:line="413" w:lineRule="auto"/>
    </w:pPr>
    <w:rPr>
      <w:rFonts w:hint="default" w:ascii="Arial" w:hAnsi="Arial" w:cs="Arial"/>
      <w:b/>
      <w:bCs w:val="0"/>
      <w:kern w:val="0"/>
      <w:sz w:val="32"/>
    </w:rPr>
  </w:style>
  <w:style w:type="character" w:customStyle="1" w:styleId="176">
    <w:name w:val="正文文本 2 Char2"/>
    <w:basedOn w:val="51"/>
    <w:link w:val="41"/>
    <w:qFormat/>
    <w:uiPriority w:val="0"/>
    <w:rPr>
      <w:rFonts w:hint="default" w:ascii="Calibri" w:hAnsi="Calibri" w:eastAsia="宋体" w:cs="Times New Roman"/>
      <w:kern w:val="2"/>
      <w:sz w:val="21"/>
      <w:szCs w:val="24"/>
    </w:rPr>
  </w:style>
  <w:style w:type="character" w:customStyle="1" w:styleId="177">
    <w:name w:val="Footer Char"/>
    <w:basedOn w:val="51"/>
    <w:qFormat/>
    <w:uiPriority w:val="0"/>
    <w:rPr>
      <w:kern w:val="2"/>
      <w:sz w:val="18"/>
    </w:rPr>
  </w:style>
  <w:style w:type="character" w:customStyle="1" w:styleId="178">
    <w:name w:val="纯文本 Char1"/>
    <w:basedOn w:val="51"/>
    <w:qFormat/>
    <w:uiPriority w:val="0"/>
    <w:rPr>
      <w:rFonts w:hint="eastAsia" w:ascii="宋体" w:hAnsi="Courier New" w:eastAsia="宋体" w:cs="宋体"/>
      <w:kern w:val="2"/>
      <w:sz w:val="21"/>
    </w:rPr>
  </w:style>
  <w:style w:type="character" w:customStyle="1" w:styleId="179">
    <w:name w:val="副标题 Char3"/>
    <w:basedOn w:val="51"/>
    <w:qFormat/>
    <w:uiPriority w:val="0"/>
    <w:rPr>
      <w:rFonts w:hint="default" w:ascii="Cambria" w:hAnsi="Cambria" w:eastAsia="Cambria" w:cs="Cambria"/>
      <w:b/>
      <w:kern w:val="28"/>
      <w:sz w:val="32"/>
    </w:rPr>
  </w:style>
  <w:style w:type="character" w:customStyle="1" w:styleId="180">
    <w:name w:val="Header Char"/>
    <w:basedOn w:val="51"/>
    <w:qFormat/>
    <w:uiPriority w:val="0"/>
    <w:rPr>
      <w:kern w:val="2"/>
      <w:sz w:val="18"/>
    </w:rPr>
  </w:style>
  <w:style w:type="character" w:customStyle="1" w:styleId="181">
    <w:name w:val="文档结构图 Char2"/>
    <w:basedOn w:val="51"/>
    <w:qFormat/>
    <w:uiPriority w:val="99"/>
    <w:rPr>
      <w:rFonts w:hint="default" w:ascii="Times New Roman" w:hAnsi="Times New Roman" w:cs="Times New Roman"/>
      <w:szCs w:val="24"/>
      <w:shd w:val="clear" w:color="auto" w:fill="000080"/>
    </w:rPr>
  </w:style>
  <w:style w:type="character" w:customStyle="1" w:styleId="182">
    <w:name w:val="Heading 3 Char"/>
    <w:basedOn w:val="51"/>
    <w:qFormat/>
    <w:uiPriority w:val="0"/>
    <w:rPr>
      <w:rFonts w:hint="default" w:ascii="Calibri" w:hAnsi="Calibri" w:eastAsia="宋体" w:cs="Calibri"/>
      <w:b/>
      <w:kern w:val="2"/>
      <w:sz w:val="32"/>
      <w:lang w:val="en-US" w:eastAsia="zh-CN"/>
    </w:rPr>
  </w:style>
  <w:style w:type="character" w:customStyle="1" w:styleId="183">
    <w:name w:val="Body Text 3 Char"/>
    <w:basedOn w:val="51"/>
    <w:qFormat/>
    <w:uiPriority w:val="0"/>
    <w:rPr>
      <w:rFonts w:hint="eastAsia" w:ascii="宋体" w:hAnsi="宋体" w:eastAsia="宋体" w:cs="宋体"/>
      <w:sz w:val="24"/>
    </w:rPr>
  </w:style>
  <w:style w:type="character" w:customStyle="1" w:styleId="184">
    <w:name w:val="样式3 Char Char"/>
    <w:basedOn w:val="51"/>
    <w:qFormat/>
    <w:uiPriority w:val="0"/>
    <w:rPr>
      <w:rFonts w:hint="eastAsia" w:ascii="宋体" w:hAnsi="Courier New" w:eastAsia="宋体" w:cs="宋体"/>
      <w:sz w:val="28"/>
    </w:rPr>
  </w:style>
  <w:style w:type="paragraph" w:customStyle="1" w:styleId="185">
    <w:name w:val="p0"/>
    <w:basedOn w:val="1"/>
    <w:qFormat/>
    <w:uiPriority w:val="0"/>
    <w:pPr>
      <w:widowControl/>
      <w:spacing w:line="360" w:lineRule="auto"/>
    </w:pPr>
    <w:rPr>
      <w:rFonts w:ascii="Times New Roman" w:hAnsi="Times New Roman" w:eastAsia="宋体" w:cs="Times New Roman"/>
      <w:kern w:val="0"/>
      <w:szCs w:val="21"/>
    </w:rPr>
  </w:style>
  <w:style w:type="character" w:customStyle="1" w:styleId="186">
    <w:name w:val="批注文字 Char3"/>
    <w:basedOn w:val="51"/>
    <w:qFormat/>
    <w:uiPriority w:val="0"/>
    <w:rPr>
      <w:rFonts w:hint="default" w:ascii="Times New Roman" w:hAnsi="Times New Roman" w:eastAsia="宋体" w:cs="Times New Roman"/>
      <w:sz w:val="24"/>
    </w:rPr>
  </w:style>
  <w:style w:type="character" w:customStyle="1" w:styleId="187">
    <w:name w:val="批注主题 Char2"/>
    <w:basedOn w:val="51"/>
    <w:qFormat/>
    <w:uiPriority w:val="99"/>
    <w:rPr>
      <w:rFonts w:hint="eastAsia" w:ascii="宋体" w:hAnsi="宋体" w:eastAsia="宋体" w:cs="宋体"/>
      <w:b/>
      <w:sz w:val="24"/>
    </w:rPr>
  </w:style>
  <w:style w:type="character" w:customStyle="1" w:styleId="188">
    <w:name w:val="ui-icon14"/>
    <w:basedOn w:val="51"/>
    <w:qFormat/>
    <w:uiPriority w:val="0"/>
    <w:rPr>
      <w:rFonts w:hint="default" w:ascii="Times New Roman" w:hAnsi="Times New Roman" w:cs="Times New Roman"/>
    </w:rPr>
  </w:style>
  <w:style w:type="character" w:customStyle="1" w:styleId="189">
    <w:name w:val="old1"/>
    <w:basedOn w:val="51"/>
    <w:qFormat/>
    <w:uiPriority w:val="0"/>
    <w:rPr>
      <w:rFonts w:hint="default" w:ascii="Times New Roman" w:hAnsi="Times New Roman" w:cs="Times New Roman"/>
      <w:color w:val="999999"/>
    </w:rPr>
  </w:style>
  <w:style w:type="character" w:customStyle="1" w:styleId="190">
    <w:name w:val="正文文本缩进 Char1"/>
    <w:basedOn w:val="51"/>
    <w:qFormat/>
    <w:uiPriority w:val="0"/>
    <w:rPr>
      <w:rFonts w:hint="default" w:ascii="Times New Roman" w:hAnsi="Times New Roman" w:eastAsia="宋体" w:cs="Times New Roman"/>
      <w:sz w:val="20"/>
    </w:rPr>
  </w:style>
  <w:style w:type="character" w:customStyle="1" w:styleId="191">
    <w:name w:val="样式1 Char Char"/>
    <w:basedOn w:val="51"/>
    <w:qFormat/>
    <w:uiPriority w:val="0"/>
    <w:rPr>
      <w:rFonts w:hint="eastAsia" w:ascii="黑体" w:hAnsi="宋体" w:eastAsia="黑体" w:cs="黑体"/>
      <w:spacing w:val="10"/>
      <w:kern w:val="2"/>
      <w:sz w:val="28"/>
      <w:lang w:val="en-US" w:eastAsia="zh-CN"/>
    </w:rPr>
  </w:style>
  <w:style w:type="character" w:customStyle="1" w:styleId="192">
    <w:name w:val="不明显强调1"/>
    <w:basedOn w:val="51"/>
    <w:qFormat/>
    <w:uiPriority w:val="0"/>
    <w:rPr>
      <w:i/>
      <w:color w:val="808080"/>
    </w:rPr>
  </w:style>
  <w:style w:type="character" w:customStyle="1" w:styleId="193">
    <w:name w:val="明显引用 Char1"/>
    <w:basedOn w:val="51"/>
    <w:qFormat/>
    <w:uiPriority w:val="30"/>
    <w:rPr>
      <w:rFonts w:hint="default" w:ascii="Times New Roman" w:hAnsi="Times New Roman" w:cs="Times New Roman"/>
      <w:b/>
      <w:i/>
      <w:color w:val="4F81BD"/>
      <w:kern w:val="2"/>
      <w:sz w:val="24"/>
    </w:rPr>
  </w:style>
  <w:style w:type="character" w:customStyle="1" w:styleId="194">
    <w:name w:val="正文文本 3 Char1"/>
    <w:basedOn w:val="51"/>
    <w:qFormat/>
    <w:uiPriority w:val="0"/>
    <w:rPr>
      <w:rFonts w:hint="default" w:ascii="Calibri" w:hAnsi="Calibri" w:eastAsia="宋体" w:cs="Calibri"/>
      <w:sz w:val="16"/>
    </w:rPr>
  </w:style>
  <w:style w:type="character" w:customStyle="1" w:styleId="195">
    <w:name w:val="Char Char5"/>
    <w:basedOn w:val="51"/>
    <w:qFormat/>
    <w:uiPriority w:val="0"/>
    <w:rPr>
      <w:rFonts w:hint="eastAsia" w:ascii="宋体" w:hAnsi="宋体" w:eastAsia="宋体" w:cs="宋体"/>
      <w:b/>
      <w:kern w:val="2"/>
      <w:sz w:val="24"/>
      <w:lang w:val="en-US" w:eastAsia="zh-CN"/>
    </w:rPr>
  </w:style>
  <w:style w:type="character" w:customStyle="1" w:styleId="196">
    <w:name w:val="select-item"/>
    <w:basedOn w:val="51"/>
    <w:qFormat/>
    <w:uiPriority w:val="0"/>
    <w:rPr>
      <w:rFonts w:hint="default" w:ascii="Times New Roman" w:hAnsi="Times New Roman" w:cs="Times New Roman"/>
    </w:rPr>
  </w:style>
  <w:style w:type="character" w:customStyle="1" w:styleId="197">
    <w:name w:val="HTML 预设格式 Char1"/>
    <w:basedOn w:val="51"/>
    <w:qFormat/>
    <w:uiPriority w:val="0"/>
    <w:rPr>
      <w:rFonts w:hint="default" w:ascii="Times New Roman" w:hAnsi="Times New Roman" w:cs="Times New Roman"/>
      <w:sz w:val="18"/>
    </w:rPr>
  </w:style>
  <w:style w:type="character" w:customStyle="1" w:styleId="198">
    <w:name w:val="题注 Char"/>
    <w:basedOn w:val="51"/>
    <w:link w:val="15"/>
    <w:qFormat/>
    <w:uiPriority w:val="0"/>
    <w:rPr>
      <w:rFonts w:hint="default" w:ascii="Arial" w:hAnsi="Arial" w:eastAsia="黑体" w:cs="Times New Roman"/>
      <w:kern w:val="2"/>
      <w:szCs w:val="24"/>
    </w:rPr>
  </w:style>
  <w:style w:type="character" w:customStyle="1" w:styleId="199">
    <w:name w:val="new"/>
    <w:basedOn w:val="51"/>
    <w:qFormat/>
    <w:uiPriority w:val="0"/>
    <w:rPr>
      <w:rFonts w:hint="default" w:ascii="Times New Roman" w:hAnsi="Times New Roman" w:cs="Times New Roman"/>
      <w:color w:val="999999"/>
    </w:rPr>
  </w:style>
  <w:style w:type="character" w:customStyle="1" w:styleId="200">
    <w:name w:val="ui-selectmenu-text"/>
    <w:basedOn w:val="51"/>
    <w:qFormat/>
    <w:uiPriority w:val="0"/>
    <w:rPr>
      <w:rFonts w:hint="default" w:ascii="Times New Roman" w:hAnsi="Times New Roman" w:cs="Times New Roman"/>
    </w:rPr>
  </w:style>
  <w:style w:type="character" w:customStyle="1" w:styleId="201">
    <w:name w:val="标题 5 Char1"/>
    <w:basedOn w:val="51"/>
    <w:qFormat/>
    <w:uiPriority w:val="0"/>
    <w:rPr>
      <w:rFonts w:hint="default" w:ascii="Times New Roman" w:hAnsi="Times New Roman" w:eastAsia="宋体" w:cs="Times New Roman"/>
      <w:b/>
      <w:sz w:val="20"/>
    </w:rPr>
  </w:style>
  <w:style w:type="character" w:customStyle="1" w:styleId="202">
    <w:name w:val="日期 字符1"/>
    <w:basedOn w:val="51"/>
    <w:qFormat/>
    <w:uiPriority w:val="0"/>
    <w:rPr>
      <w:rFonts w:hint="default" w:ascii="Times New Roman" w:hAnsi="Times New Roman" w:eastAsia="宋体" w:cs="Times New Roman"/>
      <w:sz w:val="24"/>
    </w:rPr>
  </w:style>
  <w:style w:type="character" w:customStyle="1" w:styleId="203">
    <w:name w:val="Body Text 2 Char"/>
    <w:basedOn w:val="51"/>
    <w:qFormat/>
    <w:uiPriority w:val="0"/>
    <w:rPr>
      <w:rFonts w:hint="eastAsia" w:ascii="宋体" w:hAnsi="宋体" w:eastAsia="宋体" w:cs="宋体"/>
      <w:color w:val="000000"/>
      <w:sz w:val="18"/>
    </w:rPr>
  </w:style>
  <w:style w:type="character" w:customStyle="1" w:styleId="204">
    <w:name w:val="Subtle Emphasis1"/>
    <w:basedOn w:val="51"/>
    <w:qFormat/>
    <w:uiPriority w:val="0"/>
    <w:rPr>
      <w:i/>
      <w:color w:val="808080"/>
    </w:rPr>
  </w:style>
  <w:style w:type="character" w:customStyle="1" w:styleId="205">
    <w:name w:val="Quote Char1"/>
    <w:basedOn w:val="51"/>
    <w:qFormat/>
    <w:uiPriority w:val="0"/>
    <w:rPr>
      <w:rFonts w:hint="default" w:ascii="Times New Roman" w:hAnsi="Times New Roman" w:cs="Times New Roman"/>
      <w:i/>
      <w:color w:val="000000"/>
    </w:rPr>
  </w:style>
  <w:style w:type="character" w:customStyle="1" w:styleId="206">
    <w:name w:val="批注主题 字符1"/>
    <w:basedOn w:val="51"/>
    <w:qFormat/>
    <w:uiPriority w:val="0"/>
    <w:rPr>
      <w:rFonts w:hint="default" w:ascii="Times New Roman" w:hAnsi="Times New Roman" w:eastAsia="宋体" w:cs="Times New Roman"/>
      <w:b/>
      <w:sz w:val="24"/>
    </w:rPr>
  </w:style>
  <w:style w:type="character" w:customStyle="1" w:styleId="207">
    <w:name w:val="正文文本 2 字符1"/>
    <w:basedOn w:val="51"/>
    <w:qFormat/>
    <w:uiPriority w:val="0"/>
    <w:rPr>
      <w:rFonts w:hint="default" w:ascii="Times New Roman" w:hAnsi="Times New Roman" w:eastAsia="宋体" w:cs="Times New Roman"/>
      <w:sz w:val="24"/>
    </w:rPr>
  </w:style>
  <w:style w:type="character" w:customStyle="1" w:styleId="208">
    <w:name w:val="正文文本 Char4"/>
    <w:basedOn w:val="51"/>
    <w:qFormat/>
    <w:uiPriority w:val="0"/>
    <w:rPr>
      <w:rFonts w:hint="default" w:ascii="Times New Roman" w:hAnsi="Times New Roman" w:cs="Times New Roman"/>
      <w:kern w:val="2"/>
      <w:sz w:val="21"/>
      <w:szCs w:val="24"/>
    </w:rPr>
  </w:style>
  <w:style w:type="character" w:customStyle="1" w:styleId="209">
    <w:name w:val="right-mar30px"/>
    <w:basedOn w:val="51"/>
    <w:qFormat/>
    <w:uiPriority w:val="0"/>
    <w:rPr>
      <w:rFonts w:hint="default" w:ascii="Times New Roman" w:hAnsi="Times New Roman" w:cs="Times New Roman"/>
    </w:rPr>
  </w:style>
  <w:style w:type="character" w:customStyle="1" w:styleId="210">
    <w:name w:val="文档结构图 Char1"/>
    <w:basedOn w:val="51"/>
    <w:qFormat/>
    <w:uiPriority w:val="0"/>
    <w:rPr>
      <w:rFonts w:hint="eastAsia" w:ascii="宋体" w:hAnsi="Calibri" w:eastAsia="宋体" w:cs="宋体"/>
      <w:sz w:val="18"/>
    </w:rPr>
  </w:style>
  <w:style w:type="character" w:customStyle="1" w:styleId="211">
    <w:name w:val="批注框文本 Char3"/>
    <w:basedOn w:val="51"/>
    <w:link w:val="32"/>
    <w:qFormat/>
    <w:uiPriority w:val="0"/>
    <w:rPr>
      <w:rFonts w:hint="default" w:ascii="Calibri" w:hAnsi="Calibri" w:eastAsia="宋体" w:cs="Times New Roman"/>
      <w:kern w:val="2"/>
      <w:sz w:val="18"/>
      <w:szCs w:val="24"/>
    </w:rPr>
  </w:style>
  <w:style w:type="character" w:customStyle="1" w:styleId="212">
    <w:name w:val="正文文本 2 Char1"/>
    <w:basedOn w:val="51"/>
    <w:qFormat/>
    <w:uiPriority w:val="0"/>
    <w:rPr>
      <w:kern w:val="2"/>
      <w:sz w:val="21"/>
    </w:rPr>
  </w:style>
  <w:style w:type="character" w:customStyle="1" w:styleId="213">
    <w:name w:val="Char Char6"/>
    <w:basedOn w:val="51"/>
    <w:qFormat/>
    <w:uiPriority w:val="0"/>
    <w:rPr>
      <w:rFonts w:hint="eastAsia" w:ascii="宋体" w:hAnsi="Courier New" w:eastAsia="宋体" w:cs="宋体"/>
      <w:kern w:val="2"/>
      <w:sz w:val="21"/>
      <w:lang w:val="en-US" w:eastAsia="zh-CN"/>
    </w:rPr>
  </w:style>
  <w:style w:type="character" w:customStyle="1" w:styleId="214">
    <w:name w:val="副标题 Char4"/>
    <w:basedOn w:val="51"/>
    <w:link w:val="36"/>
    <w:qFormat/>
    <w:uiPriority w:val="0"/>
    <w:rPr>
      <w:rFonts w:hint="default" w:ascii="Arial" w:hAnsi="Arial" w:eastAsia="宋体" w:cs="Times New Roman"/>
      <w:b/>
      <w:kern w:val="28"/>
      <w:sz w:val="32"/>
      <w:szCs w:val="24"/>
    </w:rPr>
  </w:style>
  <w:style w:type="character" w:customStyle="1" w:styleId="215">
    <w:name w:val="样式1 Char"/>
    <w:basedOn w:val="51"/>
    <w:qFormat/>
    <w:uiPriority w:val="0"/>
    <w:rPr>
      <w:rFonts w:hint="eastAsia" w:ascii="宋体" w:hAnsi="宋体" w:eastAsia="宋体" w:cs="宋体"/>
      <w:b/>
      <w:sz w:val="52"/>
    </w:rPr>
  </w:style>
  <w:style w:type="character" w:customStyle="1" w:styleId="216">
    <w:name w:val="样式 标题 2 + Times New Roman 四号 非加粗 段前: 5 磅 段后: 0 磅 行距: 固定值 20... Char Char"/>
    <w:basedOn w:val="51"/>
    <w:link w:val="98"/>
    <w:qFormat/>
    <w:uiPriority w:val="0"/>
    <w:rPr>
      <w:rFonts w:hint="eastAsia" w:ascii="黑体" w:hAnsi="宋体" w:eastAsia="黑体" w:cs="黑体"/>
      <w:b/>
      <w:sz w:val="28"/>
    </w:rPr>
  </w:style>
  <w:style w:type="character" w:customStyle="1" w:styleId="217">
    <w:name w:val="Char Char12"/>
    <w:basedOn w:val="51"/>
    <w:qFormat/>
    <w:uiPriority w:val="0"/>
    <w:rPr>
      <w:rFonts w:hint="eastAsia" w:ascii="宋体" w:hAnsi="宋体" w:eastAsia="宋体" w:cs="宋体"/>
      <w:kern w:val="2"/>
      <w:sz w:val="24"/>
    </w:rPr>
  </w:style>
  <w:style w:type="character" w:customStyle="1" w:styleId="218">
    <w:name w:val="书籍标题1"/>
    <w:basedOn w:val="51"/>
    <w:qFormat/>
    <w:uiPriority w:val="0"/>
    <w:rPr>
      <w:b/>
      <w:smallCaps/>
      <w:spacing w:val="5"/>
    </w:rPr>
  </w:style>
  <w:style w:type="character" w:customStyle="1" w:styleId="219">
    <w:name w:val="正文文本 Char Char"/>
    <w:basedOn w:val="51"/>
    <w:qFormat/>
    <w:uiPriority w:val="0"/>
    <w:rPr>
      <w:kern w:val="2"/>
      <w:sz w:val="24"/>
    </w:rPr>
  </w:style>
  <w:style w:type="character" w:customStyle="1" w:styleId="220">
    <w:name w:val="引用 Char2"/>
    <w:basedOn w:val="51"/>
    <w:qFormat/>
    <w:uiPriority w:val="0"/>
    <w:rPr>
      <w:i/>
      <w:color w:val="404040"/>
      <w:kern w:val="2"/>
      <w:sz w:val="24"/>
    </w:rPr>
  </w:style>
  <w:style w:type="character" w:customStyle="1" w:styleId="221">
    <w:name w:val="question-title2"/>
    <w:basedOn w:val="51"/>
    <w:qFormat/>
    <w:uiPriority w:val="0"/>
    <w:rPr>
      <w:rFonts w:hint="default" w:ascii="Times New Roman" w:hAnsi="Times New Roman" w:cs="Times New Roman"/>
    </w:rPr>
  </w:style>
  <w:style w:type="character" w:customStyle="1" w:styleId="222">
    <w:name w:val="Title Char"/>
    <w:basedOn w:val="51"/>
    <w:qFormat/>
    <w:uiPriority w:val="0"/>
    <w:rPr>
      <w:rFonts w:hint="default" w:ascii="Arial" w:hAnsi="Arial" w:cs="Arial"/>
      <w:b/>
      <w:sz w:val="32"/>
    </w:rPr>
  </w:style>
  <w:style w:type="character" w:customStyle="1" w:styleId="223">
    <w:name w:val="正文（缩进） Char"/>
    <w:basedOn w:val="51"/>
    <w:qFormat/>
    <w:uiPriority w:val="0"/>
    <w:rPr>
      <w:sz w:val="24"/>
    </w:rPr>
  </w:style>
  <w:style w:type="character" w:customStyle="1" w:styleId="224">
    <w:name w:val="Comment Subject Char"/>
    <w:basedOn w:val="51"/>
    <w:qFormat/>
    <w:uiPriority w:val="0"/>
    <w:rPr>
      <w:rFonts w:hint="eastAsia" w:ascii="宋体" w:hAnsi="宋体" w:eastAsia="宋体" w:cs="宋体"/>
      <w:b/>
      <w:sz w:val="24"/>
    </w:rPr>
  </w:style>
  <w:style w:type="character" w:customStyle="1" w:styleId="225">
    <w:name w:val="layui-this"/>
    <w:basedOn w:val="51"/>
    <w:qFormat/>
    <w:uiPriority w:val="0"/>
    <w:rPr>
      <w:rFonts w:hint="default" w:ascii="Times New Roman" w:hAnsi="Times New Roman" w:cs="Times New Roman"/>
      <w:bdr w:val="single" w:color="EEEEEE" w:sz="6" w:space="0"/>
      <w:shd w:val="clear" w:color="auto" w:fill="FFFFFF"/>
    </w:rPr>
  </w:style>
  <w:style w:type="character" w:customStyle="1" w:styleId="226">
    <w:name w:val="Char Char15"/>
    <w:basedOn w:val="51"/>
    <w:qFormat/>
    <w:uiPriority w:val="0"/>
    <w:rPr>
      <w:rFonts w:hint="eastAsia" w:ascii="宋体" w:hAnsi="宋体" w:eastAsia="宋体" w:cs="宋体"/>
      <w:kern w:val="2"/>
      <w:sz w:val="24"/>
      <w:lang w:val="en-US" w:eastAsia="zh-CN"/>
    </w:rPr>
  </w:style>
  <w:style w:type="character" w:customStyle="1" w:styleId="227">
    <w:name w:val="Quote Char"/>
    <w:basedOn w:val="51"/>
    <w:qFormat/>
    <w:uiPriority w:val="0"/>
    <w:rPr>
      <w:i/>
      <w:color w:val="000000"/>
      <w:sz w:val="22"/>
    </w:rPr>
  </w:style>
  <w:style w:type="character" w:customStyle="1" w:styleId="228">
    <w:name w:val="HTML Preformatted Char"/>
    <w:basedOn w:val="51"/>
    <w:qFormat/>
    <w:uiPriority w:val="0"/>
    <w:rPr>
      <w:rFonts w:hint="default" w:ascii="Arial" w:hAnsi="Arial" w:cs="Arial"/>
      <w:sz w:val="24"/>
    </w:rPr>
  </w:style>
  <w:style w:type="character" w:customStyle="1" w:styleId="229">
    <w:name w:val="param_td12"/>
    <w:basedOn w:val="51"/>
    <w:qFormat/>
    <w:uiPriority w:val="0"/>
    <w:rPr>
      <w:rFonts w:hint="default" w:ascii="Times New Roman" w:hAnsi="Times New Roman" w:cs="Times New Roman"/>
    </w:rPr>
  </w:style>
  <w:style w:type="character" w:customStyle="1" w:styleId="230">
    <w:name w:val="Char Char9"/>
    <w:basedOn w:val="51"/>
    <w:qFormat/>
    <w:uiPriority w:val="0"/>
    <w:rPr>
      <w:kern w:val="2"/>
      <w:sz w:val="22"/>
    </w:rPr>
  </w:style>
  <w:style w:type="character" w:customStyle="1" w:styleId="231">
    <w:name w:val="Body Text Char"/>
    <w:basedOn w:val="51"/>
    <w:qFormat/>
    <w:uiPriority w:val="0"/>
  </w:style>
  <w:style w:type="character" w:customStyle="1" w:styleId="232">
    <w:name w:val="Body Text Indent Char"/>
    <w:basedOn w:val="51"/>
    <w:qFormat/>
    <w:uiPriority w:val="0"/>
    <w:rPr>
      <w:sz w:val="24"/>
    </w:rPr>
  </w:style>
  <w:style w:type="character" w:customStyle="1" w:styleId="233">
    <w:name w:val="Heading 5 Char"/>
    <w:basedOn w:val="51"/>
    <w:qFormat/>
    <w:uiPriority w:val="0"/>
    <w:rPr>
      <w:rFonts w:hint="default" w:ascii="Calibri" w:hAnsi="Calibri" w:eastAsia="宋体" w:cs="Calibri"/>
      <w:b/>
      <w:kern w:val="2"/>
      <w:sz w:val="28"/>
      <w:lang w:val="en-US" w:eastAsia="zh-CN"/>
    </w:rPr>
  </w:style>
  <w:style w:type="character" w:customStyle="1" w:styleId="234">
    <w:name w:val="标题 2 Char1"/>
    <w:basedOn w:val="51"/>
    <w:qFormat/>
    <w:uiPriority w:val="0"/>
    <w:rPr>
      <w:rFonts w:hint="default" w:ascii="Arial" w:hAnsi="Arial" w:eastAsia="黑体" w:cs="Arial"/>
      <w:b/>
      <w:sz w:val="32"/>
    </w:rPr>
  </w:style>
  <w:style w:type="character" w:customStyle="1" w:styleId="235">
    <w:name w:val="标题 3 Char1"/>
    <w:basedOn w:val="51"/>
    <w:qFormat/>
    <w:uiPriority w:val="0"/>
    <w:rPr>
      <w:rFonts w:hint="default" w:ascii="Times New Roman" w:hAnsi="Times New Roman" w:eastAsia="宋体" w:cs="Times New Roman"/>
      <w:b/>
      <w:sz w:val="32"/>
    </w:rPr>
  </w:style>
  <w:style w:type="character" w:customStyle="1" w:styleId="236">
    <w:name w:val="批注文字 字符"/>
    <w:basedOn w:val="51"/>
    <w:qFormat/>
    <w:uiPriority w:val="0"/>
    <w:rPr>
      <w:rFonts w:hint="eastAsia" w:ascii="宋体" w:hAnsi="宋体" w:eastAsia="宋体" w:cs="宋体"/>
      <w:kern w:val="2"/>
      <w:sz w:val="24"/>
      <w:lang w:val="en-US" w:eastAsia="zh-CN"/>
    </w:rPr>
  </w:style>
  <w:style w:type="character" w:customStyle="1" w:styleId="237">
    <w:name w:val="明显强调1"/>
    <w:basedOn w:val="51"/>
    <w:qFormat/>
    <w:uiPriority w:val="0"/>
    <w:rPr>
      <w:b/>
      <w:i/>
      <w:color w:val="4F81BD"/>
    </w:rPr>
  </w:style>
  <w:style w:type="character" w:customStyle="1" w:styleId="238">
    <w:name w:val="正文首行缩进 Char1"/>
    <w:basedOn w:val="51"/>
    <w:qFormat/>
    <w:uiPriority w:val="0"/>
    <w:rPr>
      <w:rFonts w:hint="eastAsia" w:ascii="宋体" w:hAnsi="宋体" w:eastAsia="宋体" w:cs="宋体"/>
      <w:kern w:val="2"/>
      <w:sz w:val="21"/>
    </w:rPr>
  </w:style>
  <w:style w:type="character" w:customStyle="1" w:styleId="239">
    <w:name w:val="Intense Emphasis1"/>
    <w:basedOn w:val="51"/>
    <w:qFormat/>
    <w:uiPriority w:val="0"/>
    <w:rPr>
      <w:b/>
      <w:i/>
      <w:color w:val="4F81BD"/>
    </w:rPr>
  </w:style>
  <w:style w:type="character" w:customStyle="1" w:styleId="240">
    <w:name w:val="Intense Reference1"/>
    <w:basedOn w:val="51"/>
    <w:qFormat/>
    <w:uiPriority w:val="0"/>
    <w:rPr>
      <w:b/>
      <w:smallCaps/>
      <w:color w:val="C0504D"/>
      <w:spacing w:val="5"/>
      <w:u w:val="single"/>
    </w:rPr>
  </w:style>
  <w:style w:type="character" w:customStyle="1" w:styleId="241">
    <w:name w:val="Char Char4"/>
    <w:basedOn w:val="51"/>
    <w:qFormat/>
    <w:uiPriority w:val="0"/>
    <w:rPr>
      <w:rFonts w:hint="eastAsia" w:ascii="宋体" w:hAnsi="宋体" w:eastAsia="宋体" w:cs="宋体"/>
      <w:kern w:val="2"/>
      <w:sz w:val="24"/>
      <w:lang w:val="en-US" w:eastAsia="zh-CN"/>
    </w:rPr>
  </w:style>
  <w:style w:type="character" w:customStyle="1" w:styleId="242">
    <w:name w:val="批注框文本 Char2"/>
    <w:basedOn w:val="51"/>
    <w:qFormat/>
    <w:uiPriority w:val="99"/>
    <w:rPr>
      <w:sz w:val="18"/>
    </w:rPr>
  </w:style>
  <w:style w:type="character" w:customStyle="1" w:styleId="243">
    <w:name w:val="页眉 Char1"/>
    <w:basedOn w:val="51"/>
    <w:qFormat/>
    <w:uiPriority w:val="99"/>
    <w:rPr>
      <w:rFonts w:hint="eastAsia" w:ascii="宋体" w:hAnsi="宋体" w:eastAsia="宋体" w:cs="宋体"/>
      <w:kern w:val="2"/>
      <w:sz w:val="18"/>
      <w:lang w:val="en-US" w:eastAsia="zh-CN"/>
    </w:rPr>
  </w:style>
  <w:style w:type="character" w:customStyle="1" w:styleId="244">
    <w:name w:val="font161"/>
    <w:basedOn w:val="51"/>
    <w:qFormat/>
    <w:uiPriority w:val="0"/>
    <w:rPr>
      <w:b/>
      <w:sz w:val="32"/>
    </w:rPr>
  </w:style>
  <w:style w:type="character" w:customStyle="1" w:styleId="245">
    <w:name w:val="Char Char17"/>
    <w:basedOn w:val="51"/>
    <w:qFormat/>
    <w:uiPriority w:val="0"/>
    <w:rPr>
      <w:rFonts w:hint="default" w:ascii="Cambria" w:hAnsi="Cambria" w:eastAsia="宋体" w:cs="Cambria"/>
      <w:b/>
      <w:kern w:val="2"/>
      <w:sz w:val="32"/>
    </w:rPr>
  </w:style>
  <w:style w:type="character" w:customStyle="1" w:styleId="246">
    <w:name w:val="标题 7 Char1"/>
    <w:basedOn w:val="51"/>
    <w:qFormat/>
    <w:uiPriority w:val="0"/>
    <w:rPr>
      <w:rFonts w:hint="default" w:ascii="Times New Roman" w:hAnsi="Times New Roman" w:eastAsia="宋体" w:cs="Times New Roman"/>
      <w:b/>
      <w:kern w:val="0"/>
      <w:sz w:val="24"/>
    </w:rPr>
  </w:style>
  <w:style w:type="character" w:customStyle="1" w:styleId="247">
    <w:name w:val="样式 标题 2 + Times New Roman 四号 非加粗 段前: 5 磅 段后: 0 磅 行距: 固定值 20... Char"/>
    <w:basedOn w:val="51"/>
    <w:qFormat/>
    <w:uiPriority w:val="0"/>
    <w:rPr>
      <w:rFonts w:hint="eastAsia" w:ascii="黑体" w:hAnsi="宋体" w:eastAsia="黑体" w:cs="黑体"/>
      <w:kern w:val="2"/>
      <w:sz w:val="28"/>
    </w:rPr>
  </w:style>
  <w:style w:type="character" w:customStyle="1" w:styleId="248">
    <w:name w:val="Char Char10"/>
    <w:basedOn w:val="51"/>
    <w:qFormat/>
    <w:uiPriority w:val="0"/>
    <w:rPr>
      <w:rFonts w:hint="default" w:ascii="Arial" w:hAnsi="Arial" w:eastAsia="宋体" w:cs="Arial"/>
      <w:b/>
      <w:kern w:val="2"/>
      <w:sz w:val="30"/>
      <w:lang w:val="en-US" w:eastAsia="zh-CN"/>
    </w:rPr>
  </w:style>
  <w:style w:type="character" w:customStyle="1" w:styleId="249">
    <w:name w:val="标题 3 Char Char"/>
    <w:basedOn w:val="51"/>
    <w:qFormat/>
    <w:uiPriority w:val="0"/>
    <w:rPr>
      <w:b/>
      <w:kern w:val="2"/>
      <w:sz w:val="32"/>
    </w:rPr>
  </w:style>
  <w:style w:type="character" w:customStyle="1" w:styleId="250">
    <w:name w:val="Char Char3"/>
    <w:basedOn w:val="51"/>
    <w:qFormat/>
    <w:uiPriority w:val="0"/>
    <w:rPr>
      <w:rFonts w:hint="eastAsia" w:ascii="宋体" w:hAnsi="宋体" w:eastAsia="宋体" w:cs="宋体"/>
      <w:kern w:val="2"/>
      <w:sz w:val="24"/>
      <w:lang w:val="en-US" w:eastAsia="zh-CN"/>
    </w:rPr>
  </w:style>
  <w:style w:type="character" w:customStyle="1" w:styleId="251">
    <w:name w:val="标题 Char2"/>
    <w:basedOn w:val="51"/>
    <w:qFormat/>
    <w:uiPriority w:val="0"/>
    <w:rPr>
      <w:rFonts w:hint="default" w:ascii="Cambria" w:hAnsi="Cambria" w:eastAsia="宋体" w:cs="Cambria"/>
      <w:b/>
      <w:sz w:val="32"/>
    </w:rPr>
  </w:style>
  <w:style w:type="character" w:customStyle="1" w:styleId="252">
    <w:name w:val="文档结构图 字符1"/>
    <w:basedOn w:val="51"/>
    <w:qFormat/>
    <w:uiPriority w:val="0"/>
    <w:rPr>
      <w:rFonts w:hint="eastAsia" w:ascii="Microsoft YaHei UI" w:hAnsi="Times New Roman" w:eastAsia="Microsoft YaHei UI" w:cs="Microsoft YaHei UI"/>
      <w:sz w:val="18"/>
    </w:rPr>
  </w:style>
  <w:style w:type="character" w:customStyle="1" w:styleId="253">
    <w:name w:val="明显引用 Char4"/>
    <w:basedOn w:val="51"/>
    <w:qFormat/>
    <w:uiPriority w:val="0"/>
    <w:rPr>
      <w:i/>
      <w:color w:val="5B9BD5"/>
      <w:kern w:val="2"/>
      <w:sz w:val="24"/>
    </w:rPr>
  </w:style>
  <w:style w:type="character" w:customStyle="1" w:styleId="254">
    <w:name w:val="日期 Char1"/>
    <w:basedOn w:val="51"/>
    <w:qFormat/>
    <w:uiPriority w:val="0"/>
    <w:rPr>
      <w:rFonts w:hint="default" w:ascii="Calibri" w:hAnsi="Calibri" w:eastAsia="宋体" w:cs="Calibri"/>
    </w:rPr>
  </w:style>
  <w:style w:type="character" w:customStyle="1" w:styleId="255">
    <w:name w:val="正文文本缩进 2 Char1"/>
    <w:basedOn w:val="51"/>
    <w:qFormat/>
    <w:uiPriority w:val="0"/>
    <w:rPr>
      <w:rFonts w:hint="default" w:ascii="Calibri" w:hAnsi="Calibri" w:eastAsia="宋体" w:cs="Calibri"/>
    </w:rPr>
  </w:style>
  <w:style w:type="character" w:customStyle="1" w:styleId="256">
    <w:name w:val="不明显参考1"/>
    <w:basedOn w:val="51"/>
    <w:qFormat/>
    <w:uiPriority w:val="0"/>
    <w:rPr>
      <w:smallCaps/>
      <w:color w:val="C0504D"/>
      <w:u w:val="single"/>
    </w:rPr>
  </w:style>
  <w:style w:type="character" w:customStyle="1" w:styleId="257">
    <w:name w:val="Plain Text Char"/>
    <w:basedOn w:val="51"/>
    <w:qFormat/>
    <w:uiPriority w:val="0"/>
    <w:rPr>
      <w:rFonts w:hint="eastAsia" w:ascii="宋体" w:hAnsi="Courier New" w:eastAsia="宋体" w:cs="宋体"/>
    </w:rPr>
  </w:style>
  <w:style w:type="character" w:customStyle="1" w:styleId="258">
    <w:name w:val="ui-icon11"/>
    <w:basedOn w:val="51"/>
    <w:qFormat/>
    <w:uiPriority w:val="0"/>
    <w:rPr>
      <w:rFonts w:hint="default" w:ascii="Times New Roman" w:hAnsi="Times New Roman" w:cs="Times New Roman"/>
    </w:rPr>
  </w:style>
  <w:style w:type="character" w:customStyle="1" w:styleId="259">
    <w:name w:val="正文文本 3 字符1"/>
    <w:basedOn w:val="51"/>
    <w:qFormat/>
    <w:uiPriority w:val="0"/>
    <w:rPr>
      <w:rFonts w:hint="default" w:ascii="Times New Roman" w:hAnsi="Times New Roman" w:eastAsia="宋体" w:cs="Times New Roman"/>
      <w:sz w:val="16"/>
    </w:rPr>
  </w:style>
  <w:style w:type="character" w:customStyle="1" w:styleId="260">
    <w:name w:val="Balloon Text Char"/>
    <w:basedOn w:val="51"/>
    <w:qFormat/>
    <w:uiPriority w:val="0"/>
    <w:rPr>
      <w:sz w:val="18"/>
    </w:rPr>
  </w:style>
  <w:style w:type="character" w:customStyle="1" w:styleId="261">
    <w:name w:val="Heading 1 Char"/>
    <w:basedOn w:val="51"/>
    <w:qFormat/>
    <w:uiPriority w:val="0"/>
    <w:rPr>
      <w:rFonts w:hint="default" w:ascii="Calibri" w:hAnsi="Calibri" w:eastAsia="宋体" w:cs="Calibri"/>
      <w:b/>
      <w:kern w:val="44"/>
      <w:sz w:val="44"/>
      <w:lang w:val="en-US" w:eastAsia="zh-CN"/>
    </w:rPr>
  </w:style>
  <w:style w:type="character" w:customStyle="1" w:styleId="262">
    <w:name w:val="Body Text Indent 3 Char"/>
    <w:basedOn w:val="51"/>
    <w:qFormat/>
    <w:uiPriority w:val="0"/>
    <w:rPr>
      <w:sz w:val="16"/>
    </w:rPr>
  </w:style>
  <w:style w:type="character" w:customStyle="1" w:styleId="263">
    <w:name w:val="text_blue2"/>
    <w:basedOn w:val="51"/>
    <w:qFormat/>
    <w:uiPriority w:val="0"/>
    <w:rPr>
      <w:rFonts w:hint="default" w:ascii="Verdana" w:hAnsi="Verdana" w:cs="Verdana"/>
      <w:color w:val="000033"/>
      <w:sz w:val="18"/>
    </w:rPr>
  </w:style>
  <w:style w:type="character" w:customStyle="1" w:styleId="264">
    <w:name w:val="Char Char14"/>
    <w:basedOn w:val="51"/>
    <w:qFormat/>
    <w:uiPriority w:val="0"/>
    <w:rPr>
      <w:sz w:val="24"/>
    </w:rPr>
  </w:style>
  <w:style w:type="character" w:customStyle="1" w:styleId="265">
    <w:name w:val="Body Text Indent 2 Char"/>
    <w:basedOn w:val="51"/>
    <w:qFormat/>
    <w:uiPriority w:val="0"/>
    <w:rPr>
      <w:sz w:val="24"/>
    </w:rPr>
  </w:style>
  <w:style w:type="character" w:customStyle="1" w:styleId="266">
    <w:name w:val="正文首行缩进 Char3"/>
    <w:basedOn w:val="208"/>
    <w:link w:val="47"/>
    <w:qFormat/>
    <w:uiPriority w:val="0"/>
    <w:rPr>
      <w:rFonts w:hint="default" w:ascii="Times New Roman" w:hAnsi="Times New Roman" w:cs="Times New Roman"/>
      <w:kern w:val="2"/>
      <w:sz w:val="21"/>
      <w:szCs w:val="24"/>
    </w:rPr>
  </w:style>
  <w:style w:type="character" w:customStyle="1" w:styleId="267">
    <w:name w:val="标题 Char3"/>
    <w:basedOn w:val="51"/>
    <w:link w:val="45"/>
    <w:qFormat/>
    <w:uiPriority w:val="0"/>
    <w:rPr>
      <w:rFonts w:hint="default" w:ascii="Arial" w:hAnsi="Arial" w:eastAsia="宋体" w:cs="Times New Roman"/>
      <w:b/>
      <w:kern w:val="2"/>
      <w:sz w:val="32"/>
      <w:szCs w:val="24"/>
    </w:rPr>
  </w:style>
  <w:style w:type="character" w:customStyle="1" w:styleId="268">
    <w:name w:val="批注文字 Char4"/>
    <w:basedOn w:val="51"/>
    <w:qFormat/>
    <w:uiPriority w:val="0"/>
    <w:rPr>
      <w:rFonts w:hint="default" w:ascii="Times New Roman" w:hAnsi="Times New Roman" w:cs="Times New Roman"/>
      <w:kern w:val="2"/>
      <w:sz w:val="21"/>
      <w:szCs w:val="24"/>
    </w:rPr>
  </w:style>
  <w:style w:type="character" w:customStyle="1" w:styleId="269">
    <w:name w:val="批注主题 Char3"/>
    <w:basedOn w:val="268"/>
    <w:link w:val="46"/>
    <w:qFormat/>
    <w:uiPriority w:val="0"/>
    <w:rPr>
      <w:rFonts w:hint="default" w:ascii="Times New Roman" w:hAnsi="Times New Roman" w:cs="Times New Roman"/>
      <w:b/>
      <w:kern w:val="2"/>
      <w:sz w:val="21"/>
      <w:szCs w:val="24"/>
    </w:rPr>
  </w:style>
  <w:style w:type="character" w:customStyle="1" w:styleId="270">
    <w:name w:val="正文文本缩进 2 Char2"/>
    <w:basedOn w:val="51"/>
    <w:link w:val="31"/>
    <w:qFormat/>
    <w:uiPriority w:val="0"/>
    <w:rPr>
      <w:rFonts w:hint="default" w:ascii="Calibri" w:hAnsi="Calibri" w:eastAsia="宋体" w:cs="Times New Roman"/>
      <w:kern w:val="2"/>
      <w:sz w:val="21"/>
      <w:szCs w:val="24"/>
    </w:rPr>
  </w:style>
  <w:style w:type="character" w:customStyle="1" w:styleId="271">
    <w:name w:val="纯文本 Char2"/>
    <w:basedOn w:val="51"/>
    <w:link w:val="28"/>
    <w:qFormat/>
    <w:uiPriority w:val="0"/>
    <w:rPr>
      <w:rFonts w:hint="eastAsia" w:ascii="宋体" w:hAnsi="Courier New" w:eastAsia="宋体" w:cs="Times New Roman"/>
      <w:kern w:val="2"/>
      <w:sz w:val="21"/>
      <w:szCs w:val="24"/>
    </w:rPr>
  </w:style>
  <w:style w:type="character" w:customStyle="1" w:styleId="272">
    <w:name w:val="日期 Char2"/>
    <w:basedOn w:val="51"/>
    <w:link w:val="30"/>
    <w:qFormat/>
    <w:uiPriority w:val="99"/>
    <w:rPr>
      <w:rFonts w:hint="default" w:ascii="Calibri" w:hAnsi="Calibri" w:eastAsia="宋体" w:cs="Times New Roman"/>
      <w:kern w:val="2"/>
      <w:sz w:val="21"/>
      <w:szCs w:val="24"/>
    </w:rPr>
  </w:style>
  <w:style w:type="character" w:customStyle="1" w:styleId="273">
    <w:name w:val="hour_pm"/>
    <w:basedOn w:val="51"/>
    <w:qFormat/>
    <w:uiPriority w:val="0"/>
    <w:rPr>
      <w:rFonts w:hint="default" w:ascii="Times New Roman" w:hAnsi="Times New Roman" w:cs="Times New Roman"/>
    </w:rPr>
  </w:style>
  <w:style w:type="character" w:customStyle="1" w:styleId="274">
    <w:name w:val="hover12"/>
    <w:basedOn w:val="51"/>
    <w:qFormat/>
    <w:uiPriority w:val="0"/>
    <w:rPr>
      <w:rFonts w:hint="default" w:ascii="Times New Roman" w:hAnsi="Times New Roman" w:cs="Times New Roman"/>
      <w:shd w:val="clear" w:color="auto" w:fill="EEEEEE"/>
    </w:rPr>
  </w:style>
  <w:style w:type="character" w:customStyle="1" w:styleId="275">
    <w:name w:val="select-info"/>
    <w:basedOn w:val="51"/>
    <w:qFormat/>
    <w:uiPriority w:val="0"/>
    <w:rPr>
      <w:rFonts w:hint="default" w:ascii="Times New Roman" w:hAnsi="Times New Roman" w:cs="Times New Roman"/>
    </w:rPr>
  </w:style>
  <w:style w:type="paragraph" w:customStyle="1" w:styleId="276">
    <w:name w:val="Char Char Char Char"/>
    <w:basedOn w:val="1"/>
    <w:qFormat/>
    <w:uiPriority w:val="0"/>
    <w:rPr>
      <w:rFonts w:ascii="Times New Roman" w:hAnsi="Times New Roman" w:eastAsia="宋体" w:cs="Times New Roman"/>
      <w:kern w:val="0"/>
      <w:sz w:val="24"/>
      <w:szCs w:val="20"/>
    </w:rPr>
  </w:style>
  <w:style w:type="table" w:customStyle="1" w:styleId="277">
    <w:name w:val="网格型1"/>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78">
    <w:name w:val="正文格式"/>
    <w:basedOn w:val="1"/>
    <w:qFormat/>
    <w:uiPriority w:val="99"/>
    <w:pPr>
      <w:widowControl/>
      <w:adjustRightInd w:val="0"/>
      <w:snapToGrid w:val="0"/>
      <w:spacing w:line="400" w:lineRule="exact"/>
      <w:ind w:firstLine="482"/>
    </w:pPr>
    <w:rPr>
      <w:kern w:val="0"/>
      <w:sz w:val="24"/>
    </w:rPr>
  </w:style>
  <w:style w:type="paragraph" w:customStyle="1" w:styleId="279">
    <w:name w:val="Default"/>
    <w:unhideWhenUsed/>
    <w:qFormat/>
    <w:uiPriority w:val="99"/>
    <w:pPr>
      <w:widowControl w:val="0"/>
      <w:autoSpaceDE w:val="0"/>
      <w:autoSpaceDN w:val="0"/>
      <w:adjustRightInd w:val="0"/>
    </w:pPr>
    <w:rPr>
      <w:rFonts w:hint="eastAsia" w:ascii="宋体" w:hAnsi="宋体" w:eastAsia="宋体" w:cstheme="minorBidi"/>
      <w:color w:val="000000"/>
      <w:sz w:val="24"/>
      <w:lang w:val="en-US" w:eastAsia="zh-CN" w:bidi="ar-SA"/>
    </w:rPr>
  </w:style>
  <w:style w:type="paragraph" w:customStyle="1" w:styleId="280">
    <w:name w:val="WPSOffice手动目录 1"/>
    <w:qFormat/>
    <w:uiPriority w:val="0"/>
    <w:rPr>
      <w:rFonts w:asciiTheme="minorHAnsi" w:hAnsiTheme="minorHAnsi" w:eastAsiaTheme="minorEastAsia" w:cstheme="minorBidi"/>
      <w:lang w:val="en-US" w:eastAsia="zh-CN" w:bidi="ar-SA"/>
    </w:rPr>
  </w:style>
  <w:style w:type="character" w:customStyle="1" w:styleId="281">
    <w:name w:val="font31"/>
    <w:basedOn w:val="51"/>
    <w:qFormat/>
    <w:uiPriority w:val="0"/>
    <w:rPr>
      <w:rFonts w:hint="eastAsia" w:ascii="宋体" w:hAnsi="宋体" w:eastAsia="宋体" w:cs="宋体"/>
      <w:color w:val="000000"/>
      <w:sz w:val="22"/>
      <w:szCs w:val="22"/>
      <w:u w:val="none"/>
    </w:rPr>
  </w:style>
  <w:style w:type="character" w:customStyle="1" w:styleId="282">
    <w:name w:val="font11"/>
    <w:basedOn w:val="51"/>
    <w:qFormat/>
    <w:uiPriority w:val="0"/>
    <w:rPr>
      <w:rFonts w:hint="default" w:ascii="Tahoma" w:hAnsi="Tahoma" w:eastAsia="Tahoma" w:cs="Tahoma"/>
      <w:color w:val="000000"/>
      <w:sz w:val="22"/>
      <w:szCs w:val="22"/>
      <w:u w:val="none"/>
    </w:rPr>
  </w:style>
  <w:style w:type="character" w:customStyle="1" w:styleId="283">
    <w:name w:val="font01"/>
    <w:basedOn w:val="51"/>
    <w:qFormat/>
    <w:uiPriority w:val="0"/>
    <w:rPr>
      <w:rFonts w:hint="eastAsia" w:ascii="宋体" w:hAnsi="宋体" w:eastAsia="宋体" w:cs="宋体"/>
      <w:color w:val="000000"/>
      <w:sz w:val="22"/>
      <w:szCs w:val="22"/>
      <w:u w:val="none"/>
    </w:rPr>
  </w:style>
  <w:style w:type="character" w:customStyle="1" w:styleId="284">
    <w:name w:val="font21"/>
    <w:basedOn w:val="51"/>
    <w:qFormat/>
    <w:uiPriority w:val="0"/>
    <w:rPr>
      <w:rFonts w:hint="eastAsia" w:ascii="宋体" w:hAnsi="宋体" w:eastAsia="宋体" w:cs="宋体"/>
      <w:b/>
      <w:color w:val="000000"/>
      <w:sz w:val="22"/>
      <w:szCs w:val="22"/>
      <w:u w:val="none"/>
    </w:rPr>
  </w:style>
  <w:style w:type="character" w:customStyle="1" w:styleId="285">
    <w:name w:val="font41"/>
    <w:basedOn w:val="51"/>
    <w:qFormat/>
    <w:uiPriority w:val="0"/>
    <w:rPr>
      <w:rFonts w:hint="eastAsia" w:ascii="宋体" w:hAnsi="宋体" w:eastAsia="宋体" w:cs="宋体"/>
      <w:b/>
      <w:color w:val="000000"/>
      <w:sz w:val="20"/>
      <w:szCs w:val="20"/>
      <w:u w:val="none"/>
    </w:rPr>
  </w:style>
  <w:style w:type="character" w:customStyle="1" w:styleId="286">
    <w:name w:val="hover9"/>
    <w:basedOn w:val="51"/>
    <w:qFormat/>
    <w:uiPriority w:val="0"/>
    <w:rPr>
      <w:shd w:val="clear" w:color="auto" w:fill="EEEEEE"/>
    </w:rPr>
  </w:style>
  <w:style w:type="character" w:customStyle="1" w:styleId="287">
    <w:name w:val="hover10"/>
    <w:basedOn w:val="51"/>
    <w:qFormat/>
    <w:uiPriority w:val="0"/>
    <w:rPr>
      <w:shd w:val="clear" w:color="auto" w:fill="EEEEEE"/>
    </w:rPr>
  </w:style>
  <w:style w:type="paragraph" w:customStyle="1" w:styleId="288">
    <w:name w:val="TOC 标题1"/>
    <w:basedOn w:val="3"/>
    <w:next w:val="1"/>
    <w:unhideWhenUsed/>
    <w:qFormat/>
    <w:uiPriority w:val="0"/>
    <w:pPr>
      <w:keepLines/>
      <w:widowControl/>
      <w:tabs>
        <w:tab w:val="clear" w:pos="0"/>
        <w:tab w:val="clear" w:pos="720"/>
        <w:tab w:val="clear" w:pos="1440"/>
        <w:tab w:val="clear" w:pos="2160"/>
        <w:tab w:val="clear" w:pos="2880"/>
        <w:tab w:val="clear" w:pos="3600"/>
        <w:tab w:val="clear" w:pos="4320"/>
      </w:tabs>
      <w:autoSpaceDE/>
      <w:autoSpaceDN/>
      <w:adjustRightInd/>
      <w:spacing w:before="240" w:line="259" w:lineRule="auto"/>
      <w:jc w:val="left"/>
      <w:outlineLvl w:val="9"/>
    </w:pPr>
    <w:rPr>
      <w:rFonts w:hint="default" w:asciiTheme="majorHAnsi" w:hAnsiTheme="majorHAnsi" w:eastAsiaTheme="majorEastAsia" w:cstheme="majorBidi"/>
      <w:b w:val="0"/>
      <w:color w:val="2E75B6" w:themeColor="accent1" w:themeShade="BF"/>
      <w:kern w:val="0"/>
      <w:sz w:val="32"/>
      <w:szCs w:val="32"/>
    </w:rPr>
  </w:style>
  <w:style w:type="paragraph" w:customStyle="1" w:styleId="289">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290">
    <w:name w:val="不明显强调2"/>
    <w:qFormat/>
    <w:uiPriority w:val="0"/>
    <w:rPr>
      <w:i/>
      <w:iCs/>
      <w:color w:val="808080"/>
    </w:rPr>
  </w:style>
  <w:style w:type="character" w:customStyle="1" w:styleId="291">
    <w:name w:val="标题4 Char Char"/>
    <w:link w:val="292"/>
    <w:qFormat/>
    <w:uiPriority w:val="0"/>
    <w:rPr>
      <w:rFonts w:ascii="Arial" w:hAnsi="Arial"/>
      <w:b/>
      <w:bCs/>
      <w:sz w:val="24"/>
      <w:szCs w:val="32"/>
    </w:rPr>
  </w:style>
  <w:style w:type="paragraph" w:customStyle="1" w:styleId="292">
    <w:name w:val="标题4"/>
    <w:basedOn w:val="4"/>
    <w:next w:val="25"/>
    <w:link w:val="291"/>
    <w:qFormat/>
    <w:uiPriority w:val="0"/>
    <w:pPr>
      <w:spacing w:line="413" w:lineRule="auto"/>
    </w:pPr>
    <w:rPr>
      <w:rFonts w:eastAsia="宋体"/>
      <w:bCs/>
      <w:kern w:val="0"/>
      <w:sz w:val="24"/>
    </w:rPr>
  </w:style>
  <w:style w:type="character" w:customStyle="1" w:styleId="293">
    <w:name w:val="明显参考2"/>
    <w:qFormat/>
    <w:uiPriority w:val="0"/>
    <w:rPr>
      <w:b/>
      <w:bCs/>
      <w:smallCaps/>
      <w:color w:val="C0504D"/>
      <w:spacing w:val="5"/>
      <w:u w:val="single"/>
    </w:rPr>
  </w:style>
  <w:style w:type="character" w:customStyle="1" w:styleId="294">
    <w:name w:val="书籍标题2"/>
    <w:qFormat/>
    <w:uiPriority w:val="0"/>
    <w:rPr>
      <w:b/>
      <w:bCs/>
      <w:smallCaps/>
      <w:spacing w:val="5"/>
    </w:rPr>
  </w:style>
  <w:style w:type="character" w:customStyle="1" w:styleId="295">
    <w:name w:val="明显强调2"/>
    <w:qFormat/>
    <w:uiPriority w:val="0"/>
    <w:rPr>
      <w:b/>
      <w:bCs/>
      <w:i/>
      <w:iCs/>
      <w:color w:val="4F81BD"/>
    </w:rPr>
  </w:style>
  <w:style w:type="character" w:customStyle="1" w:styleId="296">
    <w:name w:val="不明显参考2"/>
    <w:qFormat/>
    <w:uiPriority w:val="0"/>
    <w:rPr>
      <w:smallCaps/>
      <w:color w:val="C0504D"/>
      <w:u w:val="single"/>
    </w:rPr>
  </w:style>
  <w:style w:type="paragraph" w:customStyle="1" w:styleId="297">
    <w:name w:val="修订1"/>
    <w:qFormat/>
    <w:uiPriority w:val="0"/>
    <w:rPr>
      <w:rFonts w:ascii="Times New Roman" w:hAnsi="Times New Roman" w:eastAsia="宋体" w:cs="Times New Roman"/>
      <w:kern w:val="2"/>
      <w:sz w:val="21"/>
      <w:szCs w:val="24"/>
      <w:lang w:val="en-US" w:eastAsia="zh-CN" w:bidi="ar-SA"/>
    </w:rPr>
  </w:style>
  <w:style w:type="character" w:customStyle="1" w:styleId="298">
    <w:name w:val="明显引用 Char5"/>
    <w:basedOn w:val="51"/>
    <w:qFormat/>
    <w:uiPriority w:val="99"/>
    <w:rPr>
      <w:rFonts w:asciiTheme="minorHAnsi" w:hAnsiTheme="minorHAnsi" w:eastAsiaTheme="minorEastAsia" w:cstheme="minorBidi"/>
      <w:i/>
      <w:iCs/>
      <w:color w:val="5B9BD5" w:themeColor="accent1"/>
      <w:kern w:val="2"/>
      <w:sz w:val="21"/>
      <w:szCs w:val="24"/>
      <w14:textFill>
        <w14:solidFill>
          <w14:schemeClr w14:val="accent1"/>
        </w14:solidFill>
      </w14:textFill>
    </w:rPr>
  </w:style>
  <w:style w:type="paragraph" w:customStyle="1" w:styleId="299">
    <w:name w:val="样式 标题 3 + (中文) 黑体 小四 非加粗 段前: 7.8 磅 段后: 0 磅 行距: 固定值 20 磅"/>
    <w:basedOn w:val="5"/>
    <w:qFormat/>
    <w:uiPriority w:val="0"/>
    <w:pPr>
      <w:keepLines/>
      <w:numPr>
        <w:numId w:val="0"/>
      </w:numPr>
      <w:tabs>
        <w:tab w:val="clear" w:pos="840"/>
        <w:tab w:val="clear" w:pos="960"/>
      </w:tabs>
      <w:spacing w:line="400" w:lineRule="exact"/>
    </w:pPr>
    <w:rPr>
      <w:rFonts w:hint="default" w:ascii="Times New Roman" w:eastAsia="黑体" w:cs="宋体"/>
      <w:bCs w:val="0"/>
      <w:sz w:val="24"/>
    </w:rPr>
  </w:style>
  <w:style w:type="paragraph" w:customStyle="1" w:styleId="300">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301">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2">
    <w:name w:val="引用 Char3"/>
    <w:basedOn w:val="51"/>
    <w:qFormat/>
    <w:uiPriority w:val="99"/>
    <w:rPr>
      <w:rFonts w:asciiTheme="minorHAnsi" w:hAnsiTheme="minorHAnsi" w:eastAsiaTheme="minorEastAsia" w:cstheme="minorBidi"/>
      <w:i/>
      <w:iCs/>
      <w:color w:val="404040" w:themeColor="text1" w:themeTint="BF"/>
      <w:kern w:val="2"/>
      <w:sz w:val="21"/>
      <w:szCs w:val="24"/>
      <w14:textFill>
        <w14:solidFill>
          <w14:schemeClr w14:val="tx1">
            <w14:lumMod w14:val="75000"/>
            <w14:lumOff w14:val="25000"/>
          </w14:schemeClr>
        </w14:solidFill>
      </w14:textFill>
    </w:rPr>
  </w:style>
  <w:style w:type="paragraph" w:customStyle="1" w:styleId="303">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customStyle="1" w:styleId="304">
    <w:name w:val="样式 首行缩进:  2 字符"/>
    <w:basedOn w:val="1"/>
    <w:qFormat/>
    <w:uiPriority w:val="0"/>
    <w:pPr>
      <w:ind w:firstLine="560"/>
    </w:pPr>
    <w:rPr>
      <w:rFonts w:ascii="Times New Roman" w:hAnsi="Times New Roman" w:eastAsia="仿宋_GB2312" w:cs="宋体"/>
      <w:sz w:val="24"/>
      <w:szCs w:val="20"/>
    </w:rPr>
  </w:style>
  <w:style w:type="character" w:customStyle="1" w:styleId="305">
    <w:name w:val="apple-style-span"/>
    <w:basedOn w:val="51"/>
    <w:qFormat/>
    <w:uiPriority w:val="0"/>
  </w:style>
  <w:style w:type="paragraph" w:customStyle="1" w:styleId="306">
    <w:name w:val="xl66"/>
    <w:basedOn w:val="1"/>
    <w:qFormat/>
    <w:uiPriority w:val="0"/>
    <w:pPr>
      <w:widowControl/>
      <w:spacing w:before="100" w:beforeAutospacing="1" w:after="100" w:afterAutospacing="1"/>
      <w:jc w:val="left"/>
    </w:pPr>
    <w:rPr>
      <w:rFonts w:ascii="宋体" w:hAnsi="宋体" w:eastAsia="宋体" w:cs="宋体"/>
      <w:kern w:val="0"/>
      <w:sz w:val="32"/>
      <w:szCs w:val="32"/>
    </w:rPr>
  </w:style>
  <w:style w:type="paragraph" w:customStyle="1" w:styleId="307">
    <w:name w:val="xl67"/>
    <w:basedOn w:val="1"/>
    <w:qFormat/>
    <w:uiPriority w:val="0"/>
    <w:pPr>
      <w:widowControl/>
      <w:spacing w:before="100" w:beforeAutospacing="1" w:after="100" w:afterAutospacing="1"/>
      <w:jc w:val="center"/>
    </w:pPr>
    <w:rPr>
      <w:rFonts w:ascii="宋体" w:hAnsi="宋体" w:eastAsia="宋体" w:cs="宋体"/>
      <w:kern w:val="0"/>
      <w:sz w:val="32"/>
      <w:szCs w:val="32"/>
    </w:rPr>
  </w:style>
  <w:style w:type="paragraph" w:customStyle="1" w:styleId="308">
    <w:name w:val="xl68"/>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32"/>
      <w:szCs w:val="32"/>
    </w:rPr>
  </w:style>
  <w:style w:type="paragraph" w:customStyle="1" w:styleId="309">
    <w:name w:val="xl69"/>
    <w:basedOn w:val="1"/>
    <w:qFormat/>
    <w:uiPriority w:val="0"/>
    <w:pPr>
      <w:widowControl/>
      <w:pBdr>
        <w:bottom w:val="single" w:color="auto" w:sz="4" w:space="0"/>
      </w:pBdr>
      <w:spacing w:before="100" w:beforeAutospacing="1" w:after="100" w:afterAutospacing="1"/>
      <w:jc w:val="left"/>
      <w:textAlignment w:val="bottom"/>
    </w:pPr>
    <w:rPr>
      <w:rFonts w:ascii="宋体" w:hAnsi="宋体" w:eastAsia="宋体" w:cs="宋体"/>
      <w:kern w:val="0"/>
      <w:sz w:val="32"/>
      <w:szCs w:val="32"/>
    </w:rPr>
  </w:style>
  <w:style w:type="paragraph" w:customStyle="1" w:styleId="310">
    <w:name w:val="xl70"/>
    <w:basedOn w:val="1"/>
    <w:qFormat/>
    <w:uiPriority w:val="0"/>
    <w:pPr>
      <w:widowControl/>
      <w:pBdr>
        <w:bottom w:val="single" w:color="auto" w:sz="4" w:space="0"/>
      </w:pBdr>
      <w:spacing w:before="100" w:beforeAutospacing="1" w:after="100" w:afterAutospacing="1"/>
      <w:jc w:val="center"/>
      <w:textAlignment w:val="bottom"/>
    </w:pPr>
    <w:rPr>
      <w:rFonts w:ascii="宋体" w:hAnsi="宋体" w:eastAsia="宋体" w:cs="宋体"/>
      <w:kern w:val="0"/>
      <w:sz w:val="32"/>
      <w:szCs w:val="32"/>
    </w:rPr>
  </w:style>
  <w:style w:type="paragraph" w:customStyle="1" w:styleId="31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32"/>
      <w:szCs w:val="32"/>
    </w:rPr>
  </w:style>
  <w:style w:type="paragraph" w:customStyle="1" w:styleId="312">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32"/>
      <w:szCs w:val="32"/>
    </w:rPr>
  </w:style>
  <w:style w:type="paragraph" w:customStyle="1" w:styleId="31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32"/>
      <w:szCs w:val="32"/>
    </w:rPr>
  </w:style>
  <w:style w:type="paragraph" w:customStyle="1" w:styleId="3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32"/>
      <w:szCs w:val="32"/>
    </w:rPr>
  </w:style>
  <w:style w:type="paragraph" w:customStyle="1" w:styleId="3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32"/>
      <w:szCs w:val="32"/>
    </w:rPr>
  </w:style>
  <w:style w:type="paragraph" w:customStyle="1" w:styleId="3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32"/>
      <w:szCs w:val="32"/>
    </w:rPr>
  </w:style>
  <w:style w:type="paragraph" w:customStyle="1" w:styleId="3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32"/>
      <w:szCs w:val="32"/>
    </w:rPr>
  </w:style>
  <w:style w:type="paragraph" w:customStyle="1" w:styleId="3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32"/>
      <w:szCs w:val="32"/>
    </w:rPr>
  </w:style>
  <w:style w:type="paragraph" w:customStyle="1" w:styleId="325">
    <w:name w:val="xl85"/>
    <w:basedOn w:val="1"/>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326">
    <w:name w:val="标题二、"/>
    <w:basedOn w:val="1"/>
    <w:qFormat/>
    <w:uiPriority w:val="0"/>
    <w:pPr>
      <w:spacing w:line="360" w:lineRule="auto"/>
      <w:ind w:firstLine="200" w:firstLineChars="200"/>
      <w:outlineLvl w:val="2"/>
    </w:pPr>
    <w:rPr>
      <w:rFonts w:ascii="宋体" w:hAnsi="宋体" w:eastAsia="宋体" w:cs="Times New Roman"/>
      <w:b/>
      <w:szCs w:val="21"/>
    </w:rPr>
  </w:style>
  <w:style w:type="paragraph" w:customStyle="1" w:styleId="327">
    <w:name w:val="Table Paragraph"/>
    <w:basedOn w:val="1"/>
    <w:qFormat/>
    <w:uiPriority w:val="1"/>
    <w:rPr>
      <w:rFonts w:ascii="宋体" w:hAnsi="宋体" w:eastAsia="宋体" w:cs="宋体"/>
    </w:rPr>
  </w:style>
  <w:style w:type="paragraph" w:customStyle="1" w:styleId="328">
    <w:name w:val="我"/>
    <w:basedOn w:val="1"/>
    <w:qFormat/>
    <w:uiPriority w:val="99"/>
    <w:pPr>
      <w:spacing w:line="360" w:lineRule="auto"/>
      <w:jc w:val="center"/>
      <w:outlineLvl w:val="0"/>
    </w:pPr>
    <w:rPr>
      <w:b/>
      <w:color w:val="000000"/>
      <w:kern w:val="10"/>
      <w:sz w:val="48"/>
      <w:szCs w:val="48"/>
    </w:rPr>
  </w:style>
  <w:style w:type="character" w:customStyle="1" w:styleId="329">
    <w:name w:val="font51"/>
    <w:basedOn w:val="51"/>
    <w:qFormat/>
    <w:uiPriority w:val="0"/>
    <w:rPr>
      <w:rFonts w:hint="default" w:ascii="Times New Roman" w:hAnsi="Times New Roman" w:cs="Times New Roman"/>
      <w:color w:val="000000"/>
      <w:sz w:val="22"/>
      <w:szCs w:val="22"/>
      <w:u w:val="none"/>
    </w:rPr>
  </w:style>
  <w:style w:type="character" w:customStyle="1" w:styleId="330">
    <w:name w:val="font61"/>
    <w:basedOn w:val="51"/>
    <w:qFormat/>
    <w:uiPriority w:val="0"/>
    <w:rPr>
      <w:rFonts w:hint="default" w:ascii="Times New Roman" w:hAnsi="Times New Roman" w:cs="Times New Roman"/>
      <w:color w:val="000000"/>
      <w:sz w:val="22"/>
      <w:szCs w:val="22"/>
      <w:u w:val="none"/>
    </w:rPr>
  </w:style>
  <w:style w:type="table" w:customStyle="1" w:styleId="331">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8C72C-2E55-4E39-9D95-C14EECFCD301}">
  <ds:schemaRefs/>
</ds:datastoreItem>
</file>

<file path=docProps/app.xml><?xml version="1.0" encoding="utf-8"?>
<Properties xmlns="http://schemas.openxmlformats.org/officeDocument/2006/extended-properties" xmlns:vt="http://schemas.openxmlformats.org/officeDocument/2006/docPropsVTypes">
  <Template>Normal</Template>
  <Pages>85</Pages>
  <Words>33428</Words>
  <Characters>37247</Characters>
  <Lines>160</Lines>
  <Paragraphs>45</Paragraphs>
  <TotalTime>1</TotalTime>
  <ScaleCrop>false</ScaleCrop>
  <LinksUpToDate>false</LinksUpToDate>
  <CharactersWithSpaces>40689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2020-05-14T08:45:00Z</dcterms:created>
  <dc:creator>lenovo</dc:creator>
  <cp:lastModifiedBy>毅诺</cp:lastModifiedBy>
  <cp:lastPrinted>2023-08-02T01:03:18Z</cp:lastPrinted>
  <dcterms:modified xsi:type="dcterms:W3CDTF">2023-08-02T01:15:14Z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353085607_btnclosed</vt:lpwstr>
  </property>
  <property fmtid="{D5CDD505-2E9C-101B-9397-08002B2CF9AE}" pid="4" name="ICV">
    <vt:lpwstr>565248FA791A495CB0420B9B1FF98A64</vt:lpwstr>
  </property>
</Properties>
</file>