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highlight w:val="none"/>
          <w:lang w:val="en-US" w:eastAsia="zh-CN"/>
        </w:rPr>
      </w:pPr>
    </w:p>
    <w:p>
      <w:pPr>
        <w:rPr>
          <w:rFonts w:hint="eastAsia" w:ascii="宋体" w:hAnsi="宋体" w:eastAsia="宋体" w:cs="宋体"/>
          <w:b/>
          <w:bCs/>
          <w:color w:val="auto"/>
          <w:w w:val="90"/>
          <w:kern w:val="16"/>
          <w:sz w:val="44"/>
          <w:szCs w:val="44"/>
          <w:highlight w:val="none"/>
        </w:rPr>
      </w:pPr>
      <w:r>
        <w:rPr>
          <w:rFonts w:hint="eastAsia" w:ascii="宋体" w:hAnsi="宋体" w:eastAsia="宋体" w:cs="宋体"/>
          <w:b/>
          <w:bCs/>
          <w:color w:val="auto"/>
          <w:w w:val="90"/>
          <w:kern w:val="16"/>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52"/>
          <w:szCs w:val="52"/>
          <w:highlight w:val="none"/>
          <w:lang w:eastAsia="zh-CN"/>
        </w:rPr>
      </w:pPr>
      <w:bookmarkStart w:id="0" w:name="_Toc381880843"/>
      <w:r>
        <w:rPr>
          <w:rFonts w:hint="eastAsia" w:ascii="宋体" w:hAnsi="宋体" w:eastAsia="宋体" w:cs="宋体"/>
          <w:b/>
          <w:bCs w:val="0"/>
          <w:color w:val="auto"/>
          <w:sz w:val="56"/>
          <w:szCs w:val="56"/>
          <w:highlight w:val="none"/>
          <w:lang w:eastAsia="zh-CN"/>
        </w:rPr>
        <w:t>邹城市石墙镇上九山村排水渠建设项目</w:t>
      </w:r>
    </w:p>
    <w:bookmarkEnd w:id="0"/>
    <w:p>
      <w:pPr>
        <w:jc w:val="cente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ascii="宋体" w:hAnsi="宋体" w:eastAsia="宋体" w:cs="宋体"/>
          <w:color w:val="auto"/>
          <w:sz w:val="13"/>
          <w:szCs w:val="16"/>
          <w:highlight w:val="none"/>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lang w:eastAsia="zh-CN"/>
        </w:rPr>
        <w:t>竞争性磋商文件</w:t>
      </w:r>
    </w:p>
    <w:p>
      <w:pPr>
        <w:pStyle w:val="6"/>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val="en-US" w:eastAsia="zh-CN"/>
        </w:rPr>
        <w:t>ZCTW-2023-021</w:t>
      </w:r>
    </w:p>
    <w:p>
      <w:pPr>
        <w:pStyle w:val="6"/>
        <w:jc w:val="center"/>
        <w:rPr>
          <w:rFonts w:hint="eastAsia" w:ascii="宋体" w:hAnsi="宋体" w:eastAsia="宋体" w:cs="宋体"/>
          <w:b/>
          <w:color w:val="auto"/>
          <w:sz w:val="28"/>
          <w:szCs w:val="21"/>
          <w:highlight w:val="none"/>
          <w:lang w:val="en-US" w:eastAsia="zh-CN"/>
        </w:rPr>
      </w:pPr>
    </w:p>
    <w:p>
      <w:pPr>
        <w:pStyle w:val="6"/>
        <w:jc w:val="center"/>
        <w:rPr>
          <w:rFonts w:hint="eastAsia" w:ascii="宋体" w:hAnsi="宋体" w:eastAsia="宋体" w:cs="宋体"/>
          <w:b/>
          <w:color w:val="auto"/>
          <w:sz w:val="28"/>
          <w:szCs w:val="21"/>
          <w:highlight w:val="none"/>
          <w:lang w:val="en-US" w:eastAsia="zh-CN"/>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bCs/>
          <w:color w:val="auto"/>
          <w:kern w:val="16"/>
          <w:sz w:val="36"/>
          <w:szCs w:val="36"/>
          <w:highlight w:val="none"/>
          <w:lang w:eastAsia="zh-CN"/>
        </w:rPr>
      </w:pPr>
    </w:p>
    <w:p>
      <w:pPr>
        <w:jc w:val="center"/>
        <w:rPr>
          <w:rFonts w:hint="eastAsia" w:ascii="宋体" w:hAnsi="宋体" w:eastAsia="宋体" w:cs="宋体"/>
          <w:b/>
          <w:bCs/>
          <w:color w:val="auto"/>
          <w:kern w:val="16"/>
          <w:sz w:val="36"/>
          <w:szCs w:val="36"/>
          <w:highlight w:val="none"/>
          <w:lang w:eastAsia="zh-CN"/>
        </w:rPr>
      </w:pPr>
    </w:p>
    <w:p>
      <w:pPr>
        <w:jc w:val="both"/>
        <w:rPr>
          <w:rFonts w:hint="eastAsia" w:ascii="宋体" w:hAnsi="宋体" w:eastAsia="宋体" w:cs="宋体"/>
          <w:b/>
          <w:bCs/>
          <w:color w:val="auto"/>
          <w:kern w:val="16"/>
          <w:sz w:val="36"/>
          <w:szCs w:val="36"/>
          <w:highlight w:val="none"/>
          <w:lang w:eastAsia="zh-CN"/>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邹城市石墙镇人民政府</w:t>
      </w:r>
    </w:p>
    <w:p>
      <w:pPr>
        <w:pStyle w:val="13"/>
        <w:spacing w:line="6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代理机构：</w:t>
      </w:r>
      <w:r>
        <w:rPr>
          <w:rFonts w:hint="eastAsia" w:ascii="宋体" w:hAnsi="宋体" w:eastAsia="宋体" w:cs="宋体"/>
          <w:b/>
          <w:color w:val="auto"/>
          <w:sz w:val="32"/>
          <w:szCs w:val="32"/>
          <w:highlight w:val="none"/>
          <w:lang w:val="zh-CN" w:eastAsia="zh-CN"/>
        </w:rPr>
        <w:t>邹城天伟工程管理咨询有限公司</w:t>
      </w:r>
    </w:p>
    <w:p>
      <w:pPr>
        <w:tabs>
          <w:tab w:val="left" w:pos="1080"/>
        </w:tabs>
        <w:snapToGrid w:val="0"/>
        <w:spacing w:line="640" w:lineRule="exact"/>
        <w:jc w:val="center"/>
        <w:rPr>
          <w:rFonts w:hint="eastAsia" w:ascii="宋体" w:hAnsi="宋体" w:eastAsia="宋体" w:cs="宋体"/>
          <w:bCs/>
          <w:color w:val="auto"/>
          <w:sz w:val="36"/>
          <w:szCs w:val="36"/>
          <w:highlight w:val="none"/>
        </w:rPr>
      </w:pPr>
      <w:r>
        <w:rPr>
          <w:rFonts w:hint="eastAsia" w:ascii="宋体" w:hAnsi="宋体" w:eastAsia="宋体" w:cs="宋体"/>
          <w:b/>
          <w:color w:val="auto"/>
          <w:sz w:val="32"/>
          <w:szCs w:val="32"/>
          <w:highlight w:val="none"/>
        </w:rPr>
        <w:t>日    期：二○二</w:t>
      </w: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月</w:t>
      </w:r>
    </w:p>
    <w:p>
      <w:pPr>
        <w:tabs>
          <w:tab w:val="left" w:pos="1080"/>
        </w:tabs>
        <w:snapToGrid w:val="0"/>
        <w:spacing w:line="360" w:lineRule="auto"/>
        <w:jc w:val="center"/>
        <w:rPr>
          <w:rFonts w:hint="eastAsia" w:ascii="宋体" w:hAnsi="宋体" w:eastAsia="宋体" w:cs="宋体"/>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59"/>
      <w:bookmarkStart w:id="2" w:name="_Hlt496178532"/>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75998"/>
      <w:bookmarkStart w:id="4" w:name="_Hlt496185565"/>
      <w:bookmarkStart w:id="5" w:name="_Hlt496175997"/>
      <w:bookmarkStart w:id="6" w:name="_Hlt496185564"/>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pPr>
        <w:spacing w:line="360" w:lineRule="auto"/>
        <w:jc w:val="center"/>
        <w:outlineLvl w:val="0"/>
        <w:rPr>
          <w:rFonts w:hint="eastAsia" w:ascii="宋体" w:hAnsi="宋体" w:eastAsia="宋体" w:cs="宋体"/>
          <w:b/>
          <w:color w:val="auto"/>
          <w:sz w:val="24"/>
          <w:szCs w:val="24"/>
          <w:highlight w:val="none"/>
        </w:rPr>
        <w:sectPr>
          <w:footerReference r:id="rId10" w:type="first"/>
          <w:footerReference r:id="rId9" w:type="default"/>
          <w:pgSz w:w="11906" w:h="16838"/>
          <w:pgMar w:top="1134" w:right="1134" w:bottom="1134" w:left="1134" w:header="851" w:footer="992" w:gutter="0"/>
          <w:pgNumType w:start="1"/>
          <w:cols w:space="720" w:num="1"/>
          <w:docGrid w:type="lines" w:linePitch="286" w:charSpace="0"/>
        </w:sectPr>
      </w:pPr>
      <w:bookmarkStart w:id="7" w:name="_Toc15040"/>
      <w:bookmarkStart w:id="8" w:name="_Toc10775"/>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邹城市石墙镇上九山村排水渠建设项目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ZCTW-2023-021</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邹城市石墙镇上九山村排水渠建设项目</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主要包括：上九山挖沟槽土方399m3、回填方1637m3、石砌边沟280m、C25混凝土压顶22.4m3、浆砌坡脚135m3、片石护坡217.21m3、急流槽(预留）2个、路侧排水口26个等工程内容；，采购预算（控制价）为294817.73元</w:t>
      </w:r>
      <w:r>
        <w:rPr>
          <w:rFonts w:hint="eastAsia" w:ascii="宋体" w:hAnsi="宋体" w:eastAsia="宋体" w:cs="宋体"/>
          <w:color w:val="auto"/>
          <w:sz w:val="24"/>
          <w:szCs w:val="24"/>
          <w:highlight w:val="none"/>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eastAsia="宋体" w:cs="宋体"/>
          <w:b/>
          <w:bCs/>
          <w:color w:val="auto"/>
          <w:kern w:val="0"/>
          <w:sz w:val="24"/>
          <w:szCs w:val="24"/>
          <w:highlight w:val="none"/>
          <w:u w:val="single"/>
          <w:lang w:eastAsia="zh-CN"/>
        </w:rPr>
        <w:t>市政公用工程施工总承包叁级及以上资质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eastAsia="宋体" w:cs="宋体"/>
          <w:b/>
          <w:bCs/>
          <w:color w:val="auto"/>
          <w:kern w:val="0"/>
          <w:sz w:val="24"/>
          <w:szCs w:val="24"/>
          <w:highlight w:val="none"/>
          <w:u w:val="single"/>
          <w:lang w:eastAsia="zh-CN"/>
        </w:rPr>
        <w:t>市政公用工程专业贰级</w:t>
      </w:r>
      <w:r>
        <w:rPr>
          <w:rFonts w:hint="eastAsia" w:ascii="宋体" w:hAnsi="宋体" w:eastAsia="宋体" w:cs="宋体"/>
          <w:b/>
          <w:bCs/>
          <w:color w:val="auto"/>
          <w:kern w:val="0"/>
          <w:sz w:val="24"/>
          <w:szCs w:val="24"/>
          <w:highlight w:val="none"/>
          <w:u w:val="single"/>
        </w:rPr>
        <w:t>及以上注册建造师执业资格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3、供应商在递交响应文件时需同时提供</w:t>
      </w:r>
      <w:r>
        <w:rPr>
          <w:rFonts w:hint="eastAsia" w:ascii="宋体" w:hAnsi="宋体" w:eastAsia="宋体" w:cs="宋体"/>
          <w:b/>
          <w:bCs/>
          <w:color w:val="auto"/>
          <w:kern w:val="0"/>
          <w:sz w:val="24"/>
          <w:szCs w:val="24"/>
          <w:highlight w:val="none"/>
          <w:u w:val="singl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eastAsia="宋体" w:cs="宋体"/>
          <w:b/>
          <w:bCs/>
          <w:color w:val="auto"/>
          <w:kern w:val="0"/>
          <w:sz w:val="24"/>
          <w:szCs w:val="24"/>
          <w:highlight w:val="none"/>
          <w:u w:val="single"/>
          <w:lang w:val="en-US" w:eastAsia="zh-CN"/>
        </w:rPr>
        <w:t>以及评审办法中需要提供的验证资料</w:t>
      </w:r>
      <w:r>
        <w:rPr>
          <w:rFonts w:hint="eastAsia" w:ascii="宋体" w:hAnsi="宋体" w:eastAsia="宋体" w:cs="宋体"/>
          <w:b/>
          <w:bCs/>
          <w:color w:val="auto"/>
          <w:kern w:val="0"/>
          <w:sz w:val="24"/>
          <w:szCs w:val="24"/>
          <w:highlight w:val="none"/>
          <w:u w:val="single"/>
        </w:rPr>
        <w:t>。</w:t>
      </w:r>
      <w:r>
        <w:rPr>
          <w:rFonts w:hint="eastAsia" w:ascii="宋体" w:hAnsi="宋体" w:eastAsia="宋体" w:cs="宋体"/>
          <w:b/>
          <w:bCs/>
          <w:color w:val="auto"/>
          <w:sz w:val="24"/>
          <w:szCs w:val="24"/>
          <w:highlight w:val="none"/>
        </w:rPr>
        <w:t>供应商在磋商时未按上述要求提供证明材料的，磋商小组根据竞争性磋商文件规定否决其磋商响应文件，</w:t>
      </w:r>
      <w:r>
        <w:rPr>
          <w:rFonts w:hint="eastAsia" w:ascii="宋体" w:hAnsi="宋体" w:eastAsia="宋体" w:cs="宋体"/>
          <w:b/>
          <w:bCs/>
          <w:color w:val="auto"/>
          <w:sz w:val="24"/>
          <w:szCs w:val="24"/>
          <w:highlight w:val="none"/>
          <w:lang w:val="en-US" w:eastAsia="zh-CN"/>
        </w:rPr>
        <w:t>涉及评审办法的，将不予计分</w:t>
      </w:r>
      <w:r>
        <w:rPr>
          <w:rFonts w:hint="eastAsia" w:ascii="宋体" w:hAnsi="宋体" w:eastAsia="宋体" w:cs="宋体"/>
          <w:b/>
          <w:bCs/>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eastAsia="宋体" w:cs="宋体"/>
          <w:color w:val="auto"/>
          <w:sz w:val="24"/>
          <w:szCs w:val="24"/>
          <w:highlight w:val="none"/>
          <w:u w:val="single"/>
          <w:lang w:eastAsia="zh-CN"/>
        </w:rPr>
        <w:t>2023年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lang w:eastAsia="zh-CN"/>
        </w:rPr>
        <w:t>日-2023年</w:t>
      </w:r>
      <w:r>
        <w:rPr>
          <w:rFonts w:hint="eastAsia" w:ascii="宋体" w:hAnsi="宋体" w:eastAsia="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于</w:t>
      </w:r>
      <w:r>
        <w:rPr>
          <w:rFonts w:hint="eastAsia" w:ascii="宋体" w:hAnsi="宋体" w:eastAsia="宋体" w:cs="宋体"/>
          <w:b/>
          <w:bCs/>
          <w:color w:val="auto"/>
          <w:sz w:val="24"/>
          <w:szCs w:val="24"/>
          <w:highlight w:val="none"/>
          <w:u w:val="single"/>
          <w:lang w:val="en-US" w:eastAsia="zh-CN"/>
        </w:rPr>
        <w:t>2023年0</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04</w:t>
      </w:r>
      <w:r>
        <w:rPr>
          <w:rFonts w:hint="eastAsia" w:ascii="宋体" w:hAnsi="宋体" w:eastAsia="宋体" w:cs="宋体"/>
          <w:b/>
          <w:bCs/>
          <w:color w:val="auto"/>
          <w:sz w:val="24"/>
          <w:szCs w:val="24"/>
          <w:highlight w:val="none"/>
          <w:u w:val="single"/>
          <w:lang w:val="en-US" w:eastAsia="zh-CN"/>
        </w:rPr>
        <w:t xml:space="preserve">日 </w:t>
      </w:r>
      <w:r>
        <w:rPr>
          <w:rFonts w:hint="eastAsia" w:ascii="宋体" w:hAnsi="宋体" w:cs="宋体"/>
          <w:b/>
          <w:bCs/>
          <w:color w:val="auto"/>
          <w:sz w:val="24"/>
          <w:szCs w:val="24"/>
          <w:highlight w:val="none"/>
          <w:u w:val="single"/>
          <w:lang w:val="en-US" w:eastAsia="zh-CN"/>
        </w:rPr>
        <w:t>09</w:t>
      </w:r>
      <w:r>
        <w:rPr>
          <w:rFonts w:hint="eastAsia" w:ascii="宋体" w:hAnsi="宋体" w:eastAsia="宋体" w:cs="宋体"/>
          <w:b/>
          <w:bCs/>
          <w:color w:val="auto"/>
          <w:sz w:val="24"/>
          <w:szCs w:val="24"/>
          <w:highlight w:val="none"/>
          <w:u w:val="single"/>
          <w:lang w:val="en-US" w:eastAsia="zh-CN"/>
        </w:rPr>
        <w:t xml:space="preserve"> 时 00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eastAsia="宋体" w:cs="宋体"/>
          <w:color w:val="auto"/>
          <w:sz w:val="24"/>
          <w:szCs w:val="24"/>
          <w:highlight w:val="none"/>
          <w:lang w:eastAsia="zh-CN"/>
        </w:rPr>
        <w:t>邹城市石墙镇公共资源交易中心开标室</w:t>
      </w:r>
      <w:r>
        <w:rPr>
          <w:rFonts w:hint="eastAsia" w:ascii="宋体" w:hAnsi="宋体" w:eastAsia="宋体" w:cs="宋体"/>
          <w:color w:val="auto"/>
          <w:sz w:val="24"/>
          <w:szCs w:val="24"/>
          <w:highlight w:val="none"/>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2023年0</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lang w:val="en-US" w:eastAsia="zh-CN"/>
        </w:rPr>
        <w:t xml:space="preserve">日 </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en-US" w:eastAsia="zh-CN"/>
        </w:rPr>
        <w:t xml:space="preserve"> 时 00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lang w:eastAsia="zh-CN"/>
        </w:rPr>
        <w:t>邹城市石墙镇公共资源交易中心开标室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eastAsia="宋体" w:cs="宋体"/>
          <w:color w:val="auto"/>
          <w:sz w:val="24"/>
          <w:szCs w:val="24"/>
          <w:highlight w:val="none"/>
          <w:u w:val="single"/>
          <w:lang w:eastAsia="zh-CN"/>
        </w:rPr>
        <w:t>邹城市石墙镇人民政府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eastAsia="zh-CN"/>
        </w:rPr>
        <w:t>邹城市石墙镇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single"/>
          <w:lang w:eastAsia="zh-CN"/>
        </w:rPr>
        <w:t>郑主任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13792391130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u w:val="singl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val="en-US" w:eastAsia="zh-CN"/>
        </w:rPr>
        <w:t>邹城市万德广场1号楼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eastAsia="宋体" w:cs="宋体"/>
          <w:color w:val="auto"/>
          <w:sz w:val="24"/>
          <w:szCs w:val="24"/>
          <w:highlight w:val="none"/>
          <w:u w:val="single"/>
          <w:lang w:eastAsia="zh-CN"/>
        </w:rPr>
        <w:t>孙福鹏</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邹城市石墙镇人民政府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2023年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1、“采购人”系指：</w:t>
      </w:r>
      <w:r>
        <w:rPr>
          <w:rFonts w:hint="eastAsia" w:ascii="宋体" w:hAnsi="宋体" w:eastAsia="宋体" w:cs="宋体"/>
          <w:b w:val="0"/>
          <w:bCs/>
          <w:color w:val="auto"/>
          <w:szCs w:val="21"/>
          <w:highlight w:val="none"/>
          <w:lang w:eastAsia="zh-CN"/>
        </w:rPr>
        <w:t>邹城市石墙镇人民政府</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2、“代理机构”系指：</w:t>
      </w:r>
      <w:r>
        <w:rPr>
          <w:rFonts w:hint="eastAsia" w:ascii="宋体" w:hAnsi="宋体" w:eastAsia="宋体" w:cs="宋体"/>
          <w:b w:val="0"/>
          <w:bCs/>
          <w:color w:val="auto"/>
          <w:szCs w:val="21"/>
          <w:highlight w:val="none"/>
          <w:lang w:eastAsia="zh-CN"/>
        </w:rPr>
        <w:t>邹城天伟工程管理咨询有限公司</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3、“响应供应商”系指参与磋商并向采购人提交磋商响应文件的单位；</w:t>
      </w: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4、“成交供应商”系指经法定程序确定并授予合同的响应供应商。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24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pPr>
        <w:pStyle w:val="2"/>
        <w:spacing w:line="240" w:lineRule="auto"/>
        <w:ind w:firstLine="420"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（一）具有独立承担民事责任的能力；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（二）具有良好的商业信誉和健全的财务会计制度；</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（三）具有履行合同所必需的货物和专业技术能力；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（四）有依法缴纳税收和社会保障资金的良好记录；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（五）参加政府采购活动前三年内，在经营活动中没有重大违法记录；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（六）法律、行政法规规定的其他条件。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要求供应商须具备</w:t>
      </w:r>
      <w:r>
        <w:rPr>
          <w:rFonts w:hint="eastAsia" w:ascii="宋体" w:hAnsi="宋体" w:eastAsia="宋体" w:cs="宋体"/>
          <w:b/>
          <w:bCs/>
          <w:color w:val="auto"/>
          <w:kern w:val="0"/>
          <w:sz w:val="21"/>
          <w:szCs w:val="21"/>
          <w:highlight w:val="none"/>
          <w:u w:val="single"/>
          <w:lang w:eastAsia="zh-CN"/>
        </w:rPr>
        <w:t>市政公用工程施工总承包叁级及以上资质</w:t>
      </w:r>
      <w:r>
        <w:rPr>
          <w:rFonts w:hint="eastAsia" w:ascii="宋体" w:hAnsi="宋体" w:eastAsia="宋体" w:cs="宋体"/>
          <w:color w:val="auto"/>
          <w:kern w:val="0"/>
          <w:sz w:val="21"/>
          <w:szCs w:val="21"/>
          <w:highlight w:val="none"/>
        </w:rPr>
        <w:t>，并在人员、设备、资金等方面具有相应的施工能力，无拖欠农民工工资的不良行为。其中，</w:t>
      </w:r>
      <w:r>
        <w:rPr>
          <w:rFonts w:hint="eastAsia" w:ascii="宋体" w:hAnsi="宋体" w:eastAsia="宋体" w:cs="宋体"/>
          <w:b/>
          <w:bCs/>
          <w:color w:val="auto"/>
          <w:kern w:val="0"/>
          <w:sz w:val="21"/>
          <w:szCs w:val="21"/>
          <w:highlight w:val="none"/>
          <w:u w:val="single"/>
        </w:rPr>
        <w:t>供应商拟派项目经理须具备</w:t>
      </w:r>
      <w:r>
        <w:rPr>
          <w:rFonts w:hint="eastAsia" w:ascii="宋体" w:hAnsi="宋体" w:eastAsia="宋体" w:cs="宋体"/>
          <w:b/>
          <w:bCs/>
          <w:color w:val="auto"/>
          <w:kern w:val="0"/>
          <w:sz w:val="21"/>
          <w:szCs w:val="21"/>
          <w:highlight w:val="none"/>
          <w:u w:val="single"/>
          <w:lang w:eastAsia="zh-CN"/>
        </w:rPr>
        <w:t>市政公用工程专业贰级</w:t>
      </w:r>
      <w:r>
        <w:rPr>
          <w:rFonts w:hint="eastAsia" w:ascii="宋体" w:hAnsi="宋体" w:eastAsia="宋体" w:cs="宋体"/>
          <w:b/>
          <w:bCs/>
          <w:color w:val="auto"/>
          <w:kern w:val="0"/>
          <w:sz w:val="21"/>
          <w:szCs w:val="21"/>
          <w:highlight w:val="none"/>
          <w:u w:val="single"/>
        </w:rPr>
        <w:t>及以上注册建造师执业资格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3、供应商在递交响应文件时需同时提供</w:t>
      </w:r>
      <w:r>
        <w:rPr>
          <w:rFonts w:hint="eastAsia" w:ascii="宋体" w:hAnsi="宋体" w:eastAsia="宋体" w:cs="宋体"/>
          <w:b/>
          <w:bCs/>
          <w:color w:val="auto"/>
          <w:kern w:val="0"/>
          <w:sz w:val="21"/>
          <w:szCs w:val="21"/>
          <w:highlight w:val="non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eastAsia="宋体" w:cs="宋体"/>
          <w:b/>
          <w:bCs/>
          <w:color w:val="auto"/>
          <w:kern w:val="0"/>
          <w:sz w:val="21"/>
          <w:szCs w:val="21"/>
          <w:highlight w:val="none"/>
          <w:lang w:val="en-US" w:eastAsia="zh-CN"/>
        </w:rPr>
        <w:t>以及评审办法中需要提供的验证资料</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供应商在磋商时未按上述要求提供证明材料的，磋商小组根据竞争性磋商文件规定否决其磋商响应文件，</w:t>
      </w:r>
      <w:r>
        <w:rPr>
          <w:rFonts w:hint="eastAsia" w:ascii="宋体" w:hAnsi="宋体" w:eastAsia="宋体" w:cs="宋体"/>
          <w:b/>
          <w:bCs/>
          <w:color w:val="auto"/>
          <w:sz w:val="21"/>
          <w:szCs w:val="21"/>
          <w:highlight w:val="none"/>
          <w:lang w:val="en-US" w:eastAsia="zh-CN"/>
        </w:rPr>
        <w:t>涉及评审办法的，将不予计分</w:t>
      </w:r>
      <w:r>
        <w:rPr>
          <w:rFonts w:hint="eastAsia" w:ascii="宋体" w:hAnsi="宋体" w:eastAsia="宋体" w:cs="宋体"/>
          <w:b/>
          <w:bCs/>
          <w:color w:val="auto"/>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eastAsia="宋体" w:cs="宋体"/>
          <w:b w:val="0"/>
          <w:bCs/>
          <w:color w:val="auto"/>
          <w:szCs w:val="21"/>
          <w:highlight w:val="none"/>
          <w:lang w:eastAsia="zh-CN"/>
        </w:rPr>
        <w:t>zcntgczx@163.com</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五、项目管理机构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六、供应商资信资料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七、</w:t>
      </w:r>
      <w:r>
        <w:rPr>
          <w:rFonts w:hint="eastAsia" w:ascii="宋体" w:hAnsi="宋体" w:eastAsia="宋体" w:cs="宋体"/>
          <w:b w:val="0"/>
          <w:bCs/>
          <w:color w:val="auto"/>
          <w:szCs w:val="21"/>
          <w:highlight w:val="none"/>
          <w:lang w:val="en-US" w:eastAsia="zh-CN"/>
        </w:rPr>
        <w:t>资格审查资料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八、建设工程扬尘治理工作承诺书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九、其他资料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2、供应商应准备磋商响应文件五份，一份正本和四份副本。在每一份磋商响应文件上要明确注明“正本”或“副本”字样，一旦正本和副本有差异，以正本为准；</w:t>
      </w:r>
      <w:bookmarkStart w:id="89" w:name="_GoBack"/>
      <w:bookmarkEnd w:id="89"/>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1、磋商响应文件应于2023年</w:t>
      </w:r>
      <w:r>
        <w:rPr>
          <w:rFonts w:hint="eastAsia" w:ascii="宋体" w:hAnsi="宋体" w:eastAsia="宋体" w:cs="宋体"/>
          <w:b w:val="0"/>
          <w:bCs/>
          <w:color w:val="auto"/>
          <w:szCs w:val="21"/>
          <w:highlight w:val="none"/>
          <w:lang w:val="en-US" w:eastAsia="zh-CN"/>
        </w:rPr>
        <w:t>0</w:t>
      </w:r>
      <w:r>
        <w:rPr>
          <w:rFonts w:hint="eastAsia" w:ascii="宋体" w:hAnsi="宋体" w:cs="宋体"/>
          <w:b w:val="0"/>
          <w:bCs/>
          <w:color w:val="auto"/>
          <w:szCs w:val="21"/>
          <w:highlight w:val="none"/>
          <w:lang w:val="en-US" w:eastAsia="zh-CN"/>
        </w:rPr>
        <w:t>8</w:t>
      </w:r>
      <w:r>
        <w:rPr>
          <w:rFonts w:hint="eastAsia" w:ascii="宋体" w:hAnsi="宋体" w:eastAsia="宋体" w:cs="宋体"/>
          <w:b w:val="0"/>
          <w:bCs/>
          <w:color w:val="auto"/>
          <w:szCs w:val="21"/>
          <w:highlight w:val="none"/>
          <w:lang w:eastAsia="zh-CN"/>
        </w:rPr>
        <w:t>月</w:t>
      </w:r>
      <w:r>
        <w:rPr>
          <w:rFonts w:hint="eastAsia" w:ascii="宋体" w:hAnsi="宋体" w:cs="宋体"/>
          <w:b w:val="0"/>
          <w:bCs/>
          <w:color w:val="auto"/>
          <w:szCs w:val="21"/>
          <w:highlight w:val="none"/>
          <w:lang w:val="en-US" w:eastAsia="zh-CN"/>
        </w:rPr>
        <w:t>04</w:t>
      </w:r>
      <w:r>
        <w:rPr>
          <w:rFonts w:hint="eastAsia" w:ascii="宋体" w:hAnsi="宋体" w:eastAsia="宋体" w:cs="宋体"/>
          <w:b w:val="0"/>
          <w:bCs/>
          <w:color w:val="auto"/>
          <w:szCs w:val="21"/>
          <w:highlight w:val="none"/>
          <w:lang w:eastAsia="zh-CN"/>
        </w:rPr>
        <w:t>日</w:t>
      </w:r>
      <w:r>
        <w:rPr>
          <w:rFonts w:hint="eastAsia" w:ascii="宋体" w:hAnsi="宋体" w:cs="宋体"/>
          <w:b w:val="0"/>
          <w:bCs/>
          <w:color w:val="auto"/>
          <w:szCs w:val="21"/>
          <w:highlight w:val="none"/>
          <w:lang w:val="en-US" w:eastAsia="zh-CN"/>
        </w:rPr>
        <w:t>09</w:t>
      </w:r>
      <w:r>
        <w:rPr>
          <w:rFonts w:hint="eastAsia" w:ascii="宋体" w:hAnsi="宋体" w:eastAsia="宋体" w:cs="宋体"/>
          <w:b w:val="0"/>
          <w:bCs/>
          <w:color w:val="auto"/>
          <w:szCs w:val="21"/>
          <w:highlight w:val="none"/>
          <w:lang w:eastAsia="zh-CN"/>
        </w:rPr>
        <w:t>时</w:t>
      </w:r>
      <w:r>
        <w:rPr>
          <w:rFonts w:hint="eastAsia" w:ascii="宋体" w:hAnsi="宋体" w:eastAsia="宋体" w:cs="宋体"/>
          <w:b w:val="0"/>
          <w:bCs/>
          <w:color w:val="auto"/>
          <w:szCs w:val="21"/>
          <w:highlight w:val="none"/>
          <w:lang w:val="en-US" w:eastAsia="zh-CN"/>
        </w:rPr>
        <w:t>00</w:t>
      </w:r>
      <w:r>
        <w:rPr>
          <w:rFonts w:hint="eastAsia" w:ascii="宋体" w:hAnsi="宋体" w:eastAsia="宋体" w:cs="宋体"/>
          <w:b w:val="0"/>
          <w:bCs/>
          <w:color w:val="auto"/>
          <w:szCs w:val="21"/>
          <w:highlight w:val="none"/>
          <w:lang w:eastAsia="zh-CN"/>
        </w:rPr>
        <w:t>分前递交至邹城市石墙镇公共资源交易中心开标室。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6、采购预算（控制价）为294817.73元。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auto"/>
          <w:szCs w:val="21"/>
          <w:highlight w:val="none"/>
          <w:u w:val="single"/>
          <w:lang w:val="en-US" w:eastAsia="zh-CN"/>
        </w:rPr>
        <w:t xml:space="preserve"> 3000.00元 </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lang w:val="en-US" w:eastAsia="zh-CN"/>
        </w:rPr>
        <w:t xml:space="preserve"> 叁仟元整 </w:t>
      </w:r>
      <w:r>
        <w:rPr>
          <w:rFonts w:hint="eastAsia" w:ascii="宋体" w:hAnsi="宋体" w:eastAsia="宋体" w:cs="宋体"/>
          <w:b/>
          <w:bCs/>
          <w:color w:val="auto"/>
          <w:szCs w:val="21"/>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color w:val="auto"/>
          <w:szCs w:val="21"/>
          <w:highlight w:val="none"/>
          <w:u w:val="single"/>
          <w:lang w:eastAsia="zh-CN"/>
        </w:rPr>
        <w:t>本工程无预付款，工程竣工验收合格后付至合同价款的40%，经审计部门审计完成后第二年付审定价款的30%，第三年无质量问题剩余审计价款的30%一次性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eastAsia="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11977"/>
      <w:bookmarkStart w:id="12" w:name="_Toc22085"/>
      <w:bookmarkStart w:id="13" w:name="_Toc31011"/>
      <w:bookmarkStart w:id="14" w:name="_Toc21211"/>
      <w:bookmarkStart w:id="15" w:name="_Toc30291"/>
      <w:bookmarkStart w:id="16" w:name="_Toc494210626"/>
      <w:bookmarkStart w:id="17" w:name="_Toc31174"/>
      <w:bookmarkStart w:id="18" w:name="_Toc13071"/>
      <w:bookmarkStart w:id="19" w:name="_Toc22960"/>
      <w:bookmarkStart w:id="20" w:name="_Toc23800"/>
      <w:bookmarkStart w:id="21" w:name="_Toc4171"/>
      <w:bookmarkStart w:id="22" w:name="_Toc1466"/>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94"/>
        <w:gridCol w:w="708"/>
        <w:gridCol w:w="6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85" w:type="dxa"/>
            <w:gridSpan w:val="2"/>
            <w:tcBorders>
              <w:top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p>
        </w:tc>
        <w:tc>
          <w:tcPr>
            <w:tcW w:w="70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w:t>
            </w:r>
          </w:p>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因素</w:t>
            </w:r>
          </w:p>
        </w:tc>
        <w:tc>
          <w:tcPr>
            <w:tcW w:w="638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一</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lang w:val="en-US" w:eastAsia="zh-CN"/>
              </w:rPr>
              <w:t>30</w:t>
            </w:r>
            <w:r>
              <w:rPr>
                <w:rFonts w:hint="eastAsia" w:ascii="宋体" w:hAnsi="宋体" w:eastAsia="宋体" w:cs="宋体"/>
                <w:b/>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分。其他供应商的报价得分统一按照下列公式计算：磋商报价得分=（磋商基准价/最终磋商报价）×</w:t>
            </w:r>
            <w:r>
              <w:rPr>
                <w:rFonts w:hint="eastAsia" w:ascii="宋体" w:hAnsi="宋体" w:eastAsia="宋体" w:cs="宋体"/>
                <w:color w:val="auto"/>
                <w:szCs w:val="21"/>
                <w:lang w:val="en-US" w:eastAsia="zh-CN"/>
              </w:rPr>
              <w:t>30</w:t>
            </w:r>
            <w:r>
              <w:rPr>
                <w:rFonts w:hint="eastAsia" w:ascii="宋体" w:hAnsi="宋体" w:eastAsia="宋体" w:cs="宋体"/>
                <w:color w:val="auto"/>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二</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施工组织设计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lang w:val="en-US" w:eastAsia="zh-CN"/>
              </w:rPr>
              <w:t>55</w:t>
            </w:r>
            <w:r>
              <w:rPr>
                <w:rFonts w:hint="eastAsia" w:ascii="宋体" w:hAnsi="宋体" w:eastAsia="宋体" w:cs="宋体"/>
                <w:b/>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 w:val="22"/>
                <w:szCs w:val="22"/>
              </w:rPr>
              <w:t>总体概述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 w:val="22"/>
                <w:szCs w:val="22"/>
                <w:lang w:val="en-US" w:eastAsia="zh-CN"/>
              </w:rPr>
              <w:t>有该项得1分，缺项不得分。</w:t>
            </w:r>
            <w:r>
              <w:rPr>
                <w:rFonts w:hint="eastAsia" w:ascii="宋体" w:hAnsi="宋体" w:eastAsia="宋体" w:cs="宋体"/>
                <w:color w:val="auto"/>
                <w:sz w:val="22"/>
                <w:szCs w:val="22"/>
              </w:rPr>
              <w:t>对工程整体的认识表述完整清晰程度，措施先进、具体程度，施工段划分清晰、合理符合规范要求程度</w:t>
            </w:r>
            <w:r>
              <w:rPr>
                <w:rFonts w:hint="eastAsia" w:ascii="宋体" w:hAnsi="宋体" w:eastAsia="宋体" w:cs="宋体"/>
                <w:color w:val="auto"/>
                <w:sz w:val="22"/>
                <w:szCs w:val="22"/>
                <w:lang w:val="en-US" w:eastAsia="zh-CN"/>
              </w:rPr>
              <w:t>最高</w:t>
            </w:r>
            <w:r>
              <w:rPr>
                <w:rFonts w:hint="eastAsia" w:ascii="宋体" w:hAnsi="宋体" w:eastAsia="宋体" w:cs="宋体"/>
                <w:color w:val="auto"/>
                <w:sz w:val="22"/>
                <w:szCs w:val="22"/>
              </w:rPr>
              <w:t>得</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施工进度计划和保证措施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有该项得2分，缺项不得分，根据施工进度计划编排合理，可行、关键路线清晰准确和各阶段进度的保证措施可靠、内容齐全可行</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质量管理体系与措施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分，缺项不得分，根据体系完整、内容齐全、安排合理、针对项目特点措施先进可行、通病治理措施具体可靠</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294" w:type="dxa"/>
            <w:tcBorders>
              <w:top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安全管理体系与措施</w:t>
            </w:r>
          </w:p>
        </w:tc>
        <w:tc>
          <w:tcPr>
            <w:tcW w:w="708"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分，缺项不得分，根据体系完整、内容齐全、安排恰当、措施针对项目实际情况规范具体完整、应急救援预案可行</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Cs/>
                <w:color w:val="auto"/>
                <w:szCs w:val="21"/>
              </w:rPr>
              <w:t>5</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环保管理体系与措施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分，缺项不得分，根据体系完整、内容齐全、安排恰当、措施可行程度</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Cs/>
                <w:color w:val="auto"/>
                <w:szCs w:val="21"/>
              </w:rPr>
            </w:pPr>
            <w:r>
              <w:rPr>
                <w:rFonts w:hint="eastAsia" w:ascii="宋体" w:hAnsi="宋体" w:eastAsia="宋体" w:cs="宋体"/>
                <w:bCs/>
                <w:color w:val="auto"/>
                <w:szCs w:val="21"/>
              </w:rPr>
              <w:t>6</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文明管理体系与措施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分，缺项不得分，根据体系完整、内容齐全、安排恰当、针对项目实际情况措施可行程度</w:t>
            </w:r>
            <w:r>
              <w:rPr>
                <w:rFonts w:hint="eastAsia" w:ascii="宋体" w:hAnsi="宋体" w:eastAsia="宋体" w:cs="宋体"/>
                <w:color w:val="auto"/>
                <w:szCs w:val="21"/>
                <w:lang w:val="en-US" w:eastAsia="zh-CN"/>
              </w:rPr>
              <w:t>最高</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Cs/>
                <w:color w:val="auto"/>
                <w:szCs w:val="21"/>
              </w:rPr>
              <w:t>7</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资源配备计划及措施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分，缺项不得分，根据内容齐全、安排合理、投入计划与进度计划相呼应、措施可行程度</w:t>
            </w:r>
            <w:r>
              <w:rPr>
                <w:rFonts w:hint="eastAsia" w:ascii="宋体" w:hAnsi="宋体" w:eastAsia="宋体" w:cs="宋体"/>
                <w:color w:val="auto"/>
                <w:szCs w:val="21"/>
                <w:lang w:val="en-US" w:eastAsia="zh-CN"/>
              </w:rPr>
              <w:t>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施工管理及措施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分，缺项不得分，根据对本工程项目管理的认识，内容齐全、有针对性、对工程现场管理安排合理、符合安全文明生产要求、对工程管理的配合、协调、服务措施可行</w:t>
            </w:r>
            <w:r>
              <w:rPr>
                <w:rFonts w:hint="eastAsia" w:ascii="宋体" w:hAnsi="宋体" w:eastAsia="宋体" w:cs="宋体"/>
                <w:color w:val="auto"/>
                <w:szCs w:val="21"/>
                <w:lang w:val="en-US" w:eastAsia="zh-CN"/>
              </w:rPr>
              <w:t>最高</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施工关键部位、材料采购要点的控制及措施（根据工程特点及本磋商文件要求应具有针对性）</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分，缺项不得分，根据针对工程特点内容齐全、安排合理、对施工关键部位分析到位等</w:t>
            </w:r>
            <w:r>
              <w:rPr>
                <w:rFonts w:hint="eastAsia" w:ascii="宋体" w:hAnsi="宋体" w:eastAsia="宋体" w:cs="宋体"/>
                <w:color w:val="auto"/>
                <w:szCs w:val="21"/>
                <w:lang w:val="en-US" w:eastAsia="zh-CN"/>
              </w:rPr>
              <w:t>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扬尘治理措施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有该项的基本分</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分，缺项不得分，根据措施体系完整、内容齐全、安排恰当、针对项目实际情况措施可行程度</w:t>
            </w:r>
            <w:r>
              <w:rPr>
                <w:rFonts w:hint="eastAsia" w:ascii="宋体" w:hAnsi="宋体" w:eastAsia="宋体" w:cs="宋体"/>
                <w:color w:val="auto"/>
                <w:szCs w:val="21"/>
                <w:lang w:val="en-US" w:eastAsia="zh-CN"/>
              </w:rPr>
              <w:t>最高得3</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三</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资信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15</w:t>
            </w:r>
            <w:r>
              <w:rPr>
                <w:rFonts w:hint="eastAsia" w:ascii="宋体" w:hAnsi="宋体" w:eastAsia="宋体" w:cs="宋体"/>
                <w:b/>
                <w:bCs/>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供应商近三年承担的类似工程业绩</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6分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lang w:eastAsia="zh-CN"/>
              </w:rPr>
              <w:t>20</w:t>
            </w:r>
            <w:r>
              <w:rPr>
                <w:rFonts w:hint="eastAsia" w:ascii="宋体" w:hAnsi="宋体" w:eastAsia="宋体" w:cs="宋体"/>
                <w:color w:val="auto"/>
                <w:szCs w:val="21"/>
                <w:lang w:val="en-US" w:eastAsia="zh-CN"/>
              </w:rPr>
              <w:t>20</w:t>
            </w:r>
            <w:r>
              <w:rPr>
                <w:rFonts w:hint="eastAsia" w:ascii="宋体" w:hAnsi="宋体" w:eastAsia="宋体" w:cs="宋体"/>
                <w:color w:val="auto"/>
                <w:szCs w:val="21"/>
              </w:rPr>
              <w:t>年1 月1 日以来承担的类似工程业绩每项得3分，满分6分。</w:t>
            </w:r>
          </w:p>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备注：①类似项目工程以施工合同原件和竣工验收证书原件（或业主出具的竣工验收证书原件）为准，二者缺一不可；时间以竣工验收证书签订的时间为准；类似工程业绩</w:t>
            </w:r>
            <w:r>
              <w:rPr>
                <w:rFonts w:hint="eastAsia" w:ascii="宋体" w:hAnsi="宋体" w:eastAsia="宋体" w:cs="宋体"/>
                <w:color w:val="auto"/>
                <w:szCs w:val="21"/>
                <w:lang w:eastAsia="zh-CN"/>
              </w:rPr>
              <w:t>指</w:t>
            </w:r>
            <w:r>
              <w:rPr>
                <w:rFonts w:hint="eastAsia" w:ascii="宋体" w:hAnsi="宋体" w:eastAsia="宋体" w:cs="宋体"/>
                <w:color w:val="auto"/>
                <w:szCs w:val="21"/>
              </w:rPr>
              <w:t>：</w:t>
            </w:r>
            <w:r>
              <w:rPr>
                <w:rFonts w:hint="eastAsia" w:ascii="宋体" w:hAnsi="宋体" w:eastAsia="宋体" w:cs="宋体"/>
                <w:color w:val="auto"/>
                <w:szCs w:val="21"/>
                <w:lang w:eastAsia="zh-CN"/>
              </w:rPr>
              <w:t>市政公用</w:t>
            </w:r>
            <w:r>
              <w:rPr>
                <w:rFonts w:hint="eastAsia" w:ascii="宋体" w:hAnsi="宋体" w:eastAsia="宋体" w:cs="宋体"/>
                <w:color w:val="auto"/>
                <w:szCs w:val="21"/>
              </w:rPr>
              <w:t>工程；②磋商响应文件中须附该打分项涉及的施工合同和竣工验收证书等复印件，否则不予认可。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项目班子其他主要人员配备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 xml:space="preserve">根据人员整体配备情况、安排恰当齐全、分工明确的得 </w:t>
            </w:r>
            <w:r>
              <w:rPr>
                <w:rFonts w:hint="eastAsia" w:ascii="宋体" w:hAnsi="宋体" w:eastAsia="宋体" w:cs="宋体"/>
                <w:color w:val="auto"/>
                <w:szCs w:val="21"/>
                <w:lang w:val="en-US" w:eastAsia="zh-CN"/>
              </w:rPr>
              <w:t>6</w:t>
            </w:r>
            <w:r>
              <w:rPr>
                <w:rFonts w:hint="eastAsia" w:ascii="宋体" w:hAnsi="宋体" w:eastAsia="宋体" w:cs="宋体"/>
                <w:color w:val="auto"/>
                <w:szCs w:val="21"/>
              </w:rPr>
              <w:t xml:space="preserve"> 分，较为齐全、明确的得 </w:t>
            </w:r>
            <w:r>
              <w:rPr>
                <w:rFonts w:hint="eastAsia" w:ascii="宋体" w:hAnsi="宋体" w:eastAsia="宋体" w:cs="宋体"/>
                <w:color w:val="auto"/>
                <w:szCs w:val="21"/>
                <w:lang w:val="en-US" w:eastAsia="zh-CN"/>
              </w:rPr>
              <w:t>4</w:t>
            </w:r>
            <w:r>
              <w:rPr>
                <w:rFonts w:hint="eastAsia" w:ascii="宋体" w:hAnsi="宋体" w:eastAsia="宋体" w:cs="宋体"/>
                <w:color w:val="auto"/>
                <w:szCs w:val="21"/>
              </w:rPr>
              <w:t xml:space="preserve"> 分，一般得 </w:t>
            </w:r>
            <w:r>
              <w:rPr>
                <w:rFonts w:hint="eastAsia" w:ascii="宋体" w:hAnsi="宋体" w:eastAsia="宋体" w:cs="宋体"/>
                <w:color w:val="auto"/>
                <w:szCs w:val="21"/>
                <w:lang w:val="en-US" w:eastAsia="zh-CN"/>
              </w:rPr>
              <w:t>2</w:t>
            </w:r>
            <w:r>
              <w:rPr>
                <w:rFonts w:hint="eastAsia" w:ascii="宋体" w:hAnsi="宋体" w:eastAsia="宋体" w:cs="宋体"/>
                <w:color w:val="auto"/>
                <w:szCs w:val="21"/>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管理体系认证证书</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szCs w:val="21"/>
              </w:rPr>
            </w:pPr>
            <w:r>
              <w:rPr>
                <w:rFonts w:hint="eastAsia" w:ascii="宋体" w:hAnsi="宋体" w:eastAsia="宋体" w:cs="宋体"/>
                <w:color w:val="auto"/>
                <w:szCs w:val="21"/>
              </w:rPr>
              <w:t>获</w:t>
            </w:r>
            <w:r>
              <w:rPr>
                <w:rFonts w:hint="eastAsia" w:ascii="宋体" w:hAnsi="宋体" w:eastAsia="宋体" w:cs="宋体"/>
                <w:color w:val="auto"/>
                <w:szCs w:val="21"/>
                <w:lang w:val="en-US" w:eastAsia="zh-CN"/>
              </w:rPr>
              <w:t>质量、环境、职业健康安全管理体系认证证书得3</w:t>
            </w:r>
            <w:r>
              <w:rPr>
                <w:rFonts w:hint="eastAsia" w:ascii="宋体" w:hAnsi="宋体" w:eastAsia="宋体" w:cs="宋体"/>
                <w:color w:val="auto"/>
                <w:szCs w:val="21"/>
              </w:rPr>
              <w:t>分</w:t>
            </w:r>
            <w:r>
              <w:rPr>
                <w:rFonts w:hint="eastAsia" w:ascii="宋体" w:hAnsi="宋体" w:eastAsia="宋体" w:cs="宋体"/>
                <w:color w:val="auto"/>
                <w:szCs w:val="21"/>
                <w:lang w:eastAsia="zh-CN"/>
              </w:rPr>
              <w:t>，缺项不得分；</w:t>
            </w:r>
            <w:r>
              <w:rPr>
                <w:rFonts w:hint="eastAsia" w:ascii="宋体" w:hAnsi="宋体" w:eastAsia="宋体" w:cs="宋体"/>
                <w:color w:val="auto"/>
                <w:szCs w:val="21"/>
              </w:rPr>
              <w:t>满分</w:t>
            </w:r>
            <w:r>
              <w:rPr>
                <w:rFonts w:hint="eastAsia" w:ascii="宋体" w:hAnsi="宋体" w:eastAsia="宋体" w:cs="宋体"/>
                <w:color w:val="auto"/>
                <w:szCs w:val="21"/>
                <w:u w:val="single"/>
                <w:lang w:val="en-US" w:eastAsia="zh-CN"/>
              </w:rPr>
              <w:t>3</w:t>
            </w:r>
            <w:r>
              <w:rPr>
                <w:rFonts w:hint="eastAsia" w:ascii="宋体" w:hAnsi="宋体" w:eastAsia="宋体" w:cs="宋体"/>
                <w:color w:val="auto"/>
                <w:szCs w:val="21"/>
              </w:rPr>
              <w:t>分。</w:t>
            </w:r>
          </w:p>
          <w:p>
            <w:pPr>
              <w:spacing w:line="420" w:lineRule="exact"/>
              <w:rPr>
                <w:rFonts w:hint="eastAsia" w:ascii="宋体" w:hAnsi="宋体" w:eastAsia="宋体" w:cs="宋体"/>
                <w:color w:val="auto"/>
                <w:szCs w:val="21"/>
              </w:rPr>
            </w:pPr>
            <w:r>
              <w:rPr>
                <w:rFonts w:hint="eastAsia" w:ascii="宋体" w:hAnsi="宋体" w:eastAsia="宋体" w:cs="宋体"/>
                <w:color w:val="auto"/>
                <w:szCs w:val="21"/>
              </w:rPr>
              <w:t>备注：①</w:t>
            </w:r>
            <w:r>
              <w:rPr>
                <w:rFonts w:hint="eastAsia" w:ascii="宋体" w:hAnsi="宋体" w:eastAsia="宋体" w:cs="宋体"/>
                <w:b w:val="0"/>
                <w:bCs w:val="0"/>
                <w:color w:val="auto"/>
                <w:szCs w:val="21"/>
              </w:rPr>
              <w:t>以有效</w:t>
            </w:r>
            <w:r>
              <w:rPr>
                <w:rFonts w:hint="eastAsia" w:ascii="宋体" w:hAnsi="宋体" w:eastAsia="宋体" w:cs="宋体"/>
                <w:b w:val="0"/>
                <w:bCs w:val="0"/>
                <w:color w:val="auto"/>
                <w:szCs w:val="21"/>
                <w:lang w:val="en-US" w:eastAsia="zh-CN"/>
              </w:rPr>
              <w:t>质量、环境、职业健康安全管理体系认证证书</w:t>
            </w:r>
            <w:r>
              <w:rPr>
                <w:rFonts w:hint="eastAsia" w:ascii="宋体" w:hAnsi="宋体" w:eastAsia="宋体" w:cs="宋体"/>
                <w:b w:val="0"/>
                <w:bCs w:val="0"/>
                <w:color w:val="auto"/>
                <w:szCs w:val="21"/>
              </w:rPr>
              <w:t>原件为准；②</w:t>
            </w:r>
            <w:r>
              <w:rPr>
                <w:rFonts w:hint="eastAsia" w:ascii="宋体" w:hAnsi="宋体" w:eastAsia="宋体" w:cs="宋体"/>
                <w:b w:val="0"/>
                <w:bCs w:val="0"/>
                <w:color w:val="auto"/>
                <w:kern w:val="0"/>
                <w:szCs w:val="21"/>
              </w:rPr>
              <w:t>磋商响应文件中须附该打分项涉及的证书复印件，否则不予认可。</w:t>
            </w:r>
          </w:p>
        </w:tc>
      </w:tr>
    </w:tbl>
    <w:p>
      <w:pPr>
        <w:wordWrap w:val="0"/>
        <w:topLinePunct/>
        <w:adjustRightInd w:val="0"/>
        <w:snapToGrid w:val="0"/>
        <w:spacing w:line="360" w:lineRule="auto"/>
        <w:ind w:firstLine="482" w:firstLineChars="200"/>
        <w:jc w:val="left"/>
        <w:rPr>
          <w:rFonts w:hint="eastAsia" w:ascii="宋体" w:hAnsi="宋体" w:eastAsia="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bCs/>
          <w:color w:val="auto"/>
          <w:szCs w:val="21"/>
          <w:highlight w:val="none"/>
        </w:rPr>
        <w:t>总得分相同者，按最终报价低的名次在前；最终报价也相同的，施工组织设计总得分高者排名优先；施工</w:t>
      </w:r>
      <w:r>
        <w:rPr>
          <w:rFonts w:hint="eastAsia" w:ascii="宋体" w:hAnsi="宋体" w:eastAsia="宋体" w:cs="宋体"/>
          <w:b/>
          <w:color w:val="auto"/>
          <w:szCs w:val="21"/>
          <w:highlight w:val="none"/>
        </w:rPr>
        <w:t>组织设计总得分也相同的，</w:t>
      </w:r>
      <w:r>
        <w:rPr>
          <w:rFonts w:hint="eastAsia" w:ascii="宋体" w:hAnsi="宋体" w:eastAsia="宋体" w:cs="宋体"/>
          <w:b/>
          <w:color w:val="auto"/>
          <w:szCs w:val="21"/>
          <w:highlight w:val="none"/>
          <w:lang w:eastAsia="zh-CN"/>
        </w:rPr>
        <w:t>资信总得分</w:t>
      </w:r>
      <w:r>
        <w:rPr>
          <w:rFonts w:hint="eastAsia" w:ascii="宋体" w:hAnsi="宋体" w:eastAsia="宋体" w:cs="宋体"/>
          <w:b/>
          <w:bCs/>
          <w:color w:val="auto"/>
          <w:szCs w:val="21"/>
          <w:highlight w:val="none"/>
        </w:rPr>
        <w:t>高者排名优先；</w:t>
      </w:r>
      <w:r>
        <w:rPr>
          <w:rFonts w:hint="eastAsia" w:ascii="宋体" w:hAnsi="宋体" w:eastAsia="宋体" w:cs="宋体"/>
          <w:b/>
          <w:bCs/>
          <w:color w:val="auto"/>
          <w:szCs w:val="21"/>
          <w:highlight w:val="none"/>
          <w:lang w:eastAsia="zh-CN"/>
        </w:rPr>
        <w:t>资信</w:t>
      </w:r>
      <w:r>
        <w:rPr>
          <w:rFonts w:hint="eastAsia" w:ascii="宋体" w:hAnsi="宋体" w:eastAsia="宋体" w:cs="宋体"/>
          <w:b/>
          <w:color w:val="auto"/>
          <w:szCs w:val="21"/>
          <w:highlight w:val="none"/>
        </w:rPr>
        <w:t>总得分也相同的</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采购人按响应文件递交顺序排名。</w:t>
      </w:r>
    </w:p>
    <w:p>
      <w:pPr>
        <w:wordWrap w:val="0"/>
        <w:topLinePunct/>
        <w:adjustRightInd w:val="0"/>
        <w:snapToGrid w:val="0"/>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2、评分分值计算保留小数点后两位，小数点后第三位“四舍五入”。</w:t>
      </w:r>
    </w:p>
    <w:p>
      <w:pPr>
        <w:wordWrap w:val="0"/>
        <w:topLinePunct/>
        <w:adjustRightInd w:val="0"/>
        <w:snapToGrid w:val="0"/>
        <w:spacing w:line="360" w:lineRule="auto"/>
        <w:jc w:val="left"/>
        <w:outlineLvl w:val="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四、成交通知书</w:t>
      </w:r>
    </w:p>
    <w:p>
      <w:pPr>
        <w:wordWrap w:val="0"/>
        <w:topLinePunct/>
        <w:adjustRightInd w:val="0"/>
        <w:snapToGrid w:val="0"/>
        <w:spacing w:line="360" w:lineRule="auto"/>
        <w:ind w:firstLine="42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成交结果公示结束无异议后，采购人向成交供应商签发《成交通知书》。</w:t>
      </w:r>
    </w:p>
    <w:p>
      <w:pPr>
        <w:wordWrap w:val="0"/>
        <w:topLinePunct/>
        <w:adjustRightInd w:val="0"/>
        <w:snapToGrid w:val="0"/>
        <w:spacing w:line="360" w:lineRule="auto"/>
        <w:ind w:firstLine="640" w:firstLineChars="200"/>
        <w:jc w:val="left"/>
        <w:rPr>
          <w:rFonts w:hint="eastAsia" w:ascii="宋体" w:hAnsi="宋体" w:eastAsia="宋体" w:cs="宋体"/>
          <w:color w:val="auto"/>
          <w:sz w:val="32"/>
          <w:szCs w:val="32"/>
          <w:highlight w:val="none"/>
        </w:rPr>
      </w:pPr>
    </w:p>
    <w:bookmarkEnd w:id="16"/>
    <w:bookmarkEnd w:id="1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邹城市石墙镇上九山村排水渠建设项目，主要包括</w:t>
      </w:r>
      <w:r>
        <w:rPr>
          <w:rFonts w:hint="eastAsia" w:ascii="宋体" w:hAnsi="宋体" w:eastAsia="宋体" w:cs="宋体"/>
          <w:b w:val="0"/>
          <w:bCs/>
          <w:color w:val="auto"/>
          <w:sz w:val="24"/>
          <w:szCs w:val="24"/>
          <w:highlight w:val="none"/>
          <w:lang w:val="en-US" w:eastAsia="zh-CN"/>
        </w:rPr>
        <w:t>：上九山挖沟槽土方399m3、回填方1637m3、石砌边沟280m、C25混凝土压顶22.4m3、浆砌坡脚135m3、片石护坡217.21m3、急流槽(预留）2个、路侧排水口26个</w:t>
      </w:r>
      <w:r>
        <w:rPr>
          <w:rFonts w:hint="eastAsia" w:ascii="宋体" w:hAnsi="宋体" w:eastAsia="宋体" w:cs="宋体"/>
          <w:b w:val="0"/>
          <w:bCs w:val="0"/>
          <w:color w:val="auto"/>
          <w:sz w:val="24"/>
          <w:szCs w:val="24"/>
          <w:highlight w:val="none"/>
          <w:u w:val="none"/>
          <w:lang w:val="en-US" w:eastAsia="zh-CN"/>
        </w:rPr>
        <w:t>等工程内容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具体内容详见</w:t>
      </w:r>
      <w:r>
        <w:rPr>
          <w:rFonts w:hint="eastAsia" w:ascii="宋体" w:hAnsi="宋体" w:eastAsia="宋体" w:cs="宋体"/>
          <w:b w:val="0"/>
          <w:bCs/>
          <w:color w:val="auto"/>
          <w:sz w:val="24"/>
          <w:szCs w:val="24"/>
          <w:highlight w:val="none"/>
          <w:lang w:eastAsia="zh-CN"/>
        </w:rPr>
        <w:t>采购预算（控制价）</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bookmarkStart w:id="23" w:name="_Toc30448"/>
      <w:bookmarkStart w:id="24" w:name="_Toc1352"/>
      <w:bookmarkStart w:id="25" w:name="_Toc16480"/>
      <w:bookmarkStart w:id="26" w:name="_Toc24173"/>
      <w:bookmarkStart w:id="27" w:name="_Toc22583"/>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sz w:val="24"/>
          <w:szCs w:val="24"/>
          <w:highlight w:val="none"/>
        </w:rPr>
        <w:t>建设地点：</w:t>
      </w:r>
      <w:r>
        <w:rPr>
          <w:rFonts w:hint="eastAsia" w:ascii="宋体" w:hAnsi="宋体" w:eastAsia="宋体" w:cs="宋体"/>
          <w:b w:val="0"/>
          <w:bCs/>
          <w:color w:val="auto"/>
          <w:sz w:val="24"/>
          <w:szCs w:val="24"/>
          <w:highlight w:val="none"/>
          <w:u w:val="single"/>
          <w:lang w:eastAsia="zh-CN"/>
        </w:rPr>
        <w:t>邹城市石墙镇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二</w:t>
      </w:r>
      <w:r>
        <w:rPr>
          <w:rFonts w:hint="eastAsia" w:ascii="宋体" w:hAnsi="宋体" w:eastAsia="宋体" w:cs="宋体"/>
          <w:b w:val="0"/>
          <w:bCs/>
          <w:color w:val="auto"/>
          <w:kern w:val="0"/>
          <w:sz w:val="24"/>
          <w:szCs w:val="24"/>
          <w:highlight w:val="none"/>
        </w:rPr>
        <w:t>）建设规模：本次磋商项目总投资</w:t>
      </w:r>
      <w:r>
        <w:rPr>
          <w:rFonts w:hint="eastAsia" w:ascii="宋体" w:hAnsi="宋体" w:eastAsia="宋体" w:cs="宋体"/>
          <w:b w:val="0"/>
          <w:bCs/>
          <w:color w:val="auto"/>
          <w:kern w:val="0"/>
          <w:sz w:val="24"/>
          <w:szCs w:val="24"/>
          <w:highlight w:val="none"/>
          <w:u w:val="single"/>
          <w:lang w:val="en-US" w:eastAsia="zh-CN"/>
        </w:rPr>
        <w:t>294817.73</w:t>
      </w:r>
      <w:r>
        <w:rPr>
          <w:rFonts w:hint="eastAsia" w:ascii="宋体" w:hAnsi="宋体" w:eastAsia="宋体" w:cs="宋体"/>
          <w:b w:val="0"/>
          <w:bCs/>
          <w:color w:val="auto"/>
          <w:kern w:val="0"/>
          <w:sz w:val="24"/>
          <w:szCs w:val="24"/>
          <w:highlight w:val="none"/>
          <w:u w:val="single"/>
        </w:rPr>
        <w:t>元</w:t>
      </w:r>
      <w:r>
        <w:rPr>
          <w:rFonts w:hint="eastAsia" w:ascii="宋体" w:hAnsi="宋体" w:eastAsia="宋体" w:cs="宋体"/>
          <w:b w:val="0"/>
          <w:bCs/>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）计划工期：</w:t>
      </w:r>
      <w:r>
        <w:rPr>
          <w:rFonts w:hint="eastAsia" w:ascii="宋体" w:hAnsi="宋体" w:eastAsia="宋体" w:cs="宋体"/>
          <w:b w:val="0"/>
          <w:bCs/>
          <w:color w:val="auto"/>
          <w:sz w:val="24"/>
          <w:szCs w:val="24"/>
          <w:highlight w:val="none"/>
          <w:u w:val="single"/>
          <w:lang w:val="en-US" w:eastAsia="zh-CN"/>
        </w:rPr>
        <w:t>42日历天</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）质量要求：</w:t>
      </w:r>
      <w:r>
        <w:rPr>
          <w:rFonts w:hint="eastAsia" w:ascii="宋体" w:hAnsi="宋体" w:eastAsia="宋体" w:cs="宋体"/>
          <w:b w:val="0"/>
          <w:bCs/>
          <w:color w:val="auto"/>
          <w:sz w:val="24"/>
          <w:szCs w:val="24"/>
          <w:highlight w:val="none"/>
          <w:u w:val="single"/>
        </w:rPr>
        <w:t>合格</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）质保期：</w:t>
      </w:r>
      <w:r>
        <w:rPr>
          <w:rFonts w:hint="eastAsia" w:ascii="宋体" w:hAnsi="宋体" w:eastAsia="宋体" w:cs="宋体"/>
          <w:b w:val="0"/>
          <w:bCs/>
          <w:color w:val="auto"/>
          <w:sz w:val="24"/>
          <w:szCs w:val="24"/>
          <w:highlight w:val="none"/>
          <w:u w:val="single"/>
          <w:lang w:val="en-US" w:eastAsia="zh-CN"/>
        </w:rPr>
        <w:t>两年</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eastAsia="宋体" w:cs="宋体"/>
          <w:b/>
          <w:bCs/>
          <w:color w:val="auto"/>
          <w:kern w:val="0"/>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eastAsia="宋体" w:cs="宋体"/>
          <w:b/>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eastAsia" w:ascii="宋体" w:hAnsi="宋体" w:eastAsia="宋体" w:cs="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424914274"/>
      <w:bookmarkStart w:id="30" w:name="_Toc15147"/>
      <w:bookmarkStart w:id="31" w:name="_Toc7606"/>
      <w:bookmarkStart w:id="32" w:name="_Toc224699375"/>
      <w:bookmarkStart w:id="33" w:name="_Toc196637413"/>
      <w:bookmarkStart w:id="34" w:name="_Toc184635098"/>
      <w:bookmarkStart w:id="35" w:name="_Toc196637767"/>
      <w:bookmarkStart w:id="36" w:name="_Toc196637649"/>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eastAsia="宋体" w:cs="宋体"/>
          <w:b/>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lang w:val="en-US" w:eastAsia="zh-CN"/>
        </w:rPr>
        <w:t>两</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color w:val="auto"/>
          <w:szCs w:val="21"/>
          <w:highlight w:val="none"/>
          <w:u w:val="single"/>
          <w:lang w:eastAsia="zh-CN"/>
        </w:rPr>
        <w:t>本工程无预付款，工程竣工验收合格后付至合同价款的40%，经审计部门审计完成后第二年付审定价款的30%，第三年无质量问题剩余审计价款的30%一次性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eastAsia="宋体" w:cs="宋体"/>
          <w:b/>
          <w:bCs/>
          <w:color w:val="auto"/>
          <w:sz w:val="21"/>
          <w:szCs w:val="21"/>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366591273"/>
      <w:bookmarkStart w:id="38" w:name="_Toc300901177"/>
      <w:bookmarkStart w:id="39" w:name="_Toc424914275"/>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pStyle w:val="2"/>
        <w:rPr>
          <w:rFonts w:hint="eastAsia" w:ascii="宋体" w:hAnsi="宋体" w:eastAsia="宋体" w:cs="宋体"/>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24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4.3.2发包人同意承包人分包的非主体、非关键性工作见</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eastAsia="宋体" w:cs="宋体"/>
          <w:color w:val="auto"/>
          <w:sz w:val="21"/>
          <w:szCs w:val="21"/>
          <w:highlight w:val="none"/>
          <w:lang w:eastAsia="zh-CN"/>
        </w:rPr>
        <w:t>公路</w:t>
      </w:r>
      <w:r>
        <w:rPr>
          <w:rFonts w:hint="eastAsia" w:ascii="宋体" w:hAnsi="宋体" w:eastAsia="宋体" w:cs="宋体"/>
          <w:color w:val="auto"/>
          <w:sz w:val="21"/>
          <w:szCs w:val="21"/>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color w:val="auto"/>
          <w:szCs w:val="21"/>
          <w:highlight w:val="none"/>
          <w:u w:val="single"/>
          <w:lang w:eastAsia="zh-CN"/>
        </w:rPr>
        <w:t>本工程无预付款，工程竣工验收合格后付至合同价款的40%，经审计部门审计完成后第二年付审定价款的30%，第三年无质量问题剩余审计价款的30%一次性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pacing w:val="-2"/>
          <w:highlight w:val="none"/>
          <w:u w:val="none"/>
          <w:lang w:eastAsia="zh-CN"/>
        </w:rPr>
      </w:pPr>
      <w:r>
        <w:rPr>
          <w:rFonts w:hint="eastAsia" w:ascii="宋体" w:hAnsi="宋体" w:eastAsia="宋体" w:cs="宋体"/>
          <w:b/>
          <w:color w:val="auto"/>
          <w:szCs w:val="21"/>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发包人和承包人根据《中华人民共和国</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法》和《建设工程质量管理条例》，经协商一致就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0" w:name="_Toc19694"/>
      <w:bookmarkStart w:id="41" w:name="_Toc27613"/>
      <w:bookmarkStart w:id="42" w:name="_Toc1931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27167"/>
      <w:bookmarkStart w:id="44" w:name="_Toc853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36"/>
          <w:szCs w:val="36"/>
          <w:highlight w:val="none"/>
          <w:lang w:eastAsia="zh-CN"/>
        </w:rPr>
      </w:pPr>
      <w:r>
        <w:rPr>
          <w:rFonts w:hint="eastAsia" w:ascii="宋体" w:hAnsi="宋体" w:eastAsia="宋体" w:cs="宋体"/>
          <w:b/>
          <w:bCs/>
          <w:color w:val="auto"/>
          <w:sz w:val="48"/>
          <w:szCs w:val="48"/>
          <w:highlight w:val="none"/>
          <w:u w:val="none"/>
          <w:lang w:eastAsia="zh-CN"/>
        </w:rPr>
        <w:t>邹城市石墙镇上九山村排水渠建设项目</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72"/>
          <w:szCs w:val="72"/>
          <w:highlight w:val="none"/>
        </w:rPr>
      </w:pPr>
      <w:bookmarkStart w:id="45" w:name="_Toc27904"/>
      <w:bookmarkStart w:id="46" w:name="_Toc26783"/>
      <w:bookmarkStart w:id="47" w:name="_Toc17164"/>
      <w:r>
        <w:rPr>
          <w:rFonts w:hint="eastAsia" w:ascii="宋体" w:hAnsi="宋体" w:eastAsia="宋体" w:cs="宋体"/>
          <w:b/>
          <w:bCs/>
          <w:i w:val="0"/>
          <w:iCs w:val="0"/>
          <w:color w:val="auto"/>
          <w:sz w:val="72"/>
          <w:szCs w:val="72"/>
          <w:highlight w:val="none"/>
          <w:lang w:eastAsia="zh-CN"/>
        </w:rPr>
        <w:t>竞争性磋商</w:t>
      </w:r>
      <w:r>
        <w:rPr>
          <w:rFonts w:hint="eastAsia" w:ascii="宋体" w:hAnsi="宋体" w:eastAsia="宋体" w:cs="宋体"/>
          <w:b/>
          <w:bCs/>
          <w:i w:val="0"/>
          <w:iCs w:val="0"/>
          <w:color w:val="auto"/>
          <w:sz w:val="72"/>
          <w:szCs w:val="72"/>
          <w:highlight w:val="none"/>
        </w:rPr>
        <w:t>响应文件</w:t>
      </w:r>
      <w:bookmarkEnd w:id="45"/>
      <w:bookmarkEnd w:id="46"/>
      <w:bookmarkEnd w:id="47"/>
    </w:p>
    <w:p>
      <w:pPr>
        <w:pStyle w:val="2"/>
        <w:jc w:val="center"/>
        <w:rPr>
          <w:rFonts w:hint="eastAsia" w:ascii="宋体" w:hAnsi="宋体" w:eastAsia="宋体" w:cs="宋体"/>
          <w:color w:val="auto"/>
          <w:lang w:eastAsia="zh-CN"/>
        </w:rPr>
      </w:pPr>
      <w:r>
        <w:rPr>
          <w:rFonts w:hint="eastAsia" w:ascii="宋体" w:hAnsi="宋体" w:eastAsia="宋体" w:cs="宋体"/>
          <w:b/>
          <w:bCs/>
          <w:i w:val="0"/>
          <w:iCs w:val="0"/>
          <w:color w:val="auto"/>
          <w:sz w:val="32"/>
          <w:szCs w:val="32"/>
          <w:highlight w:val="none"/>
          <w:lang w:eastAsia="zh-CN"/>
        </w:rPr>
        <w:t>项目编号：</w:t>
      </w:r>
      <w:r>
        <w:rPr>
          <w:rFonts w:hint="eastAsia" w:ascii="宋体" w:hAnsi="宋体" w:eastAsia="宋体" w:cs="宋体"/>
          <w:b/>
          <w:bCs/>
          <w:i w:val="0"/>
          <w:iCs w:val="0"/>
          <w:color w:val="auto"/>
          <w:sz w:val="32"/>
          <w:szCs w:val="32"/>
          <w:highlight w:val="none"/>
          <w:lang w:val="en-US" w:eastAsia="zh-CN"/>
        </w:rPr>
        <w:t>ZCTW-2023-021</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8" w:name="_Toc29657"/>
      <w:bookmarkStart w:id="49" w:name="_Toc19904"/>
      <w:bookmarkStart w:id="50" w:name="_Toc11885"/>
      <w:bookmarkStart w:id="51" w:name="_Toc26481"/>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8"/>
      <w:bookmarkEnd w:id="49"/>
      <w:bookmarkEnd w:id="50"/>
      <w:bookmarkEnd w:id="51"/>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2" w:name="_Toc12737"/>
      <w:bookmarkStart w:id="53" w:name="_Toc18435"/>
      <w:bookmarkStart w:id="54" w:name="_Toc32061"/>
      <w:bookmarkStart w:id="55" w:name="_Toc10418"/>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2"/>
      <w:bookmarkEnd w:id="53"/>
      <w:bookmarkEnd w:id="54"/>
      <w:bookmarkEnd w:id="55"/>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6" w:name="_Toc6839"/>
      <w:bookmarkStart w:id="57" w:name="_Toc7829"/>
      <w:bookmarkStart w:id="58" w:name="_Toc15367"/>
      <w:bookmarkStart w:id="59" w:name="_Toc5121"/>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6"/>
      <w:bookmarkEnd w:id="57"/>
      <w:bookmarkEnd w:id="58"/>
      <w:bookmarkEnd w:id="59"/>
    </w:p>
    <w:p>
      <w:pPr>
        <w:rPr>
          <w:rFonts w:hint="eastAsia" w:ascii="宋体" w:hAnsi="宋体" w:eastAsia="宋体" w:cs="宋体"/>
          <w:b/>
          <w:i w:val="0"/>
          <w:iCs w:val="0"/>
          <w:color w:val="auto"/>
          <w:sz w:val="36"/>
          <w:szCs w:val="36"/>
          <w:highlight w:val="none"/>
        </w:rPr>
      </w:pPr>
      <w:bookmarkStart w:id="60" w:name="_Toc8709"/>
      <w:bookmarkStart w:id="61" w:name="_Toc6905"/>
      <w:bookmarkStart w:id="62" w:name="_Toc3064"/>
      <w:r>
        <w:rPr>
          <w:rFonts w:hint="eastAsia" w:ascii="宋体" w:hAnsi="宋体" w:eastAsia="宋体" w:cs="宋体"/>
          <w:b/>
          <w:i w:val="0"/>
          <w:iCs w:val="0"/>
          <w:color w:val="auto"/>
          <w:sz w:val="36"/>
          <w:szCs w:val="36"/>
          <w:highlight w:val="none"/>
        </w:rPr>
        <w:br w:type="page"/>
      </w:r>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0"/>
      <w:bookmarkEnd w:id="61"/>
      <w:bookmarkEnd w:id="62"/>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六、供应商资信资料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七、</w:t>
      </w:r>
      <w:r>
        <w:rPr>
          <w:rFonts w:hint="eastAsia" w:ascii="宋体" w:hAnsi="宋体" w:eastAsia="宋体" w:cs="宋体"/>
          <w:i w:val="0"/>
          <w:iCs w:val="0"/>
          <w:color w:val="auto"/>
          <w:sz w:val="24"/>
          <w:szCs w:val="24"/>
          <w:highlight w:val="none"/>
          <w:lang w:val="en-US" w:eastAsia="zh-CN"/>
        </w:rPr>
        <w:t>资格审查资料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八、建设工程扬尘治理工作承诺书</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color w:val="auto"/>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3" w:name="_Toc323642004"/>
      <w:bookmarkStart w:id="64" w:name="_Toc374107073"/>
      <w:bookmarkStart w:id="65" w:name="_Toc1413"/>
      <w:bookmarkStart w:id="66" w:name="_Toc300901199"/>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eastAsia="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7" w:name="_Toc323641999"/>
      <w:bookmarkStart w:id="68" w:name="_Toc4405"/>
      <w:bookmarkStart w:id="69" w:name="_Toc374107067"/>
      <w:bookmarkStart w:id="70" w:name="_Toc300901193"/>
      <w:r>
        <w:rPr>
          <w:rFonts w:hint="eastAsia" w:ascii="宋体" w:hAnsi="宋体" w:eastAsia="宋体" w:cs="宋体"/>
          <w:color w:val="auto"/>
          <w:sz w:val="32"/>
          <w:szCs w:val="32"/>
          <w:highlight w:val="none"/>
        </w:rPr>
        <w:t>二、</w:t>
      </w:r>
      <w:bookmarkEnd w:id="67"/>
      <w:bookmarkEnd w:id="68"/>
      <w:bookmarkEnd w:id="69"/>
      <w:bookmarkEnd w:id="70"/>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1"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1"/>
      <w:r>
        <w:rPr>
          <w:rFonts w:hint="eastAsia" w:ascii="宋体" w:hAnsi="宋体" w:eastAsia="宋体" w:cs="宋体"/>
          <w:b/>
          <w:bCs/>
          <w:color w:val="auto"/>
          <w:sz w:val="24"/>
          <w:szCs w:val="24"/>
          <w:highlight w:val="none"/>
        </w:rPr>
        <w:t>法定代表人授权委托书</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2" w:name="_Toc23578"/>
      <w:bookmarkStart w:id="73" w:name="_Toc21796"/>
      <w:bookmarkStart w:id="74"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2"/>
      <w:bookmarkEnd w:id="73"/>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5" w:name="_Toc27654"/>
      <w:r>
        <w:rPr>
          <w:rFonts w:hint="eastAsia" w:ascii="宋体" w:hAnsi="宋体" w:eastAsia="宋体" w:cs="宋体"/>
          <w:b/>
          <w:i w:val="0"/>
          <w:iCs w:val="0"/>
          <w:color w:val="auto"/>
          <w:szCs w:val="28"/>
          <w:highlight w:val="none"/>
        </w:rPr>
        <w:t>（一）初次报价表</w:t>
      </w:r>
      <w:bookmarkEnd w:id="75"/>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质保期</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项目经理</w:t>
            </w:r>
          </w:p>
        </w:tc>
        <w:tc>
          <w:tcPr>
            <w:tcW w:w="6685" w:type="dxa"/>
            <w:noWrap w:val="0"/>
            <w:vAlign w:val="center"/>
          </w:tcPr>
          <w:p>
            <w:pPr>
              <w:pageBreakBefore w:val="0"/>
              <w:kinsoku/>
              <w:overflowPunct/>
              <w:topLinePunct w:val="0"/>
              <w:bidi w:val="0"/>
              <w:spacing w:line="360" w:lineRule="auto"/>
              <w:ind w:left="0" w:leftChars="0" w:right="0" w:rightChars="0"/>
              <w:jc w:val="both"/>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lang w:eastAsia="zh-CN"/>
              </w:rPr>
              <w:t>姓名：</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证书等级：</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注册编号：</w:t>
            </w:r>
            <w:r>
              <w:rPr>
                <w:rFonts w:hint="eastAsia" w:ascii="宋体" w:hAnsi="宋体" w:eastAsia="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4"/>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3"/>
    <w:bookmarkEnd w:id="64"/>
    <w:bookmarkEnd w:id="65"/>
    <w:bookmarkEnd w:id="66"/>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6" w:name="_Toc323642003"/>
      <w:bookmarkStart w:id="77" w:name="_Toc300901198"/>
      <w:bookmarkStart w:id="78" w:name="_Toc374107072"/>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6"/>
      <w:bookmarkEnd w:id="77"/>
      <w:bookmarkEnd w:id="78"/>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1、总体概述</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2、施工进度计划和保证措施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5、环保管理体系与措施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Cs w:val="21"/>
        </w:rPr>
        <w:t>施工关键部位、材料采购要点的控制及措施（根据工程特点及本磋商文件要求应具有针对性）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应附项目管理班子下列人员的相关证书、身份证及毕业证复印件：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79" w:name="_Toc300901200"/>
      <w:bookmarkStart w:id="80" w:name="_Toc323642005"/>
      <w:bookmarkStart w:id="81" w:name="_Toc374107074"/>
      <w:bookmarkStart w:id="82" w:name="_Toc29043"/>
    </w:p>
    <w:p>
      <w:pPr>
        <w:pStyle w:val="4"/>
        <w:keepNext w:val="0"/>
        <w:keepLines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供应商资信资料</w:t>
      </w:r>
    </w:p>
    <w:p>
      <w:pPr>
        <w:pStyle w:val="14"/>
        <w:tabs>
          <w:tab w:val="left" w:pos="9638"/>
        </w:tabs>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供应商资信资料和需要提供的证明文件</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79"/>
      <w:bookmarkEnd w:id="80"/>
      <w:bookmarkEnd w:id="81"/>
      <w:bookmarkEnd w:id="82"/>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Style w:val="2"/>
        <w:wordWrap/>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3"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3"/>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w:t>
      </w:r>
      <w:r>
        <w:rPr>
          <w:rFonts w:hint="eastAsia" w:ascii="宋体" w:hAnsi="宋体" w:eastAsia="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w:t>
      </w:r>
      <w:r>
        <w:rPr>
          <w:rFonts w:hint="eastAsia" w:ascii="宋体" w:hAnsi="宋体" w:eastAsia="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pPr>
        <w:pStyle w:val="4"/>
        <w:jc w:val="center"/>
        <w:outlineLvl w:val="9"/>
        <w:rPr>
          <w:rFonts w:hint="eastAsia" w:ascii="宋体" w:hAnsi="宋体" w:eastAsia="宋体" w:cs="宋体"/>
          <w:color w:val="auto"/>
          <w:sz w:val="24"/>
          <w:highlight w:val="none"/>
        </w:rPr>
        <w:sectPr>
          <w:footerReference r:id="rId12" w:type="first"/>
          <w:footerReference r:id="rId11" w:type="default"/>
          <w:pgSz w:w="11906" w:h="16838"/>
          <w:pgMar w:top="1440" w:right="1080" w:bottom="1440" w:left="1026" w:header="851" w:footer="992" w:gutter="0"/>
          <w:pgNumType w:fmt="decimal"/>
          <w:cols w:space="720" w:num="1"/>
          <w:titlePg/>
          <w:docGrid w:type="lines" w:linePitch="286" w:charSpace="0"/>
        </w:sectPr>
      </w:pPr>
    </w:p>
    <w:p>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4" w:name="_Toc10369"/>
      <w:bookmarkStart w:id="85" w:name="_Toc12296"/>
      <w:r>
        <w:rPr>
          <w:rFonts w:hint="eastAsia" w:ascii="宋体" w:hAnsi="宋体" w:eastAsia="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4"/>
      <w:bookmarkEnd w:id="85"/>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6" w:name="_Toc31429"/>
      <w:bookmarkStart w:id="87" w:name="_Toc13148"/>
      <w:r>
        <w:rPr>
          <w:rFonts w:hint="eastAsia" w:ascii="宋体" w:hAnsi="宋体" w:eastAsia="宋体" w:cs="宋体"/>
          <w:b/>
          <w:bCs/>
          <w:i w:val="0"/>
          <w:iCs w:val="0"/>
          <w:color w:val="auto"/>
          <w:sz w:val="24"/>
          <w:szCs w:val="32"/>
          <w:highlight w:val="none"/>
        </w:rPr>
        <w:t>附件</w:t>
      </w:r>
      <w:bookmarkEnd w:id="86"/>
      <w:bookmarkEnd w:id="87"/>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8"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8"/>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pPr>
        <w:pStyle w:val="14"/>
        <w:spacing w:line="360" w:lineRule="auto"/>
        <w:ind w:right="480"/>
        <w:rPr>
          <w:rFonts w:hint="eastAsia" w:ascii="宋体" w:hAnsi="宋体" w:eastAsia="宋体" w:cs="宋体"/>
          <w:color w:val="auto"/>
          <w:highlight w:val="none"/>
        </w:rPr>
      </w:pPr>
    </w:p>
    <w:p>
      <w:pPr>
        <w:rPr>
          <w:rFonts w:hint="eastAsia" w:ascii="宋体" w:hAnsi="宋体" w:eastAsia="宋体" w:cs="宋体"/>
          <w:color w:val="auto"/>
        </w:rPr>
      </w:pPr>
    </w:p>
    <w:sectPr>
      <w:headerReference r:id="rId14" w:type="first"/>
      <w:footerReference r:id="rId16" w:type="first"/>
      <w:headerReference r:id="rId13" w:type="default"/>
      <w:footerReference r:id="rId15"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59087794"/>
    <w:rsid w:val="1A26227E"/>
    <w:rsid w:val="1F623B04"/>
    <w:rsid w:val="2C630BEE"/>
    <w:rsid w:val="4DE7607B"/>
    <w:rsid w:val="59087794"/>
    <w:rsid w:val="6DCA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qFormat/>
    <w:uiPriority w:val="0"/>
    <w:rPr>
      <w:kern w:val="0"/>
      <w:sz w:val="24"/>
      <w:szCs w:val="20"/>
    </w:rPr>
  </w:style>
  <w:style w:type="paragraph" w:customStyle="1" w:styleId="14">
    <w:name w:val="p0"/>
    <w:basedOn w:val="1"/>
    <w:qFormat/>
    <w:uiPriority w:val="0"/>
    <w:pPr>
      <w:widowControl/>
    </w:pPr>
    <w:rPr>
      <w:kern w:val="0"/>
      <w:szCs w:val="21"/>
    </w:rPr>
  </w:style>
  <w:style w:type="paragraph" w:customStyle="1" w:styleId="15">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30719</Words>
  <Characters>32244</Characters>
  <Lines>0</Lines>
  <Paragraphs>0</Paragraphs>
  <TotalTime>0</TotalTime>
  <ScaleCrop>false</ScaleCrop>
  <LinksUpToDate>false</LinksUpToDate>
  <CharactersWithSpaces>36849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2023-07-17T13:41:00Z</dcterms:created>
  <dc:creator>崔联梅(天伟工程审计公司)</dc:creator>
  <cp:lastModifiedBy>崔联梅(天伟工程审计公司)</cp:lastModifiedBy>
  <dcterms:modified xsi:type="dcterms:W3CDTF">2023-07-24T06:28:52Z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48A00A3EB90C43789416DC390DBB3979_11</vt:lpwstr>
  </property>
</Properties>
</file>