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088" w:hanging="2088" w:hangingChars="400"/>
        <w:jc w:val="both"/>
        <w:rPr>
          <w:rFonts w:hint="eastAsia" w:ascii="宋体" w:hAnsi="宋体" w:eastAsia="宋体" w:cs="宋体"/>
          <w:b/>
          <w:bCs/>
          <w:color w:val="auto"/>
          <w:kern w:val="16"/>
          <w:sz w:val="52"/>
          <w:szCs w:val="52"/>
          <w:highlight w:val="none"/>
        </w:rPr>
      </w:pPr>
      <w:r>
        <w:rPr>
          <w:rFonts w:hint="eastAsia" w:ascii="宋体" w:hAnsi="宋体" w:eastAsia="宋体" w:cs="宋体"/>
          <w:b/>
          <w:bCs/>
          <w:color w:val="auto"/>
          <w:kern w:val="16"/>
          <w:sz w:val="52"/>
          <w:szCs w:val="52"/>
          <w:highlight w:val="none"/>
          <w:lang w:eastAsia="zh-CN"/>
        </w:rPr>
        <w:t>邹城市城前镇青邑南岭村基础设施建设项目（路、排水）工程</w:t>
      </w:r>
    </w:p>
    <w:p>
      <w:pPr>
        <w:pStyle w:val="9"/>
        <w:rPr>
          <w:rFonts w:hint="default" w:ascii="宋体" w:hAnsi="宋体" w:eastAsia="宋体" w:cs="宋体"/>
          <w:color w:val="auto"/>
          <w:lang w:val="en-US"/>
        </w:rPr>
      </w:pPr>
    </w:p>
    <w:p>
      <w:pPr>
        <w:pStyle w:val="5"/>
        <w:jc w:val="center"/>
        <w:rPr>
          <w:rFonts w:hint="eastAsia" w:ascii="宋体" w:hAnsi="宋体" w:eastAsia="宋体" w:cs="宋体"/>
          <w:b/>
          <w:color w:val="auto"/>
          <w:sz w:val="84"/>
          <w:szCs w:val="84"/>
          <w:highlight w:val="none"/>
        </w:rPr>
      </w:pPr>
      <w:bookmarkStart w:id="0" w:name="_Toc381880843"/>
      <w:r>
        <w:rPr>
          <w:rFonts w:hint="eastAsia" w:ascii="宋体" w:hAnsi="宋体" w:eastAsia="宋体" w:cs="宋体"/>
          <w:b/>
          <w:color w:val="auto"/>
          <w:sz w:val="84"/>
          <w:szCs w:val="84"/>
          <w:highlight w:val="none"/>
        </w:rPr>
        <w:t>竞争性磋商文件</w:t>
      </w:r>
      <w:bookmarkEnd w:id="0"/>
    </w:p>
    <w:p>
      <w:pPr>
        <w:jc w:val="both"/>
        <w:rPr>
          <w:rFonts w:hint="eastAsia" w:ascii="宋体" w:hAnsi="宋体" w:eastAsia="宋体" w:cs="宋体"/>
          <w:b/>
          <w:color w:val="auto"/>
          <w:sz w:val="32"/>
          <w:szCs w:val="32"/>
          <w:highlight w:val="none"/>
        </w:rPr>
      </w:pPr>
    </w:p>
    <w:p>
      <w:pPr>
        <w:jc w:val="center"/>
        <w:rPr>
          <w:rFonts w:hint="eastAsia" w:ascii="宋体" w:hAnsi="宋体" w:eastAsia="宋体" w:cs="宋体"/>
          <w:b/>
          <w:bCs/>
          <w:color w:val="auto"/>
          <w:kern w:val="16"/>
          <w:sz w:val="36"/>
          <w:szCs w:val="36"/>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
          <w:color w:val="auto"/>
          <w:sz w:val="32"/>
          <w:szCs w:val="32"/>
          <w:highlight w:val="none"/>
          <w:lang w:eastAsia="zh-CN"/>
        </w:rPr>
        <w:t>SDMY-CQZ-2023-0002</w:t>
      </w:r>
    </w:p>
    <w:p>
      <w:pPr>
        <w:pStyle w:val="9"/>
        <w:rPr>
          <w:rFonts w:hint="eastAsia" w:ascii="宋体" w:hAnsi="宋体" w:eastAsia="宋体" w:cs="宋体"/>
          <w:b w:val="0"/>
          <w:bCs w:val="0"/>
          <w:color w:val="auto"/>
          <w:kern w:val="16"/>
          <w:sz w:val="36"/>
          <w:szCs w:val="36"/>
          <w:highlight w:val="none"/>
        </w:rPr>
      </w:pPr>
    </w:p>
    <w:p>
      <w:pPr>
        <w:rPr>
          <w:rFonts w:hint="eastAsia" w:ascii="宋体" w:hAnsi="宋体" w:eastAsia="宋体" w:cs="宋体"/>
          <w:b/>
          <w:bCs/>
          <w:color w:val="auto"/>
          <w:kern w:val="16"/>
          <w:sz w:val="36"/>
          <w:szCs w:val="36"/>
          <w:highlight w:val="none"/>
        </w:rPr>
      </w:pPr>
      <w:r>
        <w:rPr>
          <w:rFonts w:hint="eastAsia" w:ascii="宋体" w:hAnsi="宋体" w:eastAsia="宋体" w:cs="宋体"/>
          <w:lang w:val="en-US" w:eastAsia="zh-CN"/>
        </w:rPr>
        <w:t xml:space="preserve">                     </w:t>
      </w:r>
      <w:r>
        <w:rPr>
          <w:rFonts w:hint="eastAsia" w:ascii="宋体" w:hAnsi="宋体" w:eastAsia="宋体" w:cs="宋体"/>
        </w:rPr>
        <w:drawing>
          <wp:inline distT="0" distB="0" distL="0" distR="0">
            <wp:extent cx="3082290" cy="2703195"/>
            <wp:effectExtent l="0" t="0" r="3810" b="1905"/>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19" cstate="print"/>
                    <a:srcRect/>
                    <a:stretch>
                      <a:fillRect/>
                    </a:stretch>
                  </pic:blipFill>
                  <pic:spPr>
                    <a:xfrm>
                      <a:off x="0" y="0"/>
                      <a:ext cx="3082290" cy="2703195"/>
                    </a:xfrm>
                    <a:prstGeom prst="rect">
                      <a:avLst/>
                    </a:prstGeom>
                    <a:ln>
                      <a:noFill/>
                    </a:ln>
                  </pic:spPr>
                </pic:pic>
              </a:graphicData>
            </a:graphic>
          </wp:inline>
        </w:drawing>
      </w:r>
    </w:p>
    <w:p>
      <w:pPr>
        <w:pStyle w:val="9"/>
        <w:rPr>
          <w:rFonts w:hint="eastAsia" w:ascii="宋体" w:hAnsi="宋体" w:eastAsia="宋体" w:cs="宋体"/>
          <w:b w:val="0"/>
          <w:bCs w:val="0"/>
          <w:color w:val="auto"/>
          <w:kern w:val="16"/>
          <w:sz w:val="36"/>
          <w:szCs w:val="36"/>
          <w:highlight w:val="none"/>
        </w:rPr>
      </w:pPr>
    </w:p>
    <w:p>
      <w:pPr>
        <w:pStyle w:val="15"/>
        <w:jc w:val="both"/>
        <w:rPr>
          <w:rFonts w:hint="eastAsia" w:ascii="宋体" w:hAnsi="宋体" w:eastAsia="宋体" w:cs="宋体"/>
          <w:color w:val="auto"/>
          <w:sz w:val="32"/>
          <w:highlight w:val="none"/>
        </w:rPr>
      </w:pPr>
    </w:p>
    <w:p>
      <w:pPr>
        <w:pStyle w:val="15"/>
        <w:jc w:val="center"/>
        <w:rPr>
          <w:rFonts w:hint="eastAsia" w:ascii="宋体" w:hAnsi="宋体" w:eastAsia="宋体" w:cs="宋体"/>
          <w:color w:val="auto"/>
          <w:sz w:val="32"/>
          <w:highlight w:val="none"/>
        </w:rPr>
      </w:pPr>
    </w:p>
    <w:p>
      <w:pPr>
        <w:pStyle w:val="15"/>
        <w:jc w:val="center"/>
        <w:rPr>
          <w:rFonts w:hint="eastAsia" w:ascii="宋体" w:hAnsi="宋体" w:eastAsia="宋体" w:cs="宋体"/>
          <w:color w:val="auto"/>
          <w:sz w:val="32"/>
          <w:highlight w:val="none"/>
        </w:rPr>
      </w:pPr>
    </w:p>
    <w:p>
      <w:pPr>
        <w:pStyle w:val="15"/>
        <w:spacing w:line="640" w:lineRule="exact"/>
        <w:ind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 购 人：</w:t>
      </w:r>
      <w:r>
        <w:rPr>
          <w:rFonts w:hint="eastAsia" w:ascii="宋体" w:hAnsi="宋体" w:eastAsia="宋体" w:cs="宋体"/>
          <w:b/>
          <w:color w:val="auto"/>
          <w:sz w:val="36"/>
          <w:szCs w:val="36"/>
          <w:highlight w:val="none"/>
          <w:lang w:eastAsia="zh-CN"/>
        </w:rPr>
        <w:t>邹城市城前镇人民政府</w:t>
      </w:r>
    </w:p>
    <w:p>
      <w:pPr>
        <w:pStyle w:val="15"/>
        <w:spacing w:line="640" w:lineRule="exact"/>
        <w:ind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代理机构：</w:t>
      </w:r>
      <w:r>
        <w:rPr>
          <w:rFonts w:hint="eastAsia" w:ascii="宋体" w:hAnsi="宋体" w:eastAsia="宋体" w:cs="宋体"/>
          <w:b/>
          <w:color w:val="auto"/>
          <w:sz w:val="36"/>
          <w:szCs w:val="36"/>
          <w:highlight w:val="none"/>
          <w:lang w:eastAsia="zh-CN"/>
        </w:rPr>
        <w:t>山东铭一项目管理有限公司</w:t>
      </w:r>
    </w:p>
    <w:p>
      <w:pPr>
        <w:tabs>
          <w:tab w:val="left" w:pos="1080"/>
        </w:tabs>
        <w:snapToGrid w:val="0"/>
        <w:spacing w:line="640" w:lineRule="exact"/>
        <w:ind w:firstLine="1063" w:firstLineChars="294"/>
        <w:rPr>
          <w:rFonts w:hint="eastAsia" w:ascii="宋体" w:hAnsi="宋体" w:eastAsia="宋体" w:cs="宋体"/>
          <w:color w:val="auto"/>
          <w:highlight w:val="none"/>
        </w:rPr>
      </w:pPr>
      <w:r>
        <w:rPr>
          <w:rFonts w:hint="eastAsia" w:ascii="宋体" w:hAnsi="宋体" w:eastAsia="宋体" w:cs="宋体"/>
          <w:b/>
          <w:color w:val="auto"/>
          <w:sz w:val="36"/>
          <w:szCs w:val="36"/>
          <w:highlight w:val="none"/>
        </w:rPr>
        <w:t>日    期：二○二</w:t>
      </w:r>
      <w:r>
        <w:rPr>
          <w:rFonts w:hint="eastAsia" w:ascii="宋体" w:hAnsi="宋体" w:eastAsia="宋体" w:cs="宋体"/>
          <w:b/>
          <w:color w:val="auto"/>
          <w:sz w:val="36"/>
          <w:szCs w:val="36"/>
          <w:highlight w:val="none"/>
          <w:lang w:val="en-US" w:eastAsia="zh-CN"/>
        </w:rPr>
        <w:t>三</w:t>
      </w:r>
      <w:r>
        <w:rPr>
          <w:rFonts w:hint="eastAsia" w:ascii="宋体" w:hAnsi="宋体" w:eastAsia="宋体" w:cs="宋体"/>
          <w:b/>
          <w:color w:val="auto"/>
          <w:sz w:val="36"/>
          <w:szCs w:val="36"/>
          <w:highlight w:val="none"/>
        </w:rPr>
        <w:t>年</w:t>
      </w:r>
      <w:r>
        <w:rPr>
          <w:rFonts w:hint="eastAsia" w:ascii="宋体" w:hAnsi="宋体" w:eastAsia="宋体" w:cs="宋体"/>
          <w:b/>
          <w:color w:val="auto"/>
          <w:sz w:val="36"/>
          <w:szCs w:val="36"/>
          <w:highlight w:val="none"/>
          <w:lang w:val="en-US" w:eastAsia="zh-CN"/>
        </w:rPr>
        <w:t>四</w:t>
      </w:r>
      <w:r>
        <w:rPr>
          <w:rFonts w:hint="eastAsia" w:ascii="宋体" w:hAnsi="宋体" w:eastAsia="宋体" w:cs="宋体"/>
          <w:b/>
          <w:color w:val="auto"/>
          <w:sz w:val="36"/>
          <w:szCs w:val="36"/>
          <w:highlight w:val="none"/>
        </w:rPr>
        <w:t>月</w:t>
      </w:r>
    </w:p>
    <w:p>
      <w:pPr>
        <w:tabs>
          <w:tab w:val="left" w:pos="1080"/>
        </w:tabs>
        <w:snapToGrid w:val="0"/>
        <w:spacing w:line="360" w:lineRule="auto"/>
        <w:ind w:firstLine="885" w:firstLineChars="294"/>
        <w:jc w:val="center"/>
        <w:rPr>
          <w:rFonts w:hint="eastAsia" w:ascii="宋体" w:hAnsi="宋体" w:eastAsia="宋体" w:cs="宋体"/>
          <w:b/>
          <w:bCs/>
          <w:color w:val="auto"/>
          <w:sz w:val="30"/>
          <w:szCs w:val="30"/>
          <w:highlight w:val="none"/>
        </w:rPr>
        <w:sectPr>
          <w:headerReference r:id="rId4" w:type="first"/>
          <w:headerReference r:id="rId3" w:type="default"/>
          <w:footerReference r:id="rId5" w:type="even"/>
          <w:pgSz w:w="11906" w:h="16838"/>
          <w:pgMar w:top="1361" w:right="1361" w:bottom="1304" w:left="1361" w:header="851" w:footer="851" w:gutter="0"/>
          <w:cols w:space="720" w:num="1"/>
          <w:titlePg/>
          <w:docGrid w:linePitch="312" w:charSpace="0"/>
        </w:sectPr>
      </w:pPr>
    </w:p>
    <w:p>
      <w:pPr>
        <w:pStyle w:val="2"/>
        <w:rPr>
          <w:rFonts w:hint="eastAsia" w:ascii="宋体" w:hAnsi="宋体" w:eastAsia="宋体" w:cs="宋体"/>
          <w:color w:val="auto"/>
        </w:rPr>
      </w:pPr>
    </w:p>
    <w:p>
      <w:pPr>
        <w:tabs>
          <w:tab w:val="left" w:pos="1080"/>
        </w:tabs>
        <w:snapToGrid w:val="0"/>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目  录</w:t>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TOC \o "1-1" \h \u </w:instrText>
      </w:r>
      <w:r>
        <w:rPr>
          <w:rFonts w:hint="eastAsia" w:ascii="宋体" w:hAnsi="宋体" w:eastAsia="宋体" w:cs="宋体"/>
          <w:color w:val="auto"/>
          <w:sz w:val="24"/>
          <w:highlight w:val="none"/>
        </w:rPr>
        <w:fldChar w:fldCharType="separate"/>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_Toc21792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第一部分  竞争性磋商公告</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_Toc21792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_Toc6067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第二部分  磋商响应方须知</w:t>
      </w:r>
      <w:r>
        <w:rPr>
          <w:rFonts w:hint="eastAsia" w:ascii="宋体" w:hAnsi="宋体" w:eastAsia="宋体" w:cs="宋体"/>
          <w:b/>
          <w:bCs/>
          <w:color w:val="auto"/>
          <w:sz w:val="28"/>
          <w:szCs w:val="28"/>
          <w:highlight w:val="none"/>
        </w:rPr>
        <w:tab/>
      </w:r>
      <w:bookmarkStart w:id="1" w:name="_Hlt39659170"/>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_Toc6067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w:t>
      </w:r>
      <w:r>
        <w:rPr>
          <w:rFonts w:hint="eastAsia" w:ascii="宋体" w:hAnsi="宋体" w:eastAsia="宋体" w:cs="宋体"/>
          <w:b/>
          <w:bCs/>
          <w:color w:val="auto"/>
          <w:sz w:val="28"/>
          <w:szCs w:val="28"/>
          <w:highlight w:val="none"/>
        </w:rPr>
        <w:fldChar w:fldCharType="end"/>
      </w:r>
      <w:bookmarkEnd w:id="1"/>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_Toc19797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第三部分  磋商组织、步骤与评审方法</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_Toc19797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12</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_Toc13323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第四部分  采购内容及要求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_Toc13323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15</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_Toc18155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第五部分  合同授予</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_Toc18155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40</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spacing w:line="480" w:lineRule="auto"/>
        <w:rPr>
          <w:rFonts w:hint="eastAsia" w:ascii="宋体" w:hAnsi="宋体" w:eastAsia="宋体" w:cs="宋体"/>
          <w:color w:val="auto"/>
          <w:highlight w:val="none"/>
        </w:rPr>
      </w:pP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HYPERLINK \l _Toc15400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第六部分  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_Toc15400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64</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sz w:val="28"/>
          <w:szCs w:val="28"/>
          <w:highlight w:val="none"/>
        </w:rPr>
        <w:fldChar w:fldCharType="end"/>
      </w:r>
    </w:p>
    <w:p>
      <w:pPr>
        <w:pStyle w:val="16"/>
        <w:tabs>
          <w:tab w:val="right" w:leader="dot" w:pos="9184"/>
        </w:tabs>
        <w:rPr>
          <w:rFonts w:hint="eastAsia" w:ascii="宋体" w:hAnsi="宋体" w:eastAsia="宋体" w:cs="宋体"/>
          <w:color w:val="auto"/>
          <w:highlight w:val="none"/>
        </w:rPr>
      </w:pPr>
    </w:p>
    <w:p>
      <w:pPr>
        <w:spacing w:line="600" w:lineRule="auto"/>
        <w:jc w:val="left"/>
        <w:rPr>
          <w:rFonts w:hint="eastAsia" w:ascii="宋体" w:hAnsi="宋体" w:eastAsia="宋体" w:cs="宋体"/>
          <w:color w:val="auto"/>
          <w:sz w:val="24"/>
          <w:highlight w:val="none"/>
        </w:rPr>
      </w:pPr>
      <w:r>
        <w:rPr>
          <w:rFonts w:hint="eastAsia" w:ascii="宋体" w:hAnsi="宋体" w:eastAsia="宋体" w:cs="宋体"/>
          <w:color w:val="auto"/>
          <w:highlight w:val="none"/>
        </w:rPr>
        <w:fldChar w:fldCharType="end"/>
      </w:r>
    </w:p>
    <w:p>
      <w:pPr>
        <w:spacing w:line="360" w:lineRule="auto"/>
        <w:jc w:val="center"/>
        <w:rPr>
          <w:rFonts w:hint="eastAsia" w:ascii="宋体" w:hAnsi="宋体" w:eastAsia="宋体" w:cs="宋体"/>
          <w:color w:val="auto"/>
          <w:sz w:val="32"/>
          <w:szCs w:val="32"/>
          <w:highlight w:val="none"/>
        </w:rPr>
        <w:sectPr>
          <w:footerReference r:id="rId7" w:type="first"/>
          <w:footerReference r:id="rId6" w:type="default"/>
          <w:pgSz w:w="11906" w:h="16838"/>
          <w:pgMar w:top="1361" w:right="1361" w:bottom="1304" w:left="1361" w:header="851" w:footer="851" w:gutter="0"/>
          <w:pgNumType w:fmt="decimal" w:start="1"/>
          <w:cols w:space="720" w:num="1"/>
          <w:titlePg/>
          <w:docGrid w:linePitch="312" w:charSpace="0"/>
        </w:sectPr>
      </w:pPr>
      <w:bookmarkStart w:id="2" w:name="_Toc25373"/>
    </w:p>
    <w:p>
      <w:pPr>
        <w:widowControl/>
        <w:shd w:val="clear" w:color="auto" w:fill="FFFFFF"/>
        <w:tabs>
          <w:tab w:val="left" w:pos="840"/>
        </w:tabs>
        <w:spacing w:line="460" w:lineRule="exact"/>
        <w:jc w:val="center"/>
        <w:outlineLvl w:val="0"/>
        <w:rPr>
          <w:rFonts w:hint="eastAsia" w:ascii="宋体" w:hAnsi="宋体" w:eastAsia="宋体" w:cs="宋体"/>
          <w:b/>
          <w:bCs/>
          <w:color w:val="auto"/>
          <w:kern w:val="16"/>
          <w:sz w:val="24"/>
          <w:highlight w:val="none"/>
        </w:rPr>
      </w:pPr>
      <w:bookmarkStart w:id="3" w:name="_Toc21792"/>
      <w:bookmarkStart w:id="4" w:name="OLE_LINK4"/>
      <w:r>
        <w:rPr>
          <w:rFonts w:hint="eastAsia" w:ascii="宋体" w:hAnsi="宋体" w:eastAsia="宋体" w:cs="宋体"/>
          <w:b/>
          <w:color w:val="auto"/>
          <w:sz w:val="32"/>
          <w:szCs w:val="32"/>
          <w:highlight w:val="none"/>
        </w:rPr>
        <w:t>第一部分  竞争性磋商公告</w:t>
      </w:r>
      <w:bookmarkEnd w:id="3"/>
    </w:p>
    <w:p>
      <w:pPr>
        <w:widowControl/>
        <w:shd w:val="clear" w:color="auto" w:fill="FFFFFF"/>
        <w:tabs>
          <w:tab w:val="left" w:pos="840"/>
        </w:tabs>
        <w:spacing w:after="120" w:afterLines="50" w:line="560" w:lineRule="exact"/>
        <w:jc w:val="center"/>
        <w:rPr>
          <w:rFonts w:hint="eastAsia" w:ascii="宋体" w:hAnsi="宋体" w:eastAsia="宋体" w:cs="宋体"/>
          <w:b/>
          <w:bCs/>
          <w:color w:val="auto"/>
          <w:kern w:val="16"/>
          <w:sz w:val="21"/>
          <w:szCs w:val="21"/>
          <w:highlight w:val="none"/>
        </w:rPr>
      </w:pPr>
      <w:bookmarkStart w:id="71" w:name="_GoBack"/>
      <w:r>
        <w:rPr>
          <w:rFonts w:hint="eastAsia" w:ascii="宋体" w:hAnsi="宋体" w:eastAsia="宋体" w:cs="宋体"/>
          <w:b/>
          <w:bCs/>
          <w:color w:val="auto"/>
          <w:kern w:val="16"/>
          <w:sz w:val="21"/>
          <w:szCs w:val="21"/>
          <w:highlight w:val="none"/>
          <w:lang w:eastAsia="zh-CN"/>
        </w:rPr>
        <w:t>邹城市城前镇青邑南岭村基础设施建设项目（路、排水）工程</w:t>
      </w:r>
      <w:r>
        <w:rPr>
          <w:rFonts w:hint="eastAsia" w:ascii="宋体" w:hAnsi="宋体" w:eastAsia="宋体" w:cs="宋体"/>
          <w:b/>
          <w:bCs/>
          <w:color w:val="auto"/>
          <w:kern w:val="16"/>
          <w:sz w:val="21"/>
          <w:szCs w:val="21"/>
          <w:highlight w:val="none"/>
        </w:rPr>
        <w:t>竞争性磋商公告</w:t>
      </w:r>
    </w:p>
    <w:bookmarkEnd w:id="4"/>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一、采购项目名称：</w:t>
      </w:r>
      <w:r>
        <w:rPr>
          <w:rFonts w:hint="eastAsia" w:ascii="宋体" w:hAnsi="宋体" w:eastAsia="宋体" w:cs="宋体"/>
          <w:b/>
          <w:color w:val="auto"/>
          <w:kern w:val="0"/>
          <w:sz w:val="21"/>
          <w:szCs w:val="21"/>
          <w:highlight w:val="none"/>
          <w:lang w:eastAsia="zh-CN"/>
        </w:rPr>
        <w:t>邹城市城前镇青邑南岭村基础设施建设项目（路、排水）工程</w:t>
      </w:r>
    </w:p>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二、采购项目编号：</w:t>
      </w:r>
      <w:r>
        <w:rPr>
          <w:rFonts w:hint="eastAsia" w:ascii="宋体" w:hAnsi="宋体" w:eastAsia="宋体" w:cs="宋体"/>
          <w:b/>
          <w:color w:val="auto"/>
          <w:kern w:val="0"/>
          <w:sz w:val="21"/>
          <w:szCs w:val="21"/>
          <w:highlight w:val="none"/>
          <w:lang w:eastAsia="zh-CN"/>
        </w:rPr>
        <w:t>SDMY-CQZ-2023-0002</w:t>
      </w:r>
    </w:p>
    <w:p>
      <w:pPr>
        <w:widowControl/>
        <w:shd w:val="clear" w:color="auto" w:fill="FFFFFF"/>
        <w:tabs>
          <w:tab w:val="left" w:pos="840"/>
        </w:tabs>
        <w:spacing w:line="360" w:lineRule="auto"/>
        <w:ind w:firstLine="422" w:firstLineChars="200"/>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三、采购项目分包情况：</w:t>
      </w:r>
    </w:p>
    <w:p>
      <w:pPr>
        <w:pStyle w:val="2"/>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kern w:val="0"/>
          <w:sz w:val="21"/>
          <w:szCs w:val="21"/>
          <w:highlight w:val="none"/>
          <w:lang w:val="en-US" w:eastAsia="zh-CN"/>
        </w:rPr>
        <w:t>四、</w:t>
      </w:r>
      <w:r>
        <w:rPr>
          <w:rFonts w:hint="eastAsia" w:ascii="宋体" w:hAnsi="宋体" w:eastAsia="宋体" w:cs="宋体"/>
          <w:b/>
          <w:color w:val="auto"/>
          <w:sz w:val="21"/>
          <w:szCs w:val="21"/>
          <w:highlight w:val="none"/>
        </w:rPr>
        <w:t>采购内容：</w:t>
      </w:r>
      <w:r>
        <w:rPr>
          <w:rFonts w:hint="eastAsia" w:ascii="宋体" w:hAnsi="宋体" w:eastAsia="宋体" w:cs="宋体"/>
          <w:b w:val="0"/>
          <w:bCs/>
          <w:color w:val="auto"/>
          <w:sz w:val="21"/>
          <w:szCs w:val="21"/>
          <w:highlight w:val="none"/>
          <w:lang w:eastAsia="zh-CN"/>
        </w:rPr>
        <w:t>邹城市城前镇青邑南岭村基础设施建设项目（路、排水）工程，</w:t>
      </w:r>
      <w:r>
        <w:rPr>
          <w:rFonts w:hint="eastAsia" w:ascii="宋体" w:hAnsi="宋体" w:eastAsia="宋体" w:cs="宋体"/>
          <w:bCs/>
          <w:color w:val="auto"/>
          <w:sz w:val="21"/>
          <w:szCs w:val="21"/>
          <w:highlight w:val="none"/>
        </w:rPr>
        <w:t>工程</w:t>
      </w:r>
      <w:r>
        <w:rPr>
          <w:rFonts w:hint="eastAsia" w:ascii="宋体" w:hAnsi="宋体" w:eastAsia="宋体" w:cs="宋体"/>
          <w:bCs/>
          <w:color w:val="auto"/>
          <w:sz w:val="21"/>
          <w:szCs w:val="21"/>
          <w:highlight w:val="none"/>
          <w:lang w:eastAsia="zh-CN"/>
        </w:rPr>
        <w:t>内容包括：</w:t>
      </w:r>
      <w:r>
        <w:rPr>
          <w:rFonts w:hint="eastAsia" w:ascii="宋体" w:hAnsi="宋体" w:eastAsia="宋体" w:cs="宋体"/>
          <w:bCs/>
          <w:color w:val="auto"/>
          <w:sz w:val="21"/>
          <w:szCs w:val="21"/>
          <w:highlight w:val="none"/>
          <w:lang w:val="en-US" w:eastAsia="zh-CN"/>
        </w:rPr>
        <w:t>建设村内广场水泥硬化，回填土方；村委会南东西主街道双侧排水沟砌筑，村主街道铺油</w:t>
      </w:r>
      <w:r>
        <w:rPr>
          <w:rFonts w:hint="eastAsia" w:ascii="宋体" w:hAnsi="宋体" w:eastAsia="宋体" w:cs="宋体"/>
          <w:bCs/>
          <w:color w:val="auto"/>
          <w:sz w:val="21"/>
          <w:szCs w:val="21"/>
          <w:highlight w:val="none"/>
          <w:lang w:eastAsia="zh-CN"/>
        </w:rPr>
        <w:t>等工程内容。</w:t>
      </w:r>
      <w:r>
        <w:rPr>
          <w:rFonts w:hint="eastAsia" w:ascii="宋体" w:hAnsi="宋体" w:eastAsia="宋体" w:cs="宋体"/>
          <w:b/>
          <w:bCs/>
          <w:color w:val="auto"/>
          <w:sz w:val="21"/>
          <w:szCs w:val="21"/>
          <w:highlight w:val="none"/>
        </w:rPr>
        <w:t>采购预算：</w:t>
      </w:r>
      <w:r>
        <w:rPr>
          <w:rFonts w:hint="eastAsia" w:ascii="宋体" w:hAnsi="宋体" w:eastAsia="宋体" w:cs="宋体"/>
          <w:b/>
          <w:bCs/>
          <w:color w:val="auto"/>
          <w:sz w:val="21"/>
          <w:szCs w:val="21"/>
          <w:highlight w:val="none"/>
          <w:lang w:eastAsia="zh-CN"/>
        </w:rPr>
        <w:t>567238.84</w:t>
      </w:r>
      <w:r>
        <w:rPr>
          <w:rFonts w:hint="eastAsia" w:ascii="宋体" w:hAnsi="宋体" w:eastAsia="宋体" w:cs="宋体"/>
          <w:b/>
          <w:bCs/>
          <w:color w:val="auto"/>
          <w:sz w:val="21"/>
          <w:szCs w:val="21"/>
          <w:highlight w:val="none"/>
        </w:rPr>
        <w:t>元。</w:t>
      </w:r>
      <w:r>
        <w:rPr>
          <w:rFonts w:hint="eastAsia" w:ascii="宋体" w:hAnsi="宋体" w:eastAsia="宋体" w:cs="宋体"/>
          <w:bCs/>
          <w:color w:val="auto"/>
          <w:sz w:val="21"/>
          <w:szCs w:val="21"/>
          <w:highlight w:val="none"/>
        </w:rPr>
        <w:t>（具体内容详见第四部分采购内容及要求）</w:t>
      </w:r>
    </w:p>
    <w:p>
      <w:pPr>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供应商资格要求</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lang w:val="en-US" w:eastAsia="zh-CN"/>
        </w:rPr>
        <w:t>1、</w:t>
      </w:r>
      <w:r>
        <w:rPr>
          <w:rFonts w:hint="eastAsia" w:ascii="宋体" w:hAnsi="宋体" w:eastAsia="宋体" w:cs="宋体"/>
          <w:bCs/>
          <w:color w:val="000000"/>
          <w:sz w:val="21"/>
          <w:szCs w:val="21"/>
        </w:rPr>
        <w:t>具备《政府采购法》第二十二条规定的条件。</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（一）具有独立承担民事责任的能力；</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（二）具有良好的商业信誉和健全的财务会计制度；</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（三）具有履行合同所必需的货物和专业技术能力；</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（四）有依法缴纳税收和社会保障资金的良好记录；</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（五）参加政府采购活动前三年内，在经营活动中没有重大违法记录；</w:t>
      </w:r>
    </w:p>
    <w:p>
      <w:pPr>
        <w:spacing w:line="440" w:lineRule="exact"/>
        <w:ind w:firstLine="420" w:firstLineChars="200"/>
        <w:rPr>
          <w:rFonts w:hint="eastAsia" w:ascii="宋体" w:hAnsi="宋体" w:eastAsia="宋体" w:cs="宋体"/>
          <w:bCs/>
          <w:color w:val="000000"/>
          <w:sz w:val="21"/>
          <w:szCs w:val="21"/>
        </w:rPr>
      </w:pPr>
      <w:r>
        <w:rPr>
          <w:rFonts w:hint="eastAsia" w:ascii="宋体" w:hAnsi="宋体" w:eastAsia="宋体" w:cs="宋体"/>
          <w:bCs/>
          <w:color w:val="000000"/>
          <w:sz w:val="21"/>
          <w:szCs w:val="21"/>
        </w:rPr>
        <w:t>（六）法律、行政法规规定的其他条件。</w:t>
      </w:r>
    </w:p>
    <w:p>
      <w:pPr>
        <w:spacing w:line="44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bCs/>
          <w:color w:val="000000"/>
          <w:sz w:val="21"/>
          <w:szCs w:val="21"/>
        </w:rPr>
        <w:t>2、本次采购要求：</w:t>
      </w:r>
      <w:r>
        <w:rPr>
          <w:rFonts w:hint="eastAsia" w:ascii="宋体" w:hAnsi="宋体" w:eastAsia="宋体" w:cs="宋体"/>
          <w:color w:val="000000"/>
          <w:kern w:val="0"/>
          <w:sz w:val="21"/>
          <w:szCs w:val="21"/>
        </w:rPr>
        <w:t>供应商须为国内注册具有独立法人资格,有效营业执照，营业执照</w:t>
      </w:r>
      <w:r>
        <w:rPr>
          <w:rFonts w:hint="eastAsia" w:ascii="宋体" w:hAnsi="宋体" w:eastAsia="宋体" w:cs="宋体"/>
          <w:color w:val="000000"/>
          <w:kern w:val="0"/>
          <w:sz w:val="21"/>
          <w:szCs w:val="21"/>
          <w:lang w:eastAsia="zh-CN"/>
        </w:rPr>
        <w:t>经营范围</w:t>
      </w:r>
      <w:r>
        <w:rPr>
          <w:rFonts w:hint="eastAsia" w:ascii="宋体" w:hAnsi="宋体" w:eastAsia="宋体" w:cs="宋体"/>
          <w:color w:val="000000"/>
          <w:kern w:val="0"/>
          <w:sz w:val="21"/>
          <w:szCs w:val="21"/>
        </w:rPr>
        <w:t>包含相关内容的公司，并在人员、设备、资金等方面具有相应的施工能力,无拖欠农民工工资的不良行为。</w:t>
      </w:r>
    </w:p>
    <w:p>
      <w:pPr>
        <w:spacing w:line="440" w:lineRule="exact"/>
        <w:ind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3、因建设工地扬尘污染受到行政处罚列入本行业诚信黑榜的供应商，不得参与本项目的磋商；因建设工地扬尘污染暂扣安全生产许可证的供应商，不得参与本项目的磋商。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lang w:val="en-US" w:eastAsia="zh-CN"/>
        </w:rPr>
        <w:t>4、本次竞争性磋商不接受联合体。</w:t>
      </w:r>
    </w:p>
    <w:p>
      <w:pPr>
        <w:tabs>
          <w:tab w:val="left" w:pos="315"/>
        </w:tabs>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hint="eastAsia" w:ascii="宋体" w:hAnsi="宋体" w:eastAsia="宋体" w:cs="宋体"/>
          <w:b/>
          <w:color w:val="auto"/>
          <w:kern w:val="0"/>
          <w:sz w:val="21"/>
          <w:szCs w:val="21"/>
          <w:highlight w:val="none"/>
        </w:rPr>
        <w:t>、磋商文件的获取：</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1.磋商文件获取时间：</w:t>
      </w:r>
      <w:r>
        <w:rPr>
          <w:rFonts w:hint="eastAsia" w:ascii="宋体" w:hAnsi="宋体" w:eastAsia="宋体" w:cs="宋体"/>
          <w:bCs/>
          <w:color w:val="auto"/>
          <w:kern w:val="0"/>
          <w:sz w:val="21"/>
          <w:szCs w:val="21"/>
          <w:highlight w:val="none"/>
          <w:lang w:eastAsia="zh-CN"/>
        </w:rPr>
        <w:t>2023</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04</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26</w:t>
      </w:r>
      <w:r>
        <w:rPr>
          <w:rFonts w:hint="eastAsia" w:ascii="宋体" w:hAnsi="宋体" w:eastAsia="宋体" w:cs="宋体"/>
          <w:bCs/>
          <w:color w:val="auto"/>
          <w:kern w:val="0"/>
          <w:sz w:val="21"/>
          <w:szCs w:val="21"/>
          <w:highlight w:val="none"/>
        </w:rPr>
        <w:t>日至</w:t>
      </w:r>
      <w:r>
        <w:rPr>
          <w:rFonts w:hint="eastAsia" w:ascii="宋体" w:hAnsi="宋体" w:eastAsia="宋体" w:cs="宋体"/>
          <w:bCs/>
          <w:color w:val="auto"/>
          <w:kern w:val="0"/>
          <w:sz w:val="21"/>
          <w:szCs w:val="21"/>
          <w:highlight w:val="none"/>
          <w:lang w:eastAsia="zh-CN"/>
        </w:rPr>
        <w:t>2023</w:t>
      </w:r>
      <w:r>
        <w:rPr>
          <w:rFonts w:hint="eastAsia" w:ascii="宋体" w:hAnsi="宋体" w:eastAsia="宋体" w:cs="宋体"/>
          <w:bCs/>
          <w:color w:val="auto"/>
          <w:kern w:val="0"/>
          <w:sz w:val="21"/>
          <w:szCs w:val="21"/>
          <w:highlight w:val="none"/>
        </w:rPr>
        <w:t>年</w:t>
      </w:r>
      <w:r>
        <w:rPr>
          <w:rFonts w:hint="eastAsia" w:ascii="宋体" w:hAnsi="宋体" w:eastAsia="宋体" w:cs="宋体"/>
          <w:bCs/>
          <w:color w:val="auto"/>
          <w:kern w:val="0"/>
          <w:sz w:val="21"/>
          <w:szCs w:val="21"/>
          <w:highlight w:val="none"/>
          <w:lang w:val="en-US" w:eastAsia="zh-CN"/>
        </w:rPr>
        <w:t>0</w:t>
      </w:r>
      <w:r>
        <w:rPr>
          <w:rFonts w:hint="eastAsia" w:ascii="宋体" w:hAnsi="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val="en-US" w:eastAsia="zh-CN"/>
        </w:rPr>
        <w:t xml:space="preserve"> </w:t>
      </w:r>
      <w:r>
        <w:rPr>
          <w:rFonts w:hint="eastAsia" w:ascii="宋体" w:hAnsi="宋体" w:eastAsia="宋体" w:cs="宋体"/>
          <w:bCs/>
          <w:color w:val="auto"/>
          <w:kern w:val="0"/>
          <w:sz w:val="21"/>
          <w:szCs w:val="21"/>
          <w:highlight w:val="none"/>
        </w:rPr>
        <w:t>日（北京时间）</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2.磋商文件获取方式：磋商响应方不必办理报名手续，登录邹城市外宣网(http://www.mencius.gov.cn/)-</w:t>
      </w:r>
      <w:r>
        <w:rPr>
          <w:rFonts w:hint="eastAsia" w:ascii="宋体" w:hAnsi="宋体" w:eastAsia="宋体" w:cs="宋体"/>
          <w:bCs/>
          <w:color w:val="auto"/>
          <w:kern w:val="0"/>
          <w:sz w:val="21"/>
          <w:szCs w:val="21"/>
          <w:highlight w:val="none"/>
          <w:lang w:val="en-US" w:eastAsia="zh-CN"/>
        </w:rPr>
        <w:t>乡镇采购</w:t>
      </w:r>
      <w:r>
        <w:rPr>
          <w:rFonts w:hint="eastAsia" w:ascii="宋体" w:hAnsi="宋体" w:eastAsia="宋体" w:cs="宋体"/>
          <w:bCs/>
          <w:color w:val="auto"/>
          <w:kern w:val="0"/>
          <w:sz w:val="21"/>
          <w:szCs w:val="21"/>
          <w:highlight w:val="none"/>
        </w:rPr>
        <w:t>直接点击公告下方附件下载竞争性磋商文件。</w:t>
      </w:r>
    </w:p>
    <w:p>
      <w:pPr>
        <w:tabs>
          <w:tab w:val="left" w:pos="315"/>
        </w:tabs>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、磋商响应文件的递交时间及地点：</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r>
        <w:rPr>
          <w:rFonts w:hint="eastAsia" w:ascii="宋体" w:hAnsi="宋体" w:eastAsia="宋体" w:cs="宋体"/>
          <w:bCs/>
          <w:color w:val="auto"/>
          <w:sz w:val="21"/>
          <w:szCs w:val="21"/>
          <w:highlight w:val="none"/>
          <w:lang w:eastAsia="zh-CN"/>
        </w:rPr>
        <w:t>邹城市城前镇人民政府</w:t>
      </w:r>
      <w:r>
        <w:rPr>
          <w:rFonts w:hint="eastAsia" w:ascii="宋体" w:hAnsi="宋体" w:eastAsia="宋体" w:cs="宋体"/>
          <w:bCs/>
          <w:color w:val="auto"/>
          <w:kern w:val="0"/>
          <w:sz w:val="21"/>
          <w:szCs w:val="21"/>
          <w:highlight w:val="none"/>
        </w:rPr>
        <w:t>于</w:t>
      </w:r>
      <w:r>
        <w:rPr>
          <w:rFonts w:hint="eastAsia" w:ascii="宋体" w:hAnsi="宋体" w:eastAsia="宋体" w:cs="宋体"/>
          <w:bCs/>
          <w:color w:val="auto"/>
          <w:kern w:val="0"/>
          <w:sz w:val="21"/>
          <w:szCs w:val="21"/>
          <w:highlight w:val="none"/>
          <w:lang w:eastAsia="zh-CN"/>
        </w:rPr>
        <w:t>2023年</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lang w:eastAsia="zh-CN"/>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eastAsia="zh-CN"/>
        </w:rPr>
        <w:t>日</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eastAsia="zh-CN"/>
        </w:rPr>
        <w:t>时</w:t>
      </w:r>
      <w:r>
        <w:rPr>
          <w:rFonts w:hint="eastAsia" w:ascii="宋体" w:hAnsi="宋体" w:eastAsia="宋体" w:cs="宋体"/>
          <w:bCs/>
          <w:color w:val="auto"/>
          <w:kern w:val="0"/>
          <w:sz w:val="21"/>
          <w:szCs w:val="21"/>
          <w:highlight w:val="none"/>
          <w:lang w:val="en-US" w:eastAsia="zh-CN"/>
        </w:rPr>
        <w:t>00</w:t>
      </w:r>
      <w:r>
        <w:rPr>
          <w:rFonts w:hint="eastAsia" w:ascii="宋体" w:hAnsi="宋体" w:eastAsia="宋体" w:cs="宋体"/>
          <w:bCs/>
          <w:color w:val="auto"/>
          <w:kern w:val="0"/>
          <w:sz w:val="21"/>
          <w:szCs w:val="21"/>
          <w:highlight w:val="none"/>
          <w:lang w:eastAsia="zh-CN"/>
        </w:rPr>
        <w:t>分</w:t>
      </w:r>
      <w:r>
        <w:rPr>
          <w:rFonts w:hint="eastAsia" w:ascii="宋体" w:hAnsi="宋体" w:eastAsia="宋体" w:cs="宋体"/>
          <w:bCs/>
          <w:color w:val="auto"/>
          <w:kern w:val="0"/>
          <w:sz w:val="21"/>
          <w:szCs w:val="21"/>
          <w:highlight w:val="none"/>
        </w:rPr>
        <w:t>（北京时间）磋商开始前在</w:t>
      </w:r>
      <w:r>
        <w:rPr>
          <w:rFonts w:hint="eastAsia" w:ascii="宋体" w:hAnsi="宋体" w:eastAsia="宋体" w:cs="宋体"/>
          <w:bCs/>
          <w:color w:val="auto"/>
          <w:kern w:val="0"/>
          <w:sz w:val="21"/>
          <w:szCs w:val="21"/>
          <w:highlight w:val="none"/>
          <w:lang w:eastAsia="zh-CN"/>
        </w:rPr>
        <w:t>邹城市城前镇公共资源交易中心开标室</w:t>
      </w:r>
      <w:r>
        <w:rPr>
          <w:rFonts w:hint="eastAsia" w:ascii="宋体" w:hAnsi="宋体" w:eastAsia="宋体" w:cs="宋体"/>
          <w:bCs/>
          <w:color w:val="auto"/>
          <w:kern w:val="0"/>
          <w:sz w:val="21"/>
          <w:szCs w:val="21"/>
          <w:highlight w:val="none"/>
        </w:rPr>
        <w:t>受理供应商磋商响应文件的递交；</w:t>
      </w:r>
    </w:p>
    <w:p>
      <w:pPr>
        <w:tabs>
          <w:tab w:val="left" w:pos="315"/>
        </w:tabs>
        <w:spacing w:line="360" w:lineRule="auto"/>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2、逾期送达或未送达指定地点的磋商响应文件，采购人不予受理。</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八</w:t>
      </w:r>
      <w:r>
        <w:rPr>
          <w:rFonts w:hint="eastAsia" w:ascii="宋体" w:hAnsi="宋体" w:eastAsia="宋体" w:cs="宋体"/>
          <w:b/>
          <w:color w:val="auto"/>
          <w:sz w:val="21"/>
          <w:szCs w:val="21"/>
          <w:highlight w:val="none"/>
        </w:rPr>
        <w:t>、磋商（开启）时间及地点</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1.时间：</w:t>
      </w:r>
      <w:r>
        <w:rPr>
          <w:rFonts w:hint="eastAsia" w:ascii="宋体" w:hAnsi="宋体" w:eastAsia="宋体" w:cs="宋体"/>
          <w:bCs/>
          <w:color w:val="auto"/>
          <w:kern w:val="0"/>
          <w:sz w:val="21"/>
          <w:szCs w:val="21"/>
          <w:highlight w:val="none"/>
          <w:lang w:eastAsia="zh-CN"/>
        </w:rPr>
        <w:t>2023年</w:t>
      </w:r>
      <w:r>
        <w:rPr>
          <w:rFonts w:hint="eastAsia" w:ascii="宋体" w:hAnsi="宋体" w:eastAsia="宋体" w:cs="宋体"/>
          <w:bCs/>
          <w:color w:val="auto"/>
          <w:kern w:val="0"/>
          <w:sz w:val="21"/>
          <w:szCs w:val="21"/>
          <w:highlight w:val="none"/>
          <w:lang w:val="en-US" w:eastAsia="zh-CN"/>
        </w:rPr>
        <w:t>05</w:t>
      </w:r>
      <w:r>
        <w:rPr>
          <w:rFonts w:hint="eastAsia" w:ascii="宋体" w:hAnsi="宋体" w:eastAsia="宋体" w:cs="宋体"/>
          <w:bCs/>
          <w:color w:val="auto"/>
          <w:kern w:val="0"/>
          <w:sz w:val="21"/>
          <w:szCs w:val="21"/>
          <w:highlight w:val="none"/>
          <w:lang w:eastAsia="zh-CN"/>
        </w:rPr>
        <w:t>月</w:t>
      </w:r>
      <w:r>
        <w:rPr>
          <w:rFonts w:hint="eastAsia" w:ascii="宋体" w:hAnsi="宋体" w:eastAsia="宋体" w:cs="宋体"/>
          <w:bCs/>
          <w:color w:val="auto"/>
          <w:kern w:val="0"/>
          <w:sz w:val="21"/>
          <w:szCs w:val="21"/>
          <w:highlight w:val="none"/>
          <w:lang w:val="en-US" w:eastAsia="zh-CN"/>
        </w:rPr>
        <w:t>0</w:t>
      </w:r>
      <w:r>
        <w:rPr>
          <w:rFonts w:hint="default" w:ascii="宋体" w:hAnsi="宋体" w:eastAsia="宋体" w:cs="宋体"/>
          <w:bCs/>
          <w:color w:val="auto"/>
          <w:kern w:val="0"/>
          <w:sz w:val="21"/>
          <w:szCs w:val="21"/>
          <w:highlight w:val="none"/>
          <w:lang w:val="en-US" w:eastAsia="zh-CN"/>
        </w:rPr>
        <w:t>8</w:t>
      </w:r>
      <w:r>
        <w:rPr>
          <w:rFonts w:hint="eastAsia" w:ascii="宋体" w:hAnsi="宋体" w:eastAsia="宋体" w:cs="宋体"/>
          <w:bCs/>
          <w:color w:val="auto"/>
          <w:kern w:val="0"/>
          <w:sz w:val="21"/>
          <w:szCs w:val="21"/>
          <w:highlight w:val="none"/>
          <w:lang w:eastAsia="zh-CN"/>
        </w:rPr>
        <w:t>日</w:t>
      </w:r>
      <w:r>
        <w:rPr>
          <w:rFonts w:hint="eastAsia" w:ascii="宋体" w:hAnsi="宋体" w:eastAsia="宋体" w:cs="宋体"/>
          <w:bCs/>
          <w:color w:val="auto"/>
          <w:kern w:val="0"/>
          <w:sz w:val="21"/>
          <w:szCs w:val="21"/>
          <w:highlight w:val="none"/>
          <w:lang w:val="en-US" w:eastAsia="zh-CN"/>
        </w:rPr>
        <w:t>1</w:t>
      </w:r>
      <w:r>
        <w:rPr>
          <w:rFonts w:hint="default"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eastAsia="zh-CN"/>
        </w:rPr>
        <w:t>时</w:t>
      </w:r>
      <w:r>
        <w:rPr>
          <w:rFonts w:hint="eastAsia" w:ascii="宋体" w:hAnsi="宋体" w:eastAsia="宋体" w:cs="宋体"/>
          <w:bCs/>
          <w:color w:val="auto"/>
          <w:kern w:val="0"/>
          <w:sz w:val="21"/>
          <w:szCs w:val="21"/>
          <w:highlight w:val="none"/>
          <w:lang w:val="en-US" w:eastAsia="zh-CN"/>
        </w:rPr>
        <w:t>00</w:t>
      </w:r>
      <w:r>
        <w:rPr>
          <w:rFonts w:hint="eastAsia" w:ascii="宋体" w:hAnsi="宋体" w:eastAsia="宋体" w:cs="宋体"/>
          <w:bCs/>
          <w:color w:val="auto"/>
          <w:kern w:val="0"/>
          <w:sz w:val="21"/>
          <w:szCs w:val="21"/>
          <w:highlight w:val="none"/>
          <w:lang w:eastAsia="zh-CN"/>
        </w:rPr>
        <w:t>分</w:t>
      </w:r>
      <w:r>
        <w:rPr>
          <w:rFonts w:hint="eastAsia" w:ascii="宋体" w:hAnsi="宋体" w:eastAsia="宋体" w:cs="宋体"/>
          <w:bCs/>
          <w:color w:val="auto"/>
          <w:sz w:val="21"/>
          <w:szCs w:val="21"/>
          <w:highlight w:val="none"/>
        </w:rPr>
        <w:t>（北京时间）</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2.地点：</w:t>
      </w:r>
      <w:r>
        <w:rPr>
          <w:rFonts w:hint="eastAsia" w:ascii="宋体" w:hAnsi="宋体" w:eastAsia="宋体" w:cs="宋体"/>
          <w:bCs/>
          <w:color w:val="auto"/>
          <w:kern w:val="0"/>
          <w:sz w:val="21"/>
          <w:szCs w:val="21"/>
          <w:highlight w:val="none"/>
          <w:lang w:eastAsia="zh-CN"/>
        </w:rPr>
        <w:t>邹城市城前镇公共资源交易中心开标室</w:t>
      </w:r>
      <w:r>
        <w:rPr>
          <w:rFonts w:hint="eastAsia" w:ascii="宋体" w:hAnsi="宋体" w:eastAsia="宋体" w:cs="宋体"/>
          <w:bCs/>
          <w:color w:val="auto"/>
          <w:sz w:val="21"/>
          <w:szCs w:val="21"/>
          <w:highlight w:val="none"/>
        </w:rPr>
        <w:t xml:space="preserve"> </w:t>
      </w:r>
    </w:p>
    <w:p>
      <w:pPr>
        <w:tabs>
          <w:tab w:val="left" w:pos="315"/>
        </w:tabs>
        <w:spacing w:line="360" w:lineRule="auto"/>
        <w:ind w:firstLine="422" w:firstLineChars="200"/>
        <w:rPr>
          <w:rFonts w:hint="eastAsia" w:ascii="宋体" w:hAnsi="宋体" w:eastAsia="宋体" w:cs="宋体"/>
          <w:b/>
          <w:color w:val="auto"/>
          <w:kern w:val="0"/>
          <w:sz w:val="21"/>
          <w:szCs w:val="21"/>
          <w:highlight w:val="none"/>
        </w:rPr>
      </w:pPr>
      <w:r>
        <w:rPr>
          <w:rFonts w:hint="eastAsia" w:ascii="宋体" w:hAnsi="宋体" w:cs="宋体"/>
          <w:b/>
          <w:color w:val="auto"/>
          <w:sz w:val="21"/>
          <w:szCs w:val="21"/>
          <w:highlight w:val="none"/>
          <w:lang w:val="en-US" w:eastAsia="zh-CN"/>
        </w:rPr>
        <w:t>九</w:t>
      </w:r>
      <w:r>
        <w:rPr>
          <w:rFonts w:hint="eastAsia" w:ascii="宋体" w:hAnsi="宋体" w:eastAsia="宋体" w:cs="宋体"/>
          <w:b/>
          <w:color w:val="auto"/>
          <w:sz w:val="21"/>
          <w:szCs w:val="21"/>
          <w:highlight w:val="none"/>
        </w:rPr>
        <w:t>、联系方式</w:t>
      </w:r>
      <w:r>
        <w:rPr>
          <w:rFonts w:hint="eastAsia" w:ascii="宋体" w:hAnsi="宋体" w:eastAsia="宋体" w:cs="宋体"/>
          <w:b/>
          <w:color w:val="auto"/>
          <w:kern w:val="0"/>
          <w:sz w:val="21"/>
          <w:szCs w:val="21"/>
          <w:highlight w:val="none"/>
        </w:rPr>
        <w:t>：</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采 购 人：</w:t>
      </w:r>
      <w:r>
        <w:rPr>
          <w:rFonts w:hint="eastAsia" w:ascii="宋体" w:hAnsi="宋体" w:eastAsia="宋体" w:cs="宋体"/>
          <w:bCs/>
          <w:color w:val="auto"/>
          <w:sz w:val="21"/>
          <w:szCs w:val="21"/>
          <w:highlight w:val="none"/>
          <w:lang w:eastAsia="zh-CN"/>
        </w:rPr>
        <w:t>邹城市城前镇人民政府</w:t>
      </w:r>
    </w:p>
    <w:p>
      <w:pPr>
        <w:spacing w:line="360" w:lineRule="auto"/>
        <w:ind w:firstLine="420" w:firstLineChars="200"/>
        <w:rPr>
          <w:rFonts w:hint="eastAsia"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地    址：邹城市</w:t>
      </w:r>
      <w:r>
        <w:rPr>
          <w:rFonts w:hint="eastAsia" w:ascii="宋体" w:hAnsi="宋体" w:eastAsia="宋体" w:cs="宋体"/>
          <w:bCs/>
          <w:color w:val="auto"/>
          <w:sz w:val="21"/>
          <w:szCs w:val="21"/>
          <w:highlight w:val="none"/>
          <w:lang w:eastAsia="zh-CN"/>
        </w:rPr>
        <w:t>城前镇</w:t>
      </w:r>
    </w:p>
    <w:p>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rPr>
        <w:t>联 系 人：</w:t>
      </w:r>
      <w:r>
        <w:rPr>
          <w:rFonts w:hint="eastAsia" w:ascii="宋体" w:hAnsi="宋体" w:eastAsia="宋体" w:cs="宋体"/>
          <w:color w:val="auto"/>
          <w:kern w:val="0"/>
          <w:sz w:val="21"/>
          <w:szCs w:val="21"/>
          <w:highlight w:val="none"/>
          <w:lang w:val="en-US" w:eastAsia="zh-CN"/>
        </w:rPr>
        <w:t>郑主任</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lang w:val="en-US" w:eastAsia="zh-CN"/>
        </w:rPr>
        <w:t>15166780512</w:t>
      </w:r>
    </w:p>
    <w:p>
      <w:pPr>
        <w:pStyle w:val="2"/>
        <w:rPr>
          <w:rFonts w:hint="default"/>
          <w:lang w:val="en-US"/>
        </w:rPr>
      </w:pP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代理机构：</w:t>
      </w:r>
      <w:r>
        <w:rPr>
          <w:rFonts w:hint="eastAsia" w:ascii="宋体" w:hAnsi="宋体" w:eastAsia="宋体" w:cs="宋体"/>
          <w:bCs/>
          <w:color w:val="auto"/>
          <w:sz w:val="21"/>
          <w:szCs w:val="21"/>
          <w:highlight w:val="none"/>
          <w:lang w:eastAsia="zh-CN"/>
        </w:rPr>
        <w:t>山东铭一项目管理有限公司</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地    址：</w:t>
      </w:r>
      <w:r>
        <w:rPr>
          <w:rFonts w:hint="eastAsia" w:ascii="宋体" w:hAnsi="宋体" w:eastAsia="宋体" w:cs="宋体"/>
          <w:bCs/>
          <w:color w:val="auto"/>
          <w:sz w:val="21"/>
          <w:szCs w:val="21"/>
          <w:highlight w:val="none"/>
          <w:lang w:eastAsia="zh-CN"/>
        </w:rPr>
        <w:t>山东省邹城市太平东路新都会A栋</w:t>
      </w:r>
    </w:p>
    <w:p>
      <w:pPr>
        <w:spacing w:line="360" w:lineRule="auto"/>
        <w:ind w:firstLine="420" w:firstLineChars="200"/>
        <w:rPr>
          <w:rFonts w:hint="default" w:ascii="宋体" w:hAnsi="宋体" w:eastAsia="宋体" w:cs="宋体"/>
          <w:bCs/>
          <w:color w:val="auto"/>
          <w:sz w:val="21"/>
          <w:szCs w:val="21"/>
          <w:highlight w:val="none"/>
          <w:lang w:val="en-US"/>
        </w:rPr>
      </w:pPr>
      <w:r>
        <w:rPr>
          <w:rFonts w:hint="eastAsia" w:ascii="宋体" w:hAnsi="宋体" w:eastAsia="宋体" w:cs="宋体"/>
          <w:bCs/>
          <w:color w:val="auto"/>
          <w:sz w:val="21"/>
          <w:szCs w:val="21"/>
          <w:highlight w:val="none"/>
        </w:rPr>
        <w:t>联 系 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刘经理</w:t>
      </w:r>
    </w:p>
    <w:p>
      <w:pPr>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联系电话：</w:t>
      </w:r>
      <w:r>
        <w:rPr>
          <w:rFonts w:hint="eastAsia" w:ascii="宋体" w:hAnsi="宋体" w:eastAsia="宋体" w:cs="宋体"/>
          <w:bCs/>
          <w:color w:val="auto"/>
          <w:sz w:val="21"/>
          <w:szCs w:val="21"/>
          <w:highlight w:val="none"/>
          <w:lang w:val="en-US" w:eastAsia="zh-CN"/>
        </w:rPr>
        <w:t>15054798099</w:t>
      </w:r>
    </w:p>
    <w:p>
      <w:pPr>
        <w:spacing w:line="360" w:lineRule="auto"/>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电子邮箱：</w:t>
      </w:r>
      <w:r>
        <w:rPr>
          <w:rFonts w:hint="eastAsia" w:ascii="宋体" w:hAnsi="宋体" w:eastAsia="宋体" w:cs="宋体"/>
          <w:bCs/>
          <w:color w:val="auto"/>
          <w:sz w:val="21"/>
          <w:szCs w:val="21"/>
          <w:highlight w:val="none"/>
          <w:lang w:val="en-US" w:eastAsia="zh-CN"/>
        </w:rPr>
        <w:t>sdmyxm01@163.com</w:t>
      </w:r>
    </w:p>
    <w:p>
      <w:pPr>
        <w:tabs>
          <w:tab w:val="left" w:pos="315"/>
        </w:tabs>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十</w:t>
      </w:r>
      <w:r>
        <w:rPr>
          <w:rFonts w:hint="eastAsia" w:ascii="宋体" w:hAnsi="宋体" w:eastAsia="宋体" w:cs="宋体"/>
          <w:b/>
          <w:color w:val="auto"/>
          <w:sz w:val="21"/>
          <w:szCs w:val="21"/>
          <w:highlight w:val="none"/>
        </w:rPr>
        <w:t>、重要说明</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1、施工期间的地方关系协调由成交单位自行处理。</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竞争性磋商文件一经在邹城市外宣网（http://www.mencius.gov.cn/）发布，视作已发放给所有潜在供应商（发布时间即为发出磋商文件的时间），各供应商应随时关注项目信息并及时在邹城市外宣网（http://www.mencius.gov.cn/）下载电子版竞争性磋商文件。否则所造成的一切后果由供应商自负。</w:t>
      </w:r>
    </w:p>
    <w:p>
      <w:pPr>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pPr>
        <w:spacing w:line="360" w:lineRule="auto"/>
        <w:ind w:firstLine="420" w:firstLineChars="200"/>
        <w:jc w:val="right"/>
        <w:rPr>
          <w:rFonts w:hint="eastAsia" w:ascii="宋体" w:hAnsi="宋体" w:eastAsia="宋体" w:cs="宋体"/>
          <w:bCs/>
          <w:color w:val="auto"/>
          <w:sz w:val="21"/>
          <w:szCs w:val="21"/>
          <w:highlight w:val="none"/>
        </w:rPr>
      </w:pPr>
    </w:p>
    <w:p>
      <w:pPr>
        <w:spacing w:line="360" w:lineRule="auto"/>
        <w:ind w:firstLine="420" w:firstLineChars="200"/>
        <w:jc w:val="right"/>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邹城市城前镇人民政府</w:t>
      </w:r>
    </w:p>
    <w:p>
      <w:pPr>
        <w:spacing w:line="360" w:lineRule="auto"/>
        <w:ind w:firstLine="420" w:firstLineChars="200"/>
        <w:jc w:val="righ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lang w:eastAsia="zh-CN"/>
        </w:rPr>
        <w:t>山东铭一项目管理有限公司</w:t>
      </w:r>
    </w:p>
    <w:p>
      <w:pPr>
        <w:spacing w:line="360" w:lineRule="auto"/>
        <w:ind w:firstLine="420" w:firstLineChars="200"/>
        <w:jc w:val="right"/>
        <w:rPr>
          <w:rFonts w:hint="eastAsia" w:ascii="宋体" w:hAnsi="宋体" w:eastAsia="宋体" w:cs="宋体"/>
          <w:bCs/>
          <w:color w:val="auto"/>
          <w:sz w:val="21"/>
          <w:szCs w:val="21"/>
          <w:highlight w:val="none"/>
        </w:rPr>
        <w:sectPr>
          <w:footerReference r:id="rId8" w:type="default"/>
          <w:pgSz w:w="11906" w:h="16838"/>
          <w:pgMar w:top="1701" w:right="806" w:bottom="1701" w:left="1020" w:header="851" w:footer="850" w:gutter="0"/>
          <w:pgNumType w:fmt="decimal"/>
          <w:cols w:space="720" w:num="1"/>
          <w:docGrid w:linePitch="312" w:charSpace="0"/>
        </w:sectPr>
      </w:pPr>
      <w:r>
        <w:rPr>
          <w:rFonts w:hint="eastAsia" w:ascii="宋体" w:hAnsi="宋体" w:eastAsia="宋体" w:cs="宋体"/>
          <w:bCs/>
          <w:color w:val="auto"/>
          <w:sz w:val="21"/>
          <w:szCs w:val="21"/>
          <w:highlight w:val="none"/>
          <w:lang w:eastAsia="zh-CN"/>
        </w:rPr>
        <w:t>2023</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lang w:val="en-US" w:eastAsia="zh-CN"/>
        </w:rPr>
        <w:t>04</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lang w:val="en-US" w:eastAsia="zh-CN"/>
        </w:rPr>
        <w:t>26</w:t>
      </w:r>
      <w:r>
        <w:rPr>
          <w:rFonts w:hint="eastAsia" w:ascii="宋体" w:hAnsi="宋体" w:eastAsia="宋体" w:cs="宋体"/>
          <w:bCs/>
          <w:color w:val="auto"/>
          <w:sz w:val="21"/>
          <w:szCs w:val="21"/>
          <w:highlight w:val="none"/>
        </w:rPr>
        <w:t>日</w:t>
      </w:r>
      <w:bookmarkEnd w:id="2"/>
    </w:p>
    <w:bookmarkEnd w:id="71"/>
    <w:p>
      <w:pPr>
        <w:widowControl/>
        <w:numPr>
          <w:ilvl w:val="0"/>
          <w:numId w:val="1"/>
        </w:numPr>
        <w:shd w:val="clear" w:color="auto" w:fill="FFFFFF"/>
        <w:spacing w:line="360" w:lineRule="auto"/>
        <w:ind w:firstLine="480"/>
        <w:jc w:val="center"/>
        <w:outlineLvl w:val="0"/>
        <w:rPr>
          <w:rFonts w:hint="eastAsia" w:ascii="宋体" w:hAnsi="宋体" w:eastAsia="宋体" w:cs="宋体"/>
          <w:b/>
          <w:color w:val="auto"/>
          <w:sz w:val="32"/>
          <w:szCs w:val="32"/>
          <w:highlight w:val="none"/>
        </w:rPr>
      </w:pPr>
      <w:bookmarkStart w:id="5" w:name="_Toc6067"/>
      <w:r>
        <w:rPr>
          <w:rFonts w:hint="eastAsia" w:ascii="宋体" w:hAnsi="宋体" w:eastAsia="宋体" w:cs="宋体"/>
          <w:b/>
          <w:color w:val="auto"/>
          <w:sz w:val="32"/>
          <w:szCs w:val="32"/>
          <w:highlight w:val="none"/>
        </w:rPr>
        <w:t>磋商响应方须知</w:t>
      </w:r>
      <w:bookmarkEnd w:id="5"/>
    </w:p>
    <w:p>
      <w:pPr>
        <w:widowControl/>
        <w:shd w:val="clear" w:color="auto" w:fill="FFFFFF"/>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28"/>
          <w:szCs w:val="28"/>
          <w:highlight w:val="none"/>
        </w:rPr>
        <w:t>一、响应方须知前附表</w:t>
      </w:r>
    </w:p>
    <w:tbl>
      <w:tblPr>
        <w:tblStyle w:val="12"/>
        <w:tblW w:w="94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609"/>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内容</w:t>
            </w:r>
          </w:p>
        </w:tc>
        <w:tc>
          <w:tcPr>
            <w:tcW w:w="7084"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084" w:type="dxa"/>
            <w:vAlign w:val="center"/>
          </w:tcPr>
          <w:p>
            <w:pPr>
              <w:spacing w:line="44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邹城市城前镇青邑南岭村基础设施建设项目（路、排水）工程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项目编号</w:t>
            </w:r>
          </w:p>
        </w:tc>
        <w:tc>
          <w:tcPr>
            <w:tcW w:w="7084" w:type="dxa"/>
            <w:vAlign w:val="center"/>
          </w:tcPr>
          <w:p>
            <w:pPr>
              <w:spacing w:line="440" w:lineRule="exact"/>
              <w:jc w:val="left"/>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SDMY-CQZ-2023-0002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7084" w:type="dxa"/>
            <w:vAlign w:val="center"/>
          </w:tcPr>
          <w:p>
            <w:pPr>
              <w:spacing w:line="440" w:lineRule="exact"/>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邹城市</w:t>
            </w:r>
            <w:r>
              <w:rPr>
                <w:rFonts w:hint="eastAsia" w:ascii="宋体" w:hAnsi="宋体" w:eastAsia="宋体" w:cs="宋体"/>
                <w:color w:val="auto"/>
                <w:szCs w:val="21"/>
                <w:highlight w:val="none"/>
                <w:lang w:eastAsia="zh-CN"/>
              </w:rPr>
              <w:t>城前镇</w:t>
            </w:r>
            <w:r>
              <w:rPr>
                <w:rFonts w:hint="eastAsia" w:ascii="宋体" w:hAnsi="宋体" w:eastAsia="宋体" w:cs="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w:t>
            </w:r>
          </w:p>
        </w:tc>
        <w:tc>
          <w:tcPr>
            <w:tcW w:w="7084" w:type="dxa"/>
            <w:vAlign w:val="center"/>
          </w:tcPr>
          <w:p>
            <w:pPr>
              <w:spacing w:line="360" w:lineRule="auto"/>
              <w:jc w:val="lef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施工总工期：</w:t>
            </w:r>
            <w:r>
              <w:rPr>
                <w:rFonts w:hint="eastAsia" w:ascii="宋体" w:hAnsi="宋体" w:eastAsia="宋体" w:cs="宋体"/>
                <w:color w:val="auto"/>
                <w:szCs w:val="21"/>
                <w:highlight w:val="none"/>
                <w:u w:val="single"/>
                <w:lang w:val="en-US" w:eastAsia="zh-CN"/>
              </w:rPr>
              <w:t>60</w:t>
            </w:r>
            <w:r>
              <w:rPr>
                <w:rFonts w:hint="eastAsia" w:ascii="宋体" w:hAnsi="宋体" w:eastAsia="宋体" w:cs="宋体"/>
                <w:color w:val="auto"/>
                <w:szCs w:val="21"/>
                <w:highlight w:val="none"/>
                <w:u w:val="single"/>
                <w:lang w:eastAsia="zh-CN"/>
              </w:rPr>
              <w:t>日历天</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详见第四部分采购内容及要求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084" w:type="dxa"/>
            <w:vAlign w:val="center"/>
          </w:tcPr>
          <w:p>
            <w:pPr>
              <w:pStyle w:val="2"/>
              <w:spacing w:line="400" w:lineRule="exact"/>
              <w:rPr>
                <w:rFonts w:hint="eastAsia" w:ascii="宋体" w:hAnsi="宋体" w:eastAsia="宋体" w:cs="宋体"/>
                <w:color w:val="auto"/>
                <w:highlight w:val="yellow"/>
              </w:rPr>
            </w:pPr>
            <w:r>
              <w:rPr>
                <w:rFonts w:hint="eastAsia" w:ascii="宋体" w:hAnsi="宋体" w:eastAsia="宋体" w:cs="宋体"/>
                <w:bCs/>
                <w:color w:val="auto"/>
                <w:sz w:val="21"/>
                <w:szCs w:val="21"/>
                <w:highlight w:val="non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磋商响应方资格要求</w:t>
            </w:r>
          </w:p>
        </w:tc>
        <w:tc>
          <w:tcPr>
            <w:tcW w:w="7084" w:type="dxa"/>
            <w:vAlign w:val="center"/>
          </w:tcPr>
          <w:p>
            <w:pPr>
              <w:pStyle w:val="10"/>
              <w:spacing w:line="440" w:lineRule="exact"/>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1"/>
                <w:szCs w:val="21"/>
                <w:highlight w:val="none"/>
              </w:rPr>
              <w:t>详见磋商响应方须知：三、合格的磋商响应方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资格审查方式</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磋商有效期</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自递交磋商响应文件截止之日起60个日历日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70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6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纸质响应文件的密封</w:t>
            </w:r>
          </w:p>
        </w:tc>
        <w:tc>
          <w:tcPr>
            <w:tcW w:w="708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1、密封套应标注项目名称、采购人名称，密封套封口处应加盖供应商单位公章或由授权委托人签字。</w:t>
            </w:r>
          </w:p>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2、未按照上述要求密封及在密封套标注的，其响应文件将均被拒绝。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2" w:hRule="atLeast"/>
          <w:jc w:val="center"/>
        </w:trPr>
        <w:tc>
          <w:tcPr>
            <w:tcW w:w="707"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609"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纸质响应文件</w:t>
            </w:r>
          </w:p>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装订要求</w:t>
            </w:r>
          </w:p>
        </w:tc>
        <w:tc>
          <w:tcPr>
            <w:tcW w:w="7084" w:type="dxa"/>
            <w:vAlign w:val="center"/>
          </w:tcPr>
          <w:p>
            <w:pPr>
              <w:spacing w:line="400" w:lineRule="exac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一份正本，五份副本。</w:t>
            </w:r>
          </w:p>
          <w:p>
            <w:pPr>
              <w:spacing w:line="400" w:lineRule="exact"/>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应按竞争性磋商文件提供的格式胶装成册，响应文件的正本与副本应分别装订成册，响应文件每册均须采用胶装方式在左侧装订，装订应牢固、不易拆散和换页，不得采用活页装订。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响应文件递交地点及截止时间</w:t>
            </w:r>
          </w:p>
        </w:tc>
        <w:tc>
          <w:tcPr>
            <w:tcW w:w="7084" w:type="dxa"/>
            <w:vAlign w:val="center"/>
          </w:tcPr>
          <w:p>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递交地点：</w:t>
            </w:r>
            <w:r>
              <w:rPr>
                <w:rFonts w:hint="eastAsia" w:ascii="宋体" w:hAnsi="宋体" w:eastAsia="宋体" w:cs="宋体"/>
                <w:color w:val="auto"/>
                <w:szCs w:val="21"/>
                <w:highlight w:val="none"/>
                <w:lang w:eastAsia="zh-CN"/>
              </w:rPr>
              <w:t>邹城市城前镇公共资源交易中心开标室</w:t>
            </w:r>
          </w:p>
          <w:p>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szCs w:val="21"/>
                <w:highlight w:val="none"/>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磋商时间及地点</w:t>
            </w:r>
          </w:p>
        </w:tc>
        <w:tc>
          <w:tcPr>
            <w:tcW w:w="7084" w:type="dxa"/>
            <w:vAlign w:val="center"/>
          </w:tcPr>
          <w:p>
            <w:pPr>
              <w:spacing w:line="440" w:lineRule="exact"/>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磋商时间：</w:t>
            </w:r>
            <w:r>
              <w:rPr>
                <w:rFonts w:hint="eastAsia" w:ascii="宋体" w:hAnsi="宋体" w:eastAsia="宋体" w:cs="宋体"/>
                <w:color w:val="auto"/>
                <w:szCs w:val="21"/>
                <w:highlight w:val="none"/>
                <w:lang w:eastAsia="zh-CN"/>
              </w:rPr>
              <w:t>2023年</w:t>
            </w:r>
            <w:r>
              <w:rPr>
                <w:rFonts w:hint="eastAsia" w:ascii="宋体" w:hAnsi="宋体" w:eastAsia="宋体" w:cs="宋体"/>
                <w:color w:val="auto"/>
                <w:szCs w:val="21"/>
                <w:highlight w:val="none"/>
                <w:lang w:val="en-US" w:eastAsia="zh-CN"/>
              </w:rPr>
              <w:t>05</w:t>
            </w:r>
            <w:r>
              <w:rPr>
                <w:rFonts w:hint="eastAsia" w:ascii="宋体" w:hAnsi="宋体" w:eastAsia="宋体" w:cs="宋体"/>
                <w:color w:val="auto"/>
                <w:szCs w:val="21"/>
                <w:highlight w:val="none"/>
                <w:lang w:eastAsia="zh-CN"/>
              </w:rPr>
              <w:t>月</w:t>
            </w:r>
            <w:r>
              <w:rPr>
                <w:rFonts w:hint="eastAsia" w:ascii="宋体" w:hAnsi="宋体" w:eastAsia="宋体" w:cs="宋体"/>
                <w:color w:val="auto"/>
                <w:szCs w:val="21"/>
                <w:highlight w:val="none"/>
                <w:lang w:val="en-US" w:eastAsia="zh-CN"/>
              </w:rPr>
              <w:t>0</w:t>
            </w:r>
            <w:r>
              <w:rPr>
                <w:rFonts w:hint="default"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lang w:val="en-US" w:eastAsia="zh-CN"/>
              </w:rPr>
              <w:t>1</w:t>
            </w:r>
            <w:r>
              <w:rPr>
                <w:rFonts w:hint="default"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eastAsia="zh-CN"/>
              </w:rPr>
              <w:t>时</w:t>
            </w:r>
            <w:r>
              <w:rPr>
                <w:rFonts w:hint="eastAsia" w:ascii="宋体" w:hAnsi="宋体" w:eastAsia="宋体" w:cs="宋体"/>
                <w:color w:val="auto"/>
                <w:szCs w:val="21"/>
                <w:highlight w:val="none"/>
                <w:lang w:val="en-US" w:eastAsia="zh-CN"/>
              </w:rPr>
              <w:t>00</w:t>
            </w:r>
            <w:r>
              <w:rPr>
                <w:rFonts w:hint="eastAsia" w:ascii="宋体" w:hAnsi="宋体" w:eastAsia="宋体" w:cs="宋体"/>
                <w:color w:val="auto"/>
                <w:szCs w:val="21"/>
                <w:highlight w:val="none"/>
                <w:lang w:eastAsia="zh-CN"/>
              </w:rPr>
              <w:t>分</w:t>
            </w:r>
            <w:r>
              <w:rPr>
                <w:rFonts w:hint="eastAsia" w:ascii="宋体" w:hAnsi="宋体" w:eastAsia="宋体" w:cs="宋体"/>
                <w:color w:val="auto"/>
                <w:kern w:val="0"/>
                <w:szCs w:val="21"/>
                <w:highlight w:val="none"/>
              </w:rPr>
              <w:t>（北京时间）</w:t>
            </w:r>
          </w:p>
          <w:p>
            <w:pPr>
              <w:spacing w:line="44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磋商地点：</w:t>
            </w:r>
            <w:r>
              <w:rPr>
                <w:rFonts w:hint="eastAsia" w:ascii="宋体" w:hAnsi="宋体" w:eastAsia="宋体" w:cs="宋体"/>
                <w:color w:val="auto"/>
                <w:szCs w:val="21"/>
                <w:highlight w:val="none"/>
                <w:lang w:eastAsia="zh-CN"/>
              </w:rPr>
              <w:t>邹城市城前镇公共资源交易中心开标室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1"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成交原则</w:t>
            </w:r>
          </w:p>
        </w:tc>
        <w:tc>
          <w:tcPr>
            <w:tcW w:w="7084" w:type="dxa"/>
            <w:vAlign w:val="center"/>
          </w:tcPr>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本项目采用综合评分法，是指响应文件满足磋商文件全部实质性要求且按评审因素的量化指标评审得分，按照评审得分由高到低顺序推荐成交候选供应商的评审方法。</w:t>
            </w:r>
          </w:p>
          <w:p>
            <w:pPr>
              <w:spacing w:line="44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总得分相同者，按最终报价低的名次在前；总得分相同，最终报价也相同的，技术部分总得分高者排名优先；总得分相同，最终报价、技术部分也相同的，按照商务部分得分高者排名优先。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磋商费用</w:t>
            </w:r>
          </w:p>
        </w:tc>
        <w:tc>
          <w:tcPr>
            <w:tcW w:w="7084" w:type="dxa"/>
            <w:vAlign w:val="center"/>
          </w:tcPr>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1、无论报价过程中的方法和结果如何，各磋商响应方自行承担所有参与磋商的有关费用。</w:t>
            </w:r>
          </w:p>
          <w:p>
            <w:pPr>
              <w:spacing w:line="400" w:lineRule="exact"/>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2、本次采购代理费</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5700.00</w:t>
            </w:r>
            <w:r>
              <w:rPr>
                <w:rFonts w:hint="eastAsia" w:ascii="宋体" w:hAnsi="宋体" w:eastAsia="宋体" w:cs="宋体"/>
                <w:bCs/>
                <w:color w:val="auto"/>
                <w:szCs w:val="21"/>
                <w:highlight w:val="none"/>
              </w:rPr>
              <w:t>元</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成交通知书发出前，成交人从其账户一次性汇入代理机构指定账户。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7"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磋商采购预算</w:t>
            </w:r>
          </w:p>
        </w:tc>
        <w:tc>
          <w:tcPr>
            <w:tcW w:w="7084" w:type="dxa"/>
            <w:vAlign w:val="center"/>
          </w:tcPr>
          <w:p>
            <w:pPr>
              <w:spacing w:line="440" w:lineRule="exact"/>
              <w:ind w:firstLine="422" w:firstLineChars="2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本工程采购预算（控制价）为</w:t>
            </w:r>
            <w:r>
              <w:rPr>
                <w:rFonts w:hint="eastAsia" w:ascii="宋体" w:hAnsi="宋体" w:eastAsia="宋体" w:cs="宋体"/>
                <w:b/>
                <w:bCs/>
                <w:color w:val="auto"/>
                <w:kern w:val="0"/>
                <w:szCs w:val="21"/>
                <w:highlight w:val="none"/>
                <w:lang w:val="en-US" w:eastAsia="zh-CN"/>
              </w:rPr>
              <w:t xml:space="preserve"> 567238.84</w:t>
            </w:r>
            <w:r>
              <w:rPr>
                <w:rFonts w:hint="eastAsia" w:ascii="宋体" w:hAnsi="宋体" w:eastAsia="宋体" w:cs="宋体"/>
                <w:b/>
                <w:bCs/>
                <w:color w:val="auto"/>
                <w:kern w:val="0"/>
                <w:szCs w:val="21"/>
                <w:highlight w:val="none"/>
              </w:rPr>
              <w:t>元。</w:t>
            </w:r>
          </w:p>
          <w:p>
            <w:pPr>
              <w:spacing w:line="440" w:lineRule="exact"/>
              <w:ind w:firstLine="420" w:firstLineChars="20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采购预算价是采购人对采购项目期望的最高限价，磋商响应方的初次报价或最终报价不得高于采购预算价，磋商响应方最终报价高于采购预算价的，作无效磋商响应文件处理。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07" w:type="dxa"/>
            <w:vMerge w:val="restart"/>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质疑投诉内容</w:t>
            </w:r>
          </w:p>
        </w:tc>
        <w:tc>
          <w:tcPr>
            <w:tcW w:w="7084" w:type="dxa"/>
            <w:vAlign w:val="center"/>
          </w:tcPr>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根据《政府采购法实施条例》第二十条规定：采购人或者采购代理机构有下列情形之一的，属于以不合理的条件对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实行差别待遇或者歧视待遇：潜在磋商响应方（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）可向有关部门提起质疑、投诉：</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（一）就同一采购项目向</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提供有差别的项目信息；</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（二）设定的资格、技术、商务条件与采购项目的具体特点和实际需要不相适应或者与合同履行无关；</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（三）采购需求中的技术、服务等要求指向特定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、特定产品；</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（四）以特定行政区域或者特定行业的业绩、奖项作为加分条件或者中标、成交条件；</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（五）对</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采取不同的资格审查或者评审标准；</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（六）限定或者指定特定的专利、商标、品牌或者</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w:t>
            </w:r>
          </w:p>
          <w:p>
            <w:pPr>
              <w:widowControl/>
              <w:spacing w:line="440" w:lineRule="exact"/>
              <w:ind w:firstLine="448"/>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（七）非法限定</w:t>
            </w:r>
            <w:r>
              <w:rPr>
                <w:rFonts w:hint="eastAsia" w:ascii="宋体" w:hAnsi="宋体" w:eastAsia="宋体" w:cs="宋体"/>
                <w:color w:val="auto"/>
                <w:szCs w:val="21"/>
                <w:highlight w:val="none"/>
              </w:rPr>
              <w:t>供应商</w:t>
            </w:r>
            <w:r>
              <w:rPr>
                <w:rFonts w:hint="eastAsia" w:ascii="宋体" w:hAnsi="宋体" w:eastAsia="宋体" w:cs="宋体"/>
                <w:bCs/>
                <w:color w:val="auto"/>
                <w:kern w:val="0"/>
                <w:szCs w:val="21"/>
                <w:highlight w:val="none"/>
              </w:rPr>
              <w:t>的所有制形式、组织形式或者所在地；</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（八）以其他不合理条件限制或者排斥潜在</w:t>
            </w:r>
            <w:r>
              <w:rPr>
                <w:rFonts w:hint="eastAsia" w:ascii="宋体" w:hAnsi="宋体" w:eastAsia="宋体" w:cs="宋体"/>
                <w:color w:val="auto"/>
                <w:szCs w:val="21"/>
                <w:highlight w:val="none"/>
              </w:rPr>
              <w:t>供应商</w:t>
            </w:r>
            <w:r>
              <w:rPr>
                <w:rFonts w:hint="eastAsia" w:ascii="宋体" w:hAnsi="宋体" w:eastAsia="宋体" w:cs="宋体"/>
                <w:color w:val="auto"/>
                <w:kern w:val="0"/>
                <w:szCs w:val="21"/>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供应商在法定质疑期内需一次性提出针对同一采购程序环节的质疑。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707" w:type="dxa"/>
            <w:vMerge w:val="continue"/>
            <w:vAlign w:val="center"/>
          </w:tcPr>
          <w:p>
            <w:pPr>
              <w:spacing w:line="440" w:lineRule="exact"/>
              <w:jc w:val="center"/>
              <w:rPr>
                <w:rFonts w:hint="eastAsia" w:ascii="宋体" w:hAnsi="宋体" w:eastAsia="宋体" w:cs="宋体"/>
                <w:color w:val="auto"/>
                <w:szCs w:val="21"/>
                <w:highlight w:val="none"/>
              </w:rPr>
            </w:pPr>
          </w:p>
        </w:tc>
        <w:tc>
          <w:tcPr>
            <w:tcW w:w="1609" w:type="dxa"/>
            <w:vAlign w:val="center"/>
          </w:tcPr>
          <w:p>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质疑方式及电话</w:t>
            </w:r>
          </w:p>
        </w:tc>
        <w:tc>
          <w:tcPr>
            <w:tcW w:w="7084" w:type="dxa"/>
            <w:vAlign w:val="center"/>
          </w:tcPr>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质疑：参加磋商的供应商认为磋商文件、磋商过程和成交结果使自己的合法权益受到损害的，有权依 法向采购人或采购代理机构提出质疑。所有质疑以书面形式递交，同时发邮件至</w:t>
            </w:r>
            <w:r>
              <w:rPr>
                <w:rFonts w:hint="eastAsia" w:ascii="宋体" w:hAnsi="宋体" w:eastAsia="宋体" w:cs="宋体"/>
                <w:color w:val="auto"/>
                <w:szCs w:val="21"/>
                <w:highlight w:val="none"/>
                <w:lang w:eastAsia="zh-CN"/>
              </w:rPr>
              <w:t>sdmyxm01@163.com</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本次磋商是否接受联合体</w:t>
            </w:r>
          </w:p>
        </w:tc>
        <w:tc>
          <w:tcPr>
            <w:tcW w:w="7084" w:type="dxa"/>
            <w:vAlign w:val="center"/>
          </w:tcPr>
          <w:p>
            <w:pPr>
              <w:spacing w:line="360" w:lineRule="auto"/>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本次磋商不接受联合体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jc w:val="center"/>
        </w:trPr>
        <w:tc>
          <w:tcPr>
            <w:tcW w:w="707" w:type="dxa"/>
            <w:vAlign w:val="center"/>
          </w:tcPr>
          <w:p>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609"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本次磋商是否接受备选方案</w:t>
            </w:r>
          </w:p>
        </w:tc>
        <w:tc>
          <w:tcPr>
            <w:tcW w:w="7084" w:type="dxa"/>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建设工地扬尘污染防治</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按济政办发〔2018〕34 号文执行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农民工工资支付</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执行《保障农民工工资支付条例》（中华人民共和国国务院令第724号）。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7" w:type="dxa"/>
            <w:vAlign w:val="center"/>
          </w:tcPr>
          <w:p>
            <w:pPr>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23</w:t>
            </w:r>
          </w:p>
        </w:tc>
        <w:tc>
          <w:tcPr>
            <w:tcW w:w="1609" w:type="dxa"/>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严禁在施工现场搅拌混凝土、砂浆的通知</w:t>
            </w:r>
          </w:p>
        </w:tc>
        <w:tc>
          <w:tcPr>
            <w:tcW w:w="7084" w:type="dxa"/>
            <w:vAlign w:val="center"/>
          </w:tcPr>
          <w:p>
            <w:pPr>
              <w:spacing w:line="360" w:lineRule="auto"/>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w:t>
            </w:r>
          </w:p>
        </w:tc>
      </w:tr>
    </w:tbl>
    <w:p>
      <w:pPr>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kern w:val="0"/>
          <w:sz w:val="28"/>
          <w:szCs w:val="28"/>
          <w:highlight w:val="none"/>
        </w:rPr>
        <w:br w:type="page"/>
      </w:r>
      <w:r>
        <w:rPr>
          <w:rFonts w:hint="eastAsia" w:ascii="宋体" w:hAnsi="宋体" w:eastAsia="宋体" w:cs="宋体"/>
          <w:b/>
          <w:color w:val="auto"/>
          <w:kern w:val="0"/>
          <w:sz w:val="28"/>
          <w:szCs w:val="28"/>
          <w:highlight w:val="none"/>
        </w:rPr>
        <w:t>二、磋商响应方须知</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一、适用范围：</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本磋商文件仅适用于本次竞争性磋商的政府采购项目。</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二、定义：</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1、“采购人”系指：</w:t>
      </w:r>
      <w:r>
        <w:rPr>
          <w:rFonts w:hint="eastAsia" w:ascii="宋体" w:hAnsi="宋体" w:eastAsia="宋体" w:cs="宋体"/>
          <w:b/>
          <w:color w:val="auto"/>
          <w:szCs w:val="21"/>
          <w:highlight w:val="none"/>
          <w:lang w:eastAsia="zh-CN"/>
        </w:rPr>
        <w:t>邹城市城前镇人民政府</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2、“代理机构”系指：</w:t>
      </w:r>
      <w:r>
        <w:rPr>
          <w:rFonts w:hint="eastAsia" w:ascii="宋体" w:hAnsi="宋体" w:eastAsia="宋体" w:cs="宋体"/>
          <w:b/>
          <w:color w:val="auto"/>
          <w:szCs w:val="21"/>
          <w:highlight w:val="none"/>
          <w:lang w:eastAsia="zh-CN"/>
        </w:rPr>
        <w:t>山东铭一项目管理有限公司</w:t>
      </w:r>
      <w:r>
        <w:rPr>
          <w:rFonts w:hint="eastAsia" w:ascii="宋体" w:hAnsi="宋体" w:eastAsia="宋体" w:cs="宋体"/>
          <w:bCs/>
          <w:color w:val="auto"/>
          <w:szCs w:val="21"/>
          <w:highlight w:val="none"/>
        </w:rPr>
        <w:t>；</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3、“响应供应商”系指参与磋商并向采购人提交磋商响应文件的单位；</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4、“成交供应商”系指经法定程序确定并授予合同的响应供应商。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三、供应商应具备的条件：</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1、具备《政府采购法》第二十二条规定的条件。</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（一）具有独立承担民事责任的能力；</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（二）具有良好的商业信誉和健全的财务会计制度；</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（三）具有履行合同所必需的货物和专业技术能力；</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（四）有依法缴纳税收和社会保障资金的良好记录；</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（五）参加政府采购活动前三年内，在经营活动中没有重大违法记录；</w:t>
      </w:r>
    </w:p>
    <w:p>
      <w:pPr>
        <w:spacing w:line="440" w:lineRule="exact"/>
        <w:ind w:firstLine="420" w:firstLineChars="200"/>
        <w:rPr>
          <w:rFonts w:hint="eastAsia" w:ascii="宋体" w:hAnsi="宋体" w:eastAsia="宋体" w:cs="宋体"/>
          <w:bCs/>
          <w:color w:val="000000"/>
          <w:szCs w:val="21"/>
        </w:rPr>
      </w:pPr>
      <w:r>
        <w:rPr>
          <w:rFonts w:hint="eastAsia" w:ascii="宋体" w:hAnsi="宋体" w:eastAsia="宋体" w:cs="宋体"/>
          <w:bCs/>
          <w:color w:val="000000"/>
          <w:szCs w:val="21"/>
        </w:rPr>
        <w:t>（六）法律、行政法规规定的其他条件。</w:t>
      </w:r>
    </w:p>
    <w:p>
      <w:pPr>
        <w:spacing w:line="440" w:lineRule="exact"/>
        <w:ind w:firstLine="420" w:firstLineChars="200"/>
        <w:rPr>
          <w:rFonts w:hint="eastAsia" w:ascii="宋体" w:hAnsi="宋体" w:eastAsia="宋体" w:cs="宋体"/>
          <w:color w:val="000000"/>
          <w:kern w:val="0"/>
          <w:szCs w:val="21"/>
        </w:rPr>
      </w:pPr>
      <w:r>
        <w:rPr>
          <w:rFonts w:hint="eastAsia" w:ascii="宋体" w:hAnsi="宋体" w:eastAsia="宋体" w:cs="宋体"/>
          <w:bCs/>
          <w:color w:val="000000"/>
          <w:szCs w:val="21"/>
        </w:rPr>
        <w:t>2、本次采购要求：</w:t>
      </w:r>
      <w:r>
        <w:rPr>
          <w:rFonts w:hint="eastAsia" w:ascii="宋体" w:hAnsi="宋体" w:eastAsia="宋体" w:cs="宋体"/>
          <w:color w:val="000000"/>
          <w:kern w:val="0"/>
          <w:szCs w:val="21"/>
        </w:rPr>
        <w:t>供应商须为国内注册具有独立法人资格,有效营业执照，营业执照</w:t>
      </w:r>
      <w:r>
        <w:rPr>
          <w:rFonts w:hint="eastAsia" w:ascii="宋体" w:hAnsi="宋体" w:eastAsia="宋体" w:cs="宋体"/>
          <w:color w:val="000000"/>
          <w:kern w:val="0"/>
          <w:szCs w:val="21"/>
          <w:lang w:eastAsia="zh-CN"/>
        </w:rPr>
        <w:t>经营范围</w:t>
      </w:r>
      <w:r>
        <w:rPr>
          <w:rFonts w:hint="eastAsia" w:ascii="宋体" w:hAnsi="宋体" w:eastAsia="宋体" w:cs="宋体"/>
          <w:color w:val="000000"/>
          <w:kern w:val="0"/>
          <w:szCs w:val="21"/>
        </w:rPr>
        <w:t>包含相关内容的公司，并在人员、设备、资金等方面具有相应的施工能力,无拖欠农民工工资的不良行为。</w:t>
      </w:r>
    </w:p>
    <w:p>
      <w:pPr>
        <w:spacing w:line="440" w:lineRule="exact"/>
        <w:ind w:firstLine="420" w:firstLineChars="200"/>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、因建设工地扬尘污染受到行政处罚列入本行业诚信黑榜的供应商，不得参与本项目的磋商；因建设工地扬尘污染暂扣安全生产许可证的供应商，不得参与本项目的磋商。</w:t>
      </w:r>
    </w:p>
    <w:p>
      <w:pPr>
        <w:spacing w:line="440" w:lineRule="exact"/>
        <w:ind w:firstLine="420" w:firstLineChars="200"/>
        <w:rPr>
          <w:rFonts w:hint="eastAsia" w:ascii="宋体" w:hAnsi="宋体" w:eastAsia="宋体" w:cs="宋体"/>
          <w:bCs/>
          <w:color w:val="000000"/>
          <w:kern w:val="0"/>
          <w:szCs w:val="21"/>
        </w:rPr>
      </w:pPr>
      <w:r>
        <w:rPr>
          <w:rFonts w:hint="eastAsia" w:ascii="宋体" w:hAnsi="宋体" w:eastAsia="宋体" w:cs="宋体"/>
          <w:bCs/>
          <w:color w:val="000000"/>
          <w:szCs w:val="21"/>
          <w:lang w:val="en-US" w:eastAsia="zh-CN"/>
        </w:rPr>
        <w:t>4</w:t>
      </w:r>
      <w:r>
        <w:rPr>
          <w:rFonts w:hint="eastAsia" w:ascii="宋体" w:hAnsi="宋体" w:eastAsia="宋体" w:cs="宋体"/>
          <w:bCs/>
          <w:color w:val="000000"/>
          <w:szCs w:val="21"/>
        </w:rPr>
        <w:t>、本次竞争性磋商不接受联合体。</w:t>
      </w:r>
    </w:p>
    <w:p>
      <w:pPr>
        <w:spacing w:line="440" w:lineRule="exact"/>
        <w:ind w:firstLine="422" w:firstLineChars="200"/>
        <w:rPr>
          <w:rFonts w:hint="eastAsia" w:ascii="宋体" w:hAnsi="宋体" w:eastAsia="宋体" w:cs="宋体"/>
          <w:b/>
          <w:bCs/>
          <w:kern w:val="0"/>
          <w:szCs w:val="21"/>
        </w:rPr>
      </w:pPr>
      <w:r>
        <w:rPr>
          <w:rFonts w:hint="eastAsia" w:ascii="宋体" w:hAnsi="宋体" w:eastAsia="宋体" w:cs="宋体"/>
          <w:b/>
          <w:bCs/>
          <w:kern w:val="0"/>
          <w:szCs w:val="21"/>
          <w:lang w:val="en-US" w:eastAsia="zh-CN"/>
        </w:rPr>
        <w:t>5</w:t>
      </w:r>
      <w:r>
        <w:rPr>
          <w:rFonts w:hint="eastAsia" w:ascii="宋体" w:hAnsi="宋体" w:eastAsia="宋体" w:cs="宋体"/>
          <w:b/>
          <w:bCs/>
          <w:kern w:val="0"/>
          <w:szCs w:val="21"/>
        </w:rPr>
        <w:t>、磋商响应方在递交响应文件时需同时提供：</w:t>
      </w:r>
    </w:p>
    <w:p>
      <w:pPr>
        <w:spacing w:line="440" w:lineRule="exact"/>
        <w:ind w:firstLine="422" w:firstLineChars="200"/>
        <w:rPr>
          <w:rFonts w:hint="eastAsia" w:ascii="宋体" w:hAnsi="宋体" w:eastAsia="宋体" w:cs="宋体"/>
          <w:kern w:val="0"/>
          <w:szCs w:val="21"/>
        </w:rPr>
      </w:pPr>
      <w:r>
        <w:rPr>
          <w:rFonts w:hint="eastAsia" w:ascii="宋体" w:hAnsi="宋体" w:eastAsia="宋体" w:cs="宋体"/>
          <w:b/>
          <w:bCs/>
          <w:kern w:val="0"/>
          <w:szCs w:val="21"/>
        </w:rPr>
        <w:t>本单位营业执照（正本或副本原件）、法定代表人有效身份证原件或授权委托人有效身份证原件及法人授权委托书原件。</w:t>
      </w:r>
    </w:p>
    <w:p>
      <w:pPr>
        <w:spacing w:line="440" w:lineRule="exact"/>
        <w:ind w:firstLine="420" w:firstLineChars="200"/>
        <w:rPr>
          <w:rFonts w:hint="eastAsia" w:ascii="宋体" w:hAnsi="宋体" w:eastAsia="宋体" w:cs="宋体"/>
          <w:bCs/>
          <w:color w:val="000000"/>
          <w:kern w:val="0"/>
          <w:szCs w:val="21"/>
        </w:rPr>
      </w:pPr>
      <w:r>
        <w:rPr>
          <w:rFonts w:hint="eastAsia" w:ascii="宋体" w:hAnsi="宋体" w:eastAsia="宋体" w:cs="宋体"/>
          <w:kern w:val="0"/>
          <w:szCs w:val="21"/>
        </w:rPr>
        <w:t>注：以上证件，公证机关公证的有关证件的有效公证件原件视为与原件具有同等法律效力。未提供或未按要求提供原件的，按无效磋商响应文件处理。磋商响应方必须将上述资格证件单独包装（可以不密封），在递交响应文件时一并提交，否则将做无效响应文件处理。磋商响应方还应将涉及到评分标准里需要磋商小组验证的相关证明材料原件与上述资格证件统一包装，在递交磋商响应文件时一并提交。</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四、竞争性磋商文件：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本竞争性磋商文件由以下内容组成：</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1、竞争性磋商公告；</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2、磋商响应方须知；</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3、磋商组织、步骤与评审方法；</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4、采购内容及要求；</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5、合同授予；</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6、响应文件格式。</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五、磋商文件的质疑、澄清或修改：</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1、各潜在供应商对磋商文件内容如有疑问，必须于磋商开始前5个日历日将疑问以书面形式送至采购人并将扫描件以电子邮件形式发至</w:t>
      </w:r>
      <w:r>
        <w:rPr>
          <w:rFonts w:hint="eastAsia" w:ascii="宋体" w:hAnsi="宋体" w:eastAsia="宋体" w:cs="宋体"/>
          <w:color w:val="auto"/>
          <w:szCs w:val="21"/>
          <w:highlight w:val="none"/>
          <w:lang w:eastAsia="zh-CN"/>
        </w:rPr>
        <w:t>sdmyxm01@163.com</w:t>
      </w:r>
      <w:r>
        <w:rPr>
          <w:rFonts w:hint="eastAsia" w:ascii="宋体" w:hAnsi="宋体" w:eastAsia="宋体" w:cs="宋体"/>
          <w:color w:val="auto"/>
          <w:szCs w:val="21"/>
          <w:highlight w:val="none"/>
        </w:rPr>
        <w:t>；</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ww.mencius.gov.cn/)网站上予以公告；不足5日的，采购人、采购代理机构应当顺延提交响应文件截止时间。</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文件的澄清或者修改一经在邹城市外宣网(http://www.mencius.gov.cn/)发布，视作已发放给所有供应商（发布时间即为送达供应商的时间），各供应商应随时关注磋商项目信息并及时在邹城市公共资源交易网下载相关资料，否则所造成的一切后果由供应商自负。</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4、磋商文件的澄清或修改均以最后发布的内容为准。当磋商文件的澄清、修改、补充等在同一内容的表述不一致时，以最后发布的内容为准。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六、磋商响应文件的编写及递交：</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供应商应按磋商文件的要求准备磋商响应文件，并保证所提供全部资料的真实性、准确性及完整性，并对磋商文件做出实质性响应。</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（一）磋商响应文件的组成：</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1、磋商响应函</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3、法定代表人授权委托书</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4、初次报价表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5、初次报价的已标价工程量清单</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6、施工组织设计</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7、建设工程扬尘治理工作承诺书</w:t>
      </w:r>
    </w:p>
    <w:p>
      <w:pPr>
        <w:spacing w:line="440" w:lineRule="exact"/>
        <w:ind w:firstLine="420" w:firstLineChars="200"/>
        <w:rPr>
          <w:rFonts w:hint="eastAsia" w:ascii="宋体" w:hAnsi="宋体" w:eastAsia="宋体" w:cs="宋体"/>
          <w:color w:val="auto"/>
          <w:szCs w:val="21"/>
          <w:highlight w:val="none"/>
        </w:rPr>
      </w:pP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8、资格审查资料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9、其他资料</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（二）磋商响应文件的装订、密封和标记：</w:t>
      </w:r>
    </w:p>
    <w:p>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1、磋商响应文件需加盖磋商响应方公章并以</w:t>
      </w:r>
      <w:r>
        <w:rPr>
          <w:rFonts w:hint="eastAsia" w:ascii="宋体" w:hAnsi="宋体" w:eastAsia="宋体" w:cs="宋体"/>
          <w:b/>
          <w:bCs/>
          <w:color w:val="auto"/>
          <w:szCs w:val="21"/>
          <w:highlight w:val="none"/>
          <w:u w:val="single"/>
        </w:rPr>
        <w:t xml:space="preserve"> 胶装 </w:t>
      </w:r>
      <w:r>
        <w:rPr>
          <w:rFonts w:hint="eastAsia" w:ascii="宋体" w:hAnsi="宋体" w:eastAsia="宋体" w:cs="宋体"/>
          <w:b/>
          <w:bCs/>
          <w:color w:val="auto"/>
          <w:szCs w:val="21"/>
          <w:highlight w:val="none"/>
        </w:rPr>
        <w:t>方式在左侧装订，装订应牢固、不易拆散和换页，不得采用活页装订；</w:t>
      </w:r>
    </w:p>
    <w:p>
      <w:pPr>
        <w:spacing w:line="44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2、供应商应准备磋商响应文件六份，一份正本和五份副本。在每一份磋商响应文件上要明确注明“正本”或“副本”字样，一旦正本和副本有差异，以正本为准；</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3、响应供应商应将磋商响应文件密封，并在封口处加盖磋商响应方公章或由法定代表人（或委托代理人）签字（或签章），未按本条要求密封的磋商响应文件将有权被拒绝接收；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（三）磋商响应文件的递交：</w:t>
      </w:r>
    </w:p>
    <w:p>
      <w:pPr>
        <w:widowControl/>
        <w:shd w:val="clear" w:color="auto" w:fill="FFFFFF"/>
        <w:spacing w:line="360" w:lineRule="auto"/>
        <w:ind w:firstLine="48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1、磋商响应文件应于</w:t>
      </w:r>
      <w:r>
        <w:rPr>
          <w:rFonts w:hint="eastAsia" w:ascii="宋体" w:hAnsi="宋体" w:eastAsia="宋体" w:cs="宋体"/>
          <w:b/>
          <w:bCs/>
          <w:color w:val="auto"/>
          <w:kern w:val="0"/>
          <w:szCs w:val="21"/>
          <w:highlight w:val="none"/>
          <w:lang w:eastAsia="zh-CN"/>
        </w:rPr>
        <w:t>2023年</w:t>
      </w:r>
      <w:r>
        <w:rPr>
          <w:rFonts w:hint="eastAsia" w:ascii="宋体" w:hAnsi="宋体" w:eastAsia="宋体" w:cs="宋体"/>
          <w:b/>
          <w:bCs/>
          <w:color w:val="auto"/>
          <w:kern w:val="0"/>
          <w:szCs w:val="21"/>
          <w:highlight w:val="none"/>
          <w:lang w:val="en-US" w:eastAsia="zh-CN"/>
        </w:rPr>
        <w:t>05</w:t>
      </w:r>
      <w:r>
        <w:rPr>
          <w:rFonts w:hint="eastAsia" w:ascii="宋体" w:hAnsi="宋体" w:eastAsia="宋体" w:cs="宋体"/>
          <w:b/>
          <w:bCs/>
          <w:color w:val="auto"/>
          <w:kern w:val="0"/>
          <w:szCs w:val="21"/>
          <w:highlight w:val="none"/>
          <w:lang w:eastAsia="zh-CN"/>
        </w:rPr>
        <w:t>月</w:t>
      </w:r>
      <w:r>
        <w:rPr>
          <w:rFonts w:hint="eastAsia" w:ascii="宋体" w:hAnsi="宋体" w:eastAsia="宋体" w:cs="宋体"/>
          <w:b/>
          <w:bCs/>
          <w:color w:val="auto"/>
          <w:kern w:val="0"/>
          <w:szCs w:val="21"/>
          <w:highlight w:val="none"/>
          <w:lang w:val="en-US" w:eastAsia="zh-CN"/>
        </w:rPr>
        <w:t>0</w:t>
      </w:r>
      <w:r>
        <w:rPr>
          <w:rFonts w:hint="default"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lang w:eastAsia="zh-CN"/>
        </w:rPr>
        <w:t>日</w:t>
      </w:r>
      <w:r>
        <w:rPr>
          <w:rFonts w:hint="eastAsia" w:ascii="宋体" w:hAnsi="宋体" w:eastAsia="宋体" w:cs="宋体"/>
          <w:b/>
          <w:bCs/>
          <w:color w:val="auto"/>
          <w:kern w:val="0"/>
          <w:szCs w:val="21"/>
          <w:highlight w:val="none"/>
          <w:lang w:val="en-US" w:eastAsia="zh-CN"/>
        </w:rPr>
        <w:t>1</w:t>
      </w:r>
      <w:r>
        <w:rPr>
          <w:rFonts w:hint="default"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lang w:eastAsia="zh-CN"/>
        </w:rPr>
        <w:t>时</w:t>
      </w:r>
      <w:r>
        <w:rPr>
          <w:rFonts w:hint="eastAsia" w:ascii="宋体" w:hAnsi="宋体" w:eastAsia="宋体" w:cs="宋体"/>
          <w:b/>
          <w:bCs/>
          <w:color w:val="auto"/>
          <w:kern w:val="0"/>
          <w:szCs w:val="21"/>
          <w:highlight w:val="none"/>
          <w:lang w:val="en-US" w:eastAsia="zh-CN"/>
        </w:rPr>
        <w:t>00</w:t>
      </w:r>
      <w:r>
        <w:rPr>
          <w:rFonts w:hint="eastAsia" w:ascii="宋体" w:hAnsi="宋体" w:eastAsia="宋体" w:cs="宋体"/>
          <w:b/>
          <w:bCs/>
          <w:color w:val="auto"/>
          <w:kern w:val="0"/>
          <w:szCs w:val="21"/>
          <w:highlight w:val="none"/>
          <w:lang w:eastAsia="zh-CN"/>
        </w:rPr>
        <w:t>分</w:t>
      </w:r>
      <w:r>
        <w:rPr>
          <w:rFonts w:hint="eastAsia" w:ascii="宋体" w:hAnsi="宋体" w:eastAsia="宋体" w:cs="宋体"/>
          <w:b/>
          <w:bCs/>
          <w:color w:val="auto"/>
          <w:szCs w:val="21"/>
          <w:highlight w:val="none"/>
        </w:rPr>
        <w:t>（北京时间）</w:t>
      </w:r>
      <w:r>
        <w:rPr>
          <w:rFonts w:hint="eastAsia" w:ascii="宋体" w:hAnsi="宋体" w:eastAsia="宋体" w:cs="宋体"/>
          <w:b/>
          <w:bCs/>
          <w:color w:val="auto"/>
          <w:kern w:val="0"/>
          <w:szCs w:val="21"/>
          <w:highlight w:val="none"/>
        </w:rPr>
        <w:t>前递交至</w:t>
      </w:r>
      <w:r>
        <w:rPr>
          <w:rFonts w:hint="eastAsia" w:ascii="宋体" w:hAnsi="宋体" w:eastAsia="宋体" w:cs="宋体"/>
          <w:b/>
          <w:bCs/>
          <w:color w:val="auto"/>
          <w:kern w:val="0"/>
          <w:szCs w:val="21"/>
          <w:highlight w:val="none"/>
          <w:lang w:eastAsia="zh-CN"/>
        </w:rPr>
        <w:t>邹城市城前镇公共资源交易中心开标室</w:t>
      </w:r>
      <w:r>
        <w:rPr>
          <w:rFonts w:hint="eastAsia" w:ascii="宋体" w:hAnsi="宋体" w:eastAsia="宋体" w:cs="宋体"/>
          <w:b/>
          <w:bCs/>
          <w:color w:val="auto"/>
          <w:kern w:val="0"/>
          <w:szCs w:val="21"/>
          <w:highlight w:val="none"/>
        </w:rPr>
        <w:t>。</w:t>
      </w:r>
    </w:p>
    <w:p>
      <w:pPr>
        <w:spacing w:line="440" w:lineRule="exact"/>
        <w:ind w:firstLine="480" w:firstLineChars="22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2、递交磋商响应文件时，供应商如出现以下情况，磋商响应文件将有权被拒绝。</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（1）逾期送达或未送达指定地点的磋商响应文件。</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（2）供应商以传真、电子邮件方式递交磋商响应文件。</w:t>
      </w:r>
    </w:p>
    <w:p>
      <w:pPr>
        <w:spacing w:line="440" w:lineRule="exact"/>
        <w:ind w:firstLine="506" w:firstLineChars="241"/>
        <w:rPr>
          <w:rFonts w:hint="eastAsia" w:ascii="宋体" w:hAnsi="宋体" w:eastAsia="宋体" w:cs="宋体"/>
          <w:color w:val="auto"/>
          <w:highlight w:val="none"/>
        </w:rPr>
      </w:pPr>
      <w:r>
        <w:rPr>
          <w:rFonts w:hint="eastAsia" w:ascii="宋体" w:hAnsi="宋体" w:eastAsia="宋体" w:cs="宋体"/>
          <w:color w:val="auto"/>
          <w:szCs w:val="21"/>
          <w:highlight w:val="none"/>
        </w:rPr>
        <w:t>3、对供应商的磋商响应文件、材料不予退还。</w:t>
      </w:r>
    </w:p>
    <w:p>
      <w:pPr>
        <w:tabs>
          <w:tab w:val="left" w:pos="315"/>
        </w:tabs>
        <w:spacing w:line="4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（四）报价要求：</w:t>
      </w:r>
    </w:p>
    <w:p>
      <w:pPr>
        <w:widowControl/>
        <w:shd w:val="clear" w:color="auto" w:fill="FFFFFF"/>
        <w:spacing w:line="360" w:lineRule="auto"/>
        <w:ind w:firstLine="480"/>
        <w:jc w:val="left"/>
        <w:rPr>
          <w:rFonts w:hint="eastAsia" w:ascii="宋体" w:hAnsi="宋体" w:eastAsia="宋体" w:cs="宋体"/>
          <w:b/>
          <w:color w:val="auto"/>
          <w:kern w:val="0"/>
          <w:szCs w:val="21"/>
          <w:highlight w:val="none"/>
        </w:rPr>
      </w:pPr>
      <w:bookmarkStart w:id="6" w:name="OLE_LINK19"/>
      <w:r>
        <w:rPr>
          <w:rFonts w:hint="eastAsia" w:ascii="宋体" w:hAnsi="宋体" w:eastAsia="宋体" w:cs="宋体"/>
          <w:b/>
          <w:color w:val="auto"/>
          <w:kern w:val="0"/>
          <w:szCs w:val="21"/>
          <w:highlight w:val="none"/>
        </w:rPr>
        <w:t>1.本次磋商采用初次报价及最终报价，共二次的报价方式；初次报价按磋商文件格式（工程量清单格式）报价，最终报价为竞争性磋商后，由供应商的法定代表人或其委托代理人在最终磋商后递交，最终报价只报总价，分项明细报价（分部分项工程量清单单价和合价、措施项目费、其他项目费、规费、税金）按最终总报价扣除暂估价及其相应规费、税金与初次总报价扣除暂估价及其相应规费、税金的比率，同比例下调（暂估价不调整）。供应商两次报价均不得超采购控制价，如若超出按无效响应处理。</w:t>
      </w:r>
    </w:p>
    <w:p>
      <w:pPr>
        <w:widowControl/>
        <w:shd w:val="clear" w:color="auto" w:fill="FFFFFF"/>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最终报价的分项明细报价计算公式为：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报价比率=供应商最终总报价/初次报价</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报价的分部分项工程单价与合价=报价比率×初次报价中的分部分项工程单价与合价</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报价的措施费=报价比率×初次报价中的措施费</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报价的其他项目费=报价比率×初次报价中的其他项目费</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报价的规费=报价比率×初次报价中的规费</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报价的税金=报价比率×初次报价中的税金</w:t>
      </w:r>
    </w:p>
    <w:bookmarkEnd w:id="6"/>
    <w:p>
      <w:pPr>
        <w:numPr>
          <w:ilvl w:val="0"/>
          <w:numId w:val="2"/>
        </w:numPr>
        <w:tabs>
          <w:tab w:val="left" w:pos="315"/>
        </w:tabs>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本次磋商设采购控制价：</w:t>
      </w:r>
      <w:r>
        <w:rPr>
          <w:rFonts w:hint="eastAsia" w:ascii="宋体" w:hAnsi="宋体" w:eastAsia="宋体" w:cs="宋体"/>
          <w:b/>
          <w:color w:val="auto"/>
          <w:szCs w:val="21"/>
          <w:highlight w:val="none"/>
          <w:u w:val="single"/>
          <w:lang w:val="en-US" w:eastAsia="zh-CN"/>
        </w:rPr>
        <w:t xml:space="preserve"> 567238.84 </w:t>
      </w:r>
      <w:r>
        <w:rPr>
          <w:rFonts w:hint="eastAsia" w:ascii="宋体" w:hAnsi="宋体" w:eastAsia="宋体" w:cs="宋体"/>
          <w:b/>
          <w:color w:val="auto"/>
          <w:szCs w:val="21"/>
          <w:highlight w:val="none"/>
        </w:rPr>
        <w:t>元，采购控制价是采购人对采购项目期望的最高限价，供应商的初次报价和最终报价均不得高于采购控制价，磋商响应方最终报价高于采购控制价的，作无效磋商响应文件处理。</w:t>
      </w:r>
    </w:p>
    <w:p>
      <w:pPr>
        <w:numPr>
          <w:ilvl w:val="0"/>
          <w:numId w:val="2"/>
        </w:numPr>
        <w:tabs>
          <w:tab w:val="left" w:pos="315"/>
        </w:tabs>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报价时考虑可调以外的材料价格上涨等一切风险因素；</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4、采购人不组织踏勘现场，供应商踏勘现场发生的费用自理，供应商自行负责在踏勘现场中所发生的人员伤亡和财产损失。</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5、施工期间与周边关系（包括同时施工的其他施工单位关系）的协调由成交单位自行处理。</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七、磋商有效期：</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自递交磋商响应文件截止之日起60个日历日。</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八、磋商费用：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1、无论报价过程中的方法和结果如何，各磋商响应方自行承担所有参与磋商的有关费用。</w:t>
      </w:r>
    </w:p>
    <w:p>
      <w:pPr>
        <w:spacing w:line="4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2、本次采购代理费由成交供应商支付，详见磋商响应须知前附表。</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九、工程款支付：</w:t>
      </w:r>
    </w:p>
    <w:p>
      <w:pPr>
        <w:tabs>
          <w:tab w:val="left" w:pos="315"/>
        </w:tabs>
        <w:spacing w:line="360" w:lineRule="auto"/>
        <w:ind w:firstLine="422" w:firstLineChars="200"/>
        <w:rPr>
          <w:rFonts w:hint="default" w:ascii="宋体" w:hAnsi="宋体" w:eastAsia="宋体" w:cs="宋体"/>
          <w:b/>
          <w:color w:val="auto"/>
          <w:highlight w:val="none"/>
          <w:u w:val="single"/>
          <w:lang w:val="en-US"/>
        </w:rPr>
      </w:pPr>
      <w:r>
        <w:rPr>
          <w:rFonts w:hint="eastAsia" w:ascii="宋体" w:hAnsi="宋体" w:eastAsia="宋体" w:cs="宋体"/>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tabs>
          <w:tab w:val="left" w:pos="315"/>
        </w:tabs>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十、磋商保证金：</w:t>
      </w:r>
    </w:p>
    <w:p>
      <w:pPr>
        <w:tabs>
          <w:tab w:val="left" w:pos="31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本项目无需缴纳磋商保证金。</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十一、无效磋商响应文件：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凡具有下列情形之一的，作为无效磋商响应文件：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1、超出营业执照经营范围报价的；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2、资格证明文件不全的，或者不符合采购文件标明的资格要求的；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3、响应文件无法定代表人或授权委托人代表签字的；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4、不响应或者擅自改变采购文件要求或者响应文件有采购人不能接受的附加条件的；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5、提供的有关资格、资质证明文件不真实，提供虚假报价材料的；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6、磋商响应方串通报价的；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7、磋商响应方向采购人、代理采购机构、评审专家提供不正当利益的；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8、磋商响应方的初次报价和最终报价超过采购预算的；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、没有按磋商文件要求报价，增减或修改磋商文件提供的工程量清单的；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、降低本磋商文件规定不可竞争费用的；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、法律、法规规定的其他情况。</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十二、磋商其他情形和磋商失败：</w:t>
      </w:r>
    </w:p>
    <w:p>
      <w:pPr>
        <w:tabs>
          <w:tab w:val="left" w:pos="315"/>
        </w:tabs>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递交响应文件或对磋商文件做出实质响应的供应商不足三家的，采购人将中止磋商，重新组织采购。</w:t>
      </w:r>
    </w:p>
    <w:p>
      <w:pPr>
        <w:tabs>
          <w:tab w:val="left" w:pos="315"/>
        </w:tabs>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十三、质疑和投诉：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质疑：参加磋商的供应商认为采购文件、采购过程和成交结果使自己的合法权益受到损害的，有权依法向采购人或采购代理机构提出质疑。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投诉：参加谈判的供应商对采购人的质疑答复不满意，或者采购人未在规定期限内作出答复的，供应商可以在答复期满后可以向相关行政主管部门投诉。</w:t>
      </w:r>
    </w:p>
    <w:p>
      <w:pPr>
        <w:numPr>
          <w:ilvl w:val="0"/>
          <w:numId w:val="0"/>
        </w:numPr>
        <w:spacing w:line="360" w:lineRule="auto"/>
        <w:jc w:val="both"/>
        <w:outlineLvl w:val="0"/>
        <w:rPr>
          <w:rFonts w:hint="eastAsia" w:ascii="宋体" w:hAnsi="宋体" w:eastAsia="宋体"/>
          <w:b/>
          <w:color w:val="000000"/>
          <w:sz w:val="24"/>
        </w:rPr>
      </w:pPr>
      <w:r>
        <w:rPr>
          <w:rFonts w:hint="eastAsia" w:ascii="宋体" w:hAnsi="宋体" w:eastAsia="宋体"/>
          <w:b/>
          <w:color w:val="000000"/>
          <w:sz w:val="24"/>
          <w:lang w:val="en-US" w:eastAsia="zh-CN"/>
        </w:rPr>
        <w:t>十四、</w:t>
      </w:r>
      <w:r>
        <w:rPr>
          <w:rFonts w:hint="eastAsia" w:ascii="宋体" w:hAnsi="宋体" w:eastAsia="宋体"/>
          <w:b/>
          <w:color w:val="000000"/>
          <w:sz w:val="24"/>
        </w:rPr>
        <w:t>不拖欠农民工工资保证金</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b/>
          <w:color w:val="000000"/>
          <w:sz w:val="28"/>
          <w:szCs w:val="28"/>
          <w:lang w:val="en-US" w:eastAsia="zh-CN"/>
        </w:rPr>
        <w:t xml:space="preserve">  </w:t>
      </w:r>
      <w:r>
        <w:rPr>
          <w:rFonts w:hint="eastAsia" w:ascii="宋体" w:hAnsi="宋体" w:eastAsia="宋体" w:cs="黑体"/>
          <w:color w:val="000000"/>
          <w:kern w:val="0"/>
          <w:sz w:val="24"/>
          <w:lang w:val="en-US" w:eastAsia="zh-CN"/>
        </w:rPr>
        <w:t xml:space="preserve"> </w:t>
      </w:r>
      <w:r>
        <w:rPr>
          <w:rFonts w:hint="eastAsia" w:ascii="宋体" w:hAnsi="宋体" w:eastAsia="宋体" w:cs="黑体"/>
          <w:color w:val="000000"/>
          <w:kern w:val="0"/>
          <w:sz w:val="21"/>
          <w:szCs w:val="21"/>
        </w:rPr>
        <w:t>不拖欠农民工工资保证金：不拖欠农民工工资保证金的金额为中标价的1% ，不拖欠农民工工资保证金必须由成交供应商在签订合同前从成交供应商基本账户，采用银行电汇或同行支票倒划方式或现金的形式直接缴纳至镇财政所账户或发包人指定账户，否则视为无效。未按招标文件规定缴纳保证金的，发包人有权取消其中标资格。</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中标单位需与农民工全部签订书面规范合同及按月足额发放农民工工资，不得拖欠。如有拖欠状况，发包人有权将保证金扣除，不予退还。</w:t>
      </w:r>
    </w:p>
    <w:p>
      <w:pPr>
        <w:widowControl/>
        <w:shd w:val="clear" w:color="auto" w:fill="FFFFFF"/>
        <w:spacing w:line="540" w:lineRule="exact"/>
        <w:ind w:firstLine="482"/>
        <w:jc w:val="left"/>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承包人所承建的工程项目，因拖欠农民工工资而产生到镇个体访或集体访或到邹城及以上个体访或集体访的，发包人可提前终止合同，中标单位无条件服从，并且该施工单位列入“城前镇失信企业黑名单”，暂停其参加城前镇镇政府投资工程两年。</w:t>
      </w:r>
    </w:p>
    <w:p>
      <w:pPr>
        <w:pStyle w:val="2"/>
        <w:rPr>
          <w:rFonts w:hint="eastAsia" w:ascii="宋体" w:hAnsi="宋体" w:eastAsia="宋体" w:cs="宋体"/>
          <w:b/>
          <w:color w:val="auto"/>
          <w:sz w:val="32"/>
          <w:szCs w:val="32"/>
          <w:highlight w:val="none"/>
        </w:rPr>
      </w:pPr>
      <w:r>
        <w:rPr>
          <w:rFonts w:hint="eastAsia" w:ascii="宋体" w:hAnsi="宋体" w:eastAsia="宋体" w:cs="宋体"/>
          <w:b/>
          <w:color w:val="auto"/>
          <w:sz w:val="21"/>
          <w:szCs w:val="21"/>
          <w:highlight w:val="none"/>
        </w:rPr>
        <w:br w:type="page"/>
      </w:r>
      <w:bookmarkStart w:id="7" w:name="_Toc19797"/>
      <w:bookmarkStart w:id="8" w:name="_Toc3656"/>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color w:val="auto"/>
          <w:sz w:val="32"/>
          <w:szCs w:val="32"/>
          <w:highlight w:val="none"/>
        </w:rPr>
        <w:t>第三部分  磋商组织、步骤与评审方法</w:t>
      </w:r>
      <w:bookmarkEnd w:id="7"/>
      <w:bookmarkEnd w:id="8"/>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一、磋商组织：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1、采购人在磋商文件规定的时间和地点组织磋商，磋商响应方须派代表参加；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2、磋商小组由三人（含）以上单数的人员组成，其中专家的人数不少于成员总数的三分之二，磋商小组对磋商响应文件进行审查、质疑、评估和比较。</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二、磋商步骤：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1、检查磋商响应文件密封情况：由各磋商响应方对递交的磋商响应文件密封情况进行检查；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2、磋商响应文件初步审核：磋商小组对磋商响应文件进行符合性审核；</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3、磋商小组所有成员集中与单一磋商响应方分别磋商；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4、磋商结束后，所有参加磋商的磋商响应方进行最终报价；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5、公开唱价：宣读“最终报价表”，记录员将公开报价内容记录并由各响应磋商响应方签字确认；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6、磋商小组按照如下评审办法确定成交磋商响应方。</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三、评审办法：</w:t>
      </w:r>
    </w:p>
    <w:p>
      <w:pPr>
        <w:tabs>
          <w:tab w:val="left" w:pos="0"/>
          <w:tab w:val="left" w:pos="885"/>
          <w:tab w:val="left" w:pos="990"/>
        </w:tabs>
        <w:spacing w:line="360" w:lineRule="auto"/>
        <w:ind w:firstLine="495" w:firstLineChars="236"/>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1、本项目采用综合评分法，是指响应文件满足磋商文件全部实质性要求且按评审因素的量化指标评审得分，按照评审得分由高到低顺序推荐成交候选供应商的评审方法。</w:t>
      </w:r>
    </w:p>
    <w:tbl>
      <w:tblPr>
        <w:tblStyle w:val="12"/>
        <w:tblW w:w="985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9"/>
        <w:gridCol w:w="2159"/>
        <w:gridCol w:w="901"/>
        <w:gridCol w:w="62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2668" w:type="dxa"/>
            <w:gridSpan w:val="2"/>
            <w:tcBorders>
              <w:top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条款号</w:t>
            </w:r>
          </w:p>
        </w:tc>
        <w:tc>
          <w:tcPr>
            <w:tcW w:w="901"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w:t>
            </w:r>
          </w:p>
          <w:p>
            <w:pPr>
              <w:spacing w:line="360" w:lineRule="auto"/>
              <w:jc w:val="center"/>
              <w:rPr>
                <w:rFonts w:hint="eastAsia" w:ascii="宋体" w:hAnsi="宋体" w:eastAsia="宋体" w:cs="宋体"/>
                <w:b/>
                <w:szCs w:val="21"/>
              </w:rPr>
            </w:pPr>
            <w:r>
              <w:rPr>
                <w:rFonts w:hint="eastAsia" w:ascii="宋体" w:hAnsi="宋体" w:eastAsia="宋体" w:cs="宋体"/>
                <w:b/>
                <w:szCs w:val="21"/>
              </w:rPr>
              <w:t>因素</w:t>
            </w:r>
          </w:p>
        </w:tc>
        <w:tc>
          <w:tcPr>
            <w:tcW w:w="6289"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35"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一</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报价得分</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center"/>
              <w:rPr>
                <w:rFonts w:hint="eastAsia" w:ascii="宋体" w:hAnsi="宋体" w:eastAsia="宋体" w:cs="宋体"/>
                <w:b/>
                <w:szCs w:val="21"/>
              </w:rPr>
            </w:pPr>
            <w:r>
              <w:rPr>
                <w:rFonts w:hint="eastAsia" w:ascii="宋体" w:hAnsi="宋体" w:eastAsia="宋体" w:cs="宋体"/>
                <w:b/>
                <w:szCs w:val="21"/>
              </w:rPr>
              <w:t>30分</w:t>
            </w:r>
          </w:p>
        </w:tc>
        <w:tc>
          <w:tcPr>
            <w:tcW w:w="628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供应商的报价得分统一采用最低价优先法计算，即满足磋商文件要求且最终报价最低的供应商的价格为磋商基准价，其报价得分为满分30分。其他供应商的报价得分统一按照下列公式计算：</w:t>
            </w:r>
          </w:p>
          <w:p>
            <w:pPr>
              <w:adjustRightInd w:val="0"/>
              <w:snapToGrid w:val="0"/>
              <w:spacing w:line="360" w:lineRule="auto"/>
              <w:jc w:val="left"/>
              <w:rPr>
                <w:rFonts w:hint="eastAsia" w:ascii="宋体" w:hAnsi="宋体" w:eastAsia="宋体" w:cs="宋体"/>
                <w:szCs w:val="21"/>
              </w:rPr>
            </w:pPr>
            <w:r>
              <w:rPr>
                <w:rFonts w:hint="eastAsia" w:ascii="宋体" w:hAnsi="宋体" w:eastAsia="宋体" w:cs="宋体"/>
                <w:szCs w:val="21"/>
              </w:rPr>
              <w:t>磋商报价得分=（磋商基准价/最终磋商报价）×30×100%。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99" w:hRule="atLeast"/>
          <w:jc w:val="center"/>
        </w:trPr>
        <w:tc>
          <w:tcPr>
            <w:tcW w:w="50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二</w:t>
            </w:r>
          </w:p>
        </w:tc>
        <w:tc>
          <w:tcPr>
            <w:tcW w:w="2159" w:type="dxa"/>
            <w:tcBorders>
              <w:top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技术部分（施工组织设计）</w:t>
            </w:r>
          </w:p>
        </w:tc>
        <w:tc>
          <w:tcPr>
            <w:tcW w:w="90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before="120" w:beforeLines="50" w:line="360" w:lineRule="auto"/>
              <w:jc w:val="center"/>
              <w:rPr>
                <w:rFonts w:hint="eastAsia" w:ascii="宋体" w:hAnsi="宋体" w:eastAsia="宋体" w:cs="宋体"/>
                <w:b/>
                <w:szCs w:val="21"/>
              </w:rPr>
            </w:pPr>
            <w:r>
              <w:rPr>
                <w:rFonts w:hint="eastAsia" w:ascii="宋体" w:hAnsi="宋体" w:eastAsia="宋体" w:cs="宋体"/>
                <w:b/>
                <w:szCs w:val="21"/>
              </w:rPr>
              <w:t>70分</w:t>
            </w:r>
          </w:p>
        </w:tc>
        <w:tc>
          <w:tcPr>
            <w:tcW w:w="62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1</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针对项目特点内容规范完整性和整体编制水平</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根据对工程整体有深刻认识，施工组织设计内容针对项目特点完整规范、具体可行和整体编制水平得0-</w:t>
            </w:r>
            <w:r>
              <w:rPr>
                <w:rFonts w:hint="eastAsia" w:ascii="宋体" w:hAnsi="宋体" w:eastAsia="宋体" w:cs="宋体"/>
                <w:lang w:val="en-US" w:eastAsia="zh-CN"/>
              </w:rPr>
              <w:t>7</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2</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施工方案与技术措施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 2 分，缺项不得分，根据内容齐全、针对项目实际情况安排恰当、措施可行程度得0-5分。满分7分。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3</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质量管理体系与措施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有该项得基本分2分，缺项不得分，根据体系完整、内容齐全、安排合理、针对项目特点措施先进可行、通病治理措施具体可靠得0-5分。满分7分。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4" w:hRule="atLeast"/>
          <w:jc w:val="center"/>
        </w:trPr>
        <w:tc>
          <w:tcPr>
            <w:tcW w:w="509" w:type="dxa"/>
            <w:tcBorders>
              <w:top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4</w:t>
            </w:r>
          </w:p>
        </w:tc>
        <w:tc>
          <w:tcPr>
            <w:tcW w:w="2159" w:type="dxa"/>
            <w:tcBorders>
              <w:top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安全管理体系与措施</w:t>
            </w:r>
          </w:p>
        </w:tc>
        <w:tc>
          <w:tcPr>
            <w:tcW w:w="901" w:type="dxa"/>
            <w:tcBorders>
              <w:top w:val="single" w:color="auto" w:sz="4" w:space="0"/>
              <w:left w:val="single" w:color="auto" w:sz="4" w:space="0"/>
              <w:right w:val="single" w:color="auto" w:sz="4" w:space="0"/>
            </w:tcBorders>
            <w:noWrap/>
            <w:vAlign w:val="center"/>
          </w:tcPr>
          <w:p>
            <w:pPr>
              <w:ind w:firstLine="210" w:firstLineChars="100"/>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有该项得基本分2分，缺项不得分，根据体系完整、内容齐全、安排恰当、措施针对项目实际情况规范具体完整、应急救援预案可行得0-5分。满分7分。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73"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5</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工程进度计划与措施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有该项得基本分2分，缺项不得分；根据工程计划编排合理、可行、关键路线清晰准确、冬雨季农忙保证措施可靠、内容齐全可行得0-</w:t>
            </w:r>
            <w:r>
              <w:rPr>
                <w:rFonts w:hint="eastAsia" w:ascii="宋体" w:hAnsi="宋体" w:eastAsia="宋体" w:cs="宋体"/>
                <w:lang w:val="en-US" w:eastAsia="zh-CN"/>
              </w:rPr>
              <w:t>5</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6</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环保管理体系与措施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7</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文明管理体系与措施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有该项得基本分2分，缺项不得分，根据体系完整、内容齐全、安排恰当、针对项目实际情况措施可行程度得0-</w:t>
            </w:r>
            <w:r>
              <w:rPr>
                <w:rFonts w:hint="eastAsia" w:ascii="宋体" w:hAnsi="宋体" w:eastAsia="宋体" w:cs="宋体"/>
                <w:lang w:val="en-US" w:eastAsia="zh-CN"/>
              </w:rPr>
              <w:t>7</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8</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施工管理及措施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有该项得基本分2分，缺项不得分；根据对本工程项目管理的认识，内容齐全、有针对性、对工程现场管理安排合理、符合安全文明生产要求、对工程管理的配合、协调、服务措施可行得0-5分。满分7分。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9</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资源配备计划及措施</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rPr>
              <w:t>7分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有该项得基本分2分，缺项不得分；根据内容齐全、安排合理、投入计划与进度计划相呼应、措施可行程度得0-5分。满分7分。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47" w:hRule="atLeast"/>
          <w:jc w:val="center"/>
        </w:trPr>
        <w:tc>
          <w:tcPr>
            <w:tcW w:w="50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10</w:t>
            </w:r>
          </w:p>
        </w:tc>
        <w:tc>
          <w:tcPr>
            <w:tcW w:w="2159" w:type="dxa"/>
            <w:tcBorders>
              <w:top w:val="single" w:color="auto" w:sz="4" w:space="0"/>
              <w:bottom w:val="single" w:color="auto" w:sz="4" w:space="0"/>
              <w:right w:val="single" w:color="auto" w:sz="4" w:space="0"/>
            </w:tcBorders>
            <w:noWrap/>
            <w:vAlign w:val="center"/>
          </w:tcPr>
          <w:p>
            <w:pPr>
              <w:jc w:val="center"/>
              <w:rPr>
                <w:rFonts w:hint="eastAsia" w:ascii="宋体" w:hAnsi="宋体" w:eastAsia="宋体" w:cs="宋体"/>
              </w:rPr>
            </w:pPr>
            <w:r>
              <w:rPr>
                <w:rFonts w:hint="eastAsia" w:ascii="宋体" w:hAnsi="宋体" w:eastAsia="宋体" w:cs="宋体"/>
              </w:rPr>
              <w:t>施工关键部位、材料采购要点的控制及措施（根据工程特点及磋商文件要求应具有针对性）</w:t>
            </w:r>
          </w:p>
        </w:tc>
        <w:tc>
          <w:tcPr>
            <w:tcW w:w="90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highlight w:val="yellow"/>
              </w:rPr>
            </w:pPr>
            <w:r>
              <w:rPr>
                <w:rFonts w:hint="eastAsia" w:ascii="宋体" w:hAnsi="宋体" w:eastAsia="宋体" w:cs="宋体"/>
                <w:lang w:val="en-US" w:eastAsia="zh-CN"/>
              </w:rPr>
              <w:t>7</w:t>
            </w:r>
            <w:r>
              <w:rPr>
                <w:rFonts w:hint="eastAsia" w:ascii="宋体" w:hAnsi="宋体" w:eastAsia="宋体" w:cs="宋体"/>
              </w:rPr>
              <w:t>分</w:t>
            </w:r>
          </w:p>
        </w:tc>
        <w:tc>
          <w:tcPr>
            <w:tcW w:w="6289"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rPr>
            </w:pPr>
            <w:r>
              <w:rPr>
                <w:rFonts w:hint="eastAsia" w:ascii="宋体" w:hAnsi="宋体" w:eastAsia="宋体" w:cs="宋体"/>
              </w:rPr>
              <w:t>有该项得基本分2分，缺项不得分，根据针对工程特点内容齐全、安排合理、对施工关键部位及材料采购要点解决方案完整、经济、切实可行、措施得力得0-</w:t>
            </w:r>
            <w:r>
              <w:rPr>
                <w:rFonts w:hint="eastAsia" w:ascii="宋体" w:hAnsi="宋体" w:eastAsia="宋体" w:cs="宋体"/>
                <w:lang w:val="en-US" w:eastAsia="zh-CN"/>
              </w:rPr>
              <w:t>5</w:t>
            </w:r>
            <w:r>
              <w:rPr>
                <w:rFonts w:hint="eastAsia" w:ascii="宋体" w:hAnsi="宋体" w:eastAsia="宋体" w:cs="宋体"/>
              </w:rPr>
              <w:t>分。满分</w:t>
            </w:r>
            <w:r>
              <w:rPr>
                <w:rFonts w:hint="eastAsia" w:ascii="宋体" w:hAnsi="宋体" w:eastAsia="宋体" w:cs="宋体"/>
                <w:lang w:val="en-US" w:eastAsia="zh-CN"/>
              </w:rPr>
              <w:t>7</w:t>
            </w:r>
            <w:r>
              <w:rPr>
                <w:rFonts w:hint="eastAsia" w:ascii="宋体" w:hAnsi="宋体" w:eastAsia="宋体" w:cs="宋体"/>
              </w:rPr>
              <w:t>分。</w:t>
            </w:r>
          </w:p>
        </w:tc>
      </w:tr>
    </w:tbl>
    <w:p>
      <w:pPr>
        <w:spacing w:line="360" w:lineRule="auto"/>
        <w:ind w:firstLine="422" w:firstLineChars="200"/>
        <w:rPr>
          <w:rFonts w:hint="eastAsia" w:ascii="宋体" w:hAnsi="宋体" w:eastAsia="宋体" w:cs="宋体"/>
          <w:szCs w:val="21"/>
        </w:rPr>
      </w:pPr>
      <w:r>
        <w:rPr>
          <w:rFonts w:hint="eastAsia" w:ascii="宋体" w:hAnsi="宋体" w:eastAsia="宋体" w:cs="宋体"/>
          <w:b/>
          <w:szCs w:val="21"/>
        </w:rPr>
        <w:t>注：1、</w:t>
      </w:r>
      <w:r>
        <w:rPr>
          <w:rFonts w:hint="eastAsia" w:ascii="宋体" w:hAnsi="宋体" w:eastAsia="宋体" w:cs="宋体"/>
          <w:b/>
          <w:color w:val="000000"/>
          <w:szCs w:val="21"/>
        </w:rPr>
        <w:t>总得分相同者，按最终报价低的名次在前；总得分相同，最终报价也相同的，技术部分总得分高者排名优先。</w:t>
      </w:r>
      <w:r>
        <w:rPr>
          <w:rFonts w:hint="eastAsia" w:ascii="宋体" w:hAnsi="宋体" w:eastAsia="宋体" w:cs="宋体"/>
          <w:b/>
          <w:szCs w:val="21"/>
        </w:rPr>
        <w:t xml:space="preserve"> </w:t>
      </w:r>
      <w:r>
        <w:rPr>
          <w:rFonts w:hint="eastAsia" w:ascii="宋体" w:hAnsi="宋体" w:eastAsia="宋体" w:cs="宋体"/>
          <w:szCs w:val="21"/>
        </w:rPr>
        <w:t xml:space="preserve">  </w:t>
      </w:r>
    </w:p>
    <w:p>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2、评分分值计算保留小数点后两位，小数点后第三位“四舍五入”。</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四、成交通知书。</w:t>
      </w:r>
    </w:p>
    <w:p>
      <w:pPr>
        <w:spacing w:line="360" w:lineRule="auto"/>
        <w:ind w:firstLine="840" w:firstLineChars="400"/>
        <w:jc w:val="left"/>
        <w:rPr>
          <w:rFonts w:hint="eastAsia" w:ascii="宋体" w:hAnsi="宋体" w:eastAsia="宋体" w:cs="宋体"/>
          <w:color w:val="auto"/>
          <w:highlight w:val="none"/>
        </w:rPr>
      </w:pPr>
      <w:r>
        <w:rPr>
          <w:rFonts w:hint="eastAsia" w:ascii="宋体" w:hAnsi="宋体" w:eastAsia="宋体" w:cs="宋体"/>
          <w:color w:val="auto"/>
          <w:szCs w:val="21"/>
          <w:highlight w:val="none"/>
        </w:rPr>
        <w:t>成交结果公示结束后，采购人向成交供应商签发《成交通知书》。</w:t>
      </w:r>
    </w:p>
    <w:p>
      <w:pPr>
        <w:spacing w:line="360" w:lineRule="auto"/>
        <w:ind w:firstLine="643" w:firstLineChars="200"/>
        <w:jc w:val="center"/>
        <w:outlineLvl w:val="0"/>
        <w:rPr>
          <w:rFonts w:hint="eastAsia" w:ascii="宋体" w:hAnsi="宋体" w:eastAsia="宋体" w:cs="宋体"/>
          <w:b/>
          <w:color w:val="auto"/>
          <w:sz w:val="32"/>
          <w:szCs w:val="32"/>
          <w:highlight w:val="none"/>
        </w:rPr>
      </w:pPr>
      <w:bookmarkStart w:id="9" w:name="_Toc30370"/>
      <w:bookmarkStart w:id="10" w:name="_Toc13323"/>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第四部分  采购内容及要求</w:t>
      </w:r>
      <w:bookmarkEnd w:id="9"/>
      <w:bookmarkEnd w:id="10"/>
    </w:p>
    <w:p>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一、项目内容及要求</w:t>
      </w:r>
    </w:p>
    <w:p>
      <w:pPr>
        <w:keepNext w:val="0"/>
        <w:keepLines w:val="0"/>
        <w:pageBreakBefore w:val="0"/>
        <w:widowControl w:val="0"/>
        <w:kinsoku/>
        <w:wordWrap/>
        <w:overflowPunct/>
        <w:topLinePunct w:val="0"/>
        <w:autoSpaceDE/>
        <w:autoSpaceDN/>
        <w:bidi w:val="0"/>
        <w:adjustRightInd/>
        <w:snapToGrid/>
        <w:spacing w:line="560" w:lineRule="exact"/>
        <w:ind w:firstLine="422"/>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（一）采购内容：本工程为</w:t>
      </w:r>
      <w:r>
        <w:rPr>
          <w:rFonts w:hint="eastAsia" w:ascii="宋体" w:hAnsi="宋体" w:eastAsia="宋体" w:cs="宋体"/>
          <w:b/>
          <w:color w:val="auto"/>
          <w:szCs w:val="21"/>
          <w:highlight w:val="none"/>
          <w:lang w:eastAsia="zh-CN"/>
        </w:rPr>
        <w:t>邹城市城前镇青邑南岭村基础设施建设项目（路、排水）工程</w:t>
      </w:r>
      <w:r>
        <w:rPr>
          <w:rFonts w:hint="eastAsia" w:ascii="宋体" w:hAnsi="宋体" w:eastAsia="宋体" w:cs="宋体"/>
          <w:b/>
          <w:color w:val="auto"/>
          <w:szCs w:val="21"/>
          <w:highlight w:val="none"/>
        </w:rPr>
        <w:t>，</w:t>
      </w:r>
      <w:r>
        <w:rPr>
          <w:rFonts w:hint="eastAsia" w:ascii="宋体" w:hAnsi="宋体" w:eastAsia="宋体" w:cs="宋体"/>
          <w:b/>
          <w:bCs/>
          <w:color w:val="auto"/>
          <w:szCs w:val="21"/>
          <w:highlight w:val="none"/>
        </w:rPr>
        <w:t>工程</w:t>
      </w:r>
      <w:r>
        <w:rPr>
          <w:rFonts w:hint="eastAsia" w:ascii="宋体" w:hAnsi="宋体" w:eastAsia="宋体" w:cs="宋体"/>
          <w:b/>
          <w:bCs/>
          <w:color w:val="auto"/>
          <w:szCs w:val="21"/>
          <w:highlight w:val="none"/>
          <w:lang w:eastAsia="zh-CN"/>
        </w:rPr>
        <w:t>内容包括：</w:t>
      </w:r>
      <w:r>
        <w:rPr>
          <w:rFonts w:hint="eastAsia" w:ascii="宋体" w:hAnsi="宋体" w:eastAsia="宋体" w:cs="宋体"/>
          <w:b/>
          <w:bCs/>
          <w:color w:val="auto"/>
          <w:szCs w:val="21"/>
          <w:highlight w:val="none"/>
          <w:lang w:val="en-US" w:eastAsia="zh-CN"/>
        </w:rPr>
        <w:t>建设村内广场水泥硬化，回填土方；村委会南东西主街道双侧排水沟砌筑，村主街道铺油</w:t>
      </w:r>
      <w:r>
        <w:rPr>
          <w:rFonts w:hint="eastAsia" w:ascii="宋体" w:hAnsi="宋体" w:eastAsia="宋体" w:cs="宋体"/>
          <w:b/>
          <w:bCs/>
          <w:color w:val="auto"/>
          <w:szCs w:val="21"/>
          <w:highlight w:val="none"/>
          <w:lang w:eastAsia="zh-CN"/>
        </w:rPr>
        <w:t>等工程内容。</w:t>
      </w:r>
      <w:r>
        <w:rPr>
          <w:rFonts w:hint="eastAsia" w:ascii="宋体" w:hAnsi="宋体" w:eastAsia="宋体" w:cs="宋体"/>
          <w:b/>
          <w:color w:val="auto"/>
          <w:szCs w:val="21"/>
          <w:highlight w:val="none"/>
        </w:rPr>
        <w:t>（详见工程量清单）。</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二</w:t>
      </w:r>
      <w:r>
        <w:rPr>
          <w:rFonts w:hint="eastAsia" w:ascii="宋体" w:hAnsi="宋体" w:eastAsia="宋体" w:cs="宋体"/>
          <w:b/>
          <w:color w:val="auto"/>
          <w:szCs w:val="21"/>
          <w:highlight w:val="none"/>
        </w:rPr>
        <w:t>）建设地点：邹城市</w:t>
      </w:r>
      <w:r>
        <w:rPr>
          <w:rFonts w:hint="eastAsia" w:ascii="宋体" w:hAnsi="宋体" w:eastAsia="宋体" w:cs="宋体"/>
          <w:b/>
          <w:color w:val="auto"/>
          <w:szCs w:val="21"/>
          <w:highlight w:val="none"/>
          <w:lang w:eastAsia="zh-CN"/>
        </w:rPr>
        <w:t>城前镇</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三</w:t>
      </w:r>
      <w:r>
        <w:rPr>
          <w:rFonts w:hint="eastAsia" w:ascii="宋体" w:hAnsi="宋体" w:eastAsia="宋体" w:cs="宋体"/>
          <w:b/>
          <w:color w:val="auto"/>
          <w:szCs w:val="21"/>
          <w:highlight w:val="none"/>
        </w:rPr>
        <w:t>）建设规模：本次磋商项目采购预算为</w:t>
      </w:r>
      <w:r>
        <w:rPr>
          <w:rFonts w:hint="eastAsia" w:ascii="宋体" w:hAnsi="宋体" w:eastAsia="宋体" w:cs="宋体"/>
          <w:b/>
          <w:color w:val="auto"/>
          <w:szCs w:val="21"/>
          <w:highlight w:val="none"/>
          <w:lang w:eastAsia="zh-CN"/>
        </w:rPr>
        <w:t>567238.84</w:t>
      </w:r>
      <w:r>
        <w:rPr>
          <w:rFonts w:hint="eastAsia" w:ascii="宋体" w:hAnsi="宋体" w:eastAsia="宋体" w:cs="宋体"/>
          <w:b/>
          <w:color w:val="auto"/>
          <w:szCs w:val="21"/>
          <w:highlight w:val="none"/>
        </w:rPr>
        <w:t>元。</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四</w:t>
      </w:r>
      <w:r>
        <w:rPr>
          <w:rFonts w:hint="eastAsia" w:ascii="宋体" w:hAnsi="宋体" w:eastAsia="宋体" w:cs="宋体"/>
          <w:b/>
          <w:color w:val="auto"/>
          <w:szCs w:val="21"/>
          <w:highlight w:val="none"/>
        </w:rPr>
        <w:t>）计划工期：</w:t>
      </w:r>
      <w:r>
        <w:rPr>
          <w:rFonts w:hint="eastAsia" w:ascii="宋体" w:hAnsi="宋体" w:eastAsia="宋体" w:cs="宋体"/>
          <w:b/>
          <w:color w:val="auto"/>
          <w:szCs w:val="21"/>
          <w:highlight w:val="none"/>
          <w:lang w:val="en-US" w:eastAsia="zh-CN"/>
        </w:rPr>
        <w:t>60</w:t>
      </w:r>
      <w:r>
        <w:rPr>
          <w:rFonts w:hint="eastAsia" w:ascii="宋体" w:hAnsi="宋体" w:eastAsia="宋体" w:cs="宋体"/>
          <w:b/>
          <w:color w:val="auto"/>
          <w:szCs w:val="21"/>
          <w:highlight w:val="none"/>
          <w:lang w:eastAsia="zh-CN"/>
        </w:rPr>
        <w:t>日历天</w:t>
      </w:r>
      <w:r>
        <w:rPr>
          <w:rFonts w:hint="eastAsia" w:ascii="宋体" w:hAnsi="宋体" w:eastAsia="宋体" w:cs="宋体"/>
          <w:b/>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）质量要求：合格。</w:t>
      </w:r>
    </w:p>
    <w:p>
      <w:pPr>
        <w:keepNext w:val="0"/>
        <w:keepLines w:val="0"/>
        <w:pageBreakBefore w:val="0"/>
        <w:widowControl w:val="0"/>
        <w:kinsoku/>
        <w:wordWrap/>
        <w:overflowPunct/>
        <w:topLinePunct w:val="0"/>
        <w:autoSpaceDE/>
        <w:autoSpaceDN/>
        <w:bidi w:val="0"/>
        <w:adjustRightInd/>
        <w:snapToGrid/>
        <w:spacing w:line="56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）质保期：</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年。</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二、图纸  /</w:t>
      </w: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三、报价说明</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1.</w:t>
      </w:r>
      <w:r>
        <w:rPr>
          <w:rFonts w:hint="eastAsia" w:ascii="宋体" w:hAnsi="宋体" w:eastAsia="宋体" w:cs="宋体"/>
          <w:b/>
          <w:bCs/>
          <w:color w:val="auto"/>
          <w:kern w:val="0"/>
          <w:szCs w:val="21"/>
          <w:highlight w:val="none"/>
        </w:rPr>
        <w:t xml:space="preserve"> 本次磋商采用初次报价及最终报价，共二次的报价方式；初次报价按磋商文件格式报价，最终报价为竞争性磋商后，由法定代表人或其委托代理人在最终磋商后递交。最终报价只报总价，</w:t>
      </w:r>
      <w:bookmarkStart w:id="11" w:name="OLE_LINK16"/>
      <w:r>
        <w:rPr>
          <w:rFonts w:hint="eastAsia" w:ascii="宋体" w:hAnsi="宋体" w:eastAsia="宋体" w:cs="宋体"/>
          <w:b/>
          <w:color w:val="auto"/>
          <w:kern w:val="0"/>
          <w:szCs w:val="21"/>
          <w:highlight w:val="none"/>
        </w:rPr>
        <w:t>分项明细报价</w:t>
      </w:r>
      <w:bookmarkEnd w:id="11"/>
      <w:r>
        <w:rPr>
          <w:rFonts w:hint="eastAsia" w:ascii="宋体" w:hAnsi="宋体" w:eastAsia="宋体" w:cs="宋体"/>
          <w:b/>
          <w:color w:val="auto"/>
          <w:kern w:val="0"/>
          <w:szCs w:val="21"/>
          <w:highlight w:val="none"/>
        </w:rPr>
        <w:t>（分部分项工程量清单单价和合价、措施项目费、其他项目费、规费、税金）按</w:t>
      </w:r>
      <w:r>
        <w:rPr>
          <w:rFonts w:hint="eastAsia" w:ascii="宋体" w:hAnsi="宋体" w:eastAsia="宋体" w:cs="宋体"/>
          <w:b/>
          <w:color w:val="auto"/>
          <w:kern w:val="0"/>
          <w:szCs w:val="21"/>
          <w:highlight w:val="none"/>
          <w:u w:val="single"/>
        </w:rPr>
        <w:t>最终报价</w:t>
      </w:r>
      <w:r>
        <w:rPr>
          <w:rFonts w:hint="eastAsia" w:ascii="宋体" w:hAnsi="宋体" w:eastAsia="宋体" w:cs="宋体"/>
          <w:b/>
          <w:color w:val="auto"/>
          <w:kern w:val="0"/>
          <w:szCs w:val="21"/>
          <w:highlight w:val="none"/>
        </w:rPr>
        <w:t>与</w:t>
      </w:r>
      <w:r>
        <w:rPr>
          <w:rFonts w:hint="eastAsia" w:ascii="宋体" w:hAnsi="宋体" w:eastAsia="宋体" w:cs="宋体"/>
          <w:b/>
          <w:color w:val="auto"/>
          <w:kern w:val="0"/>
          <w:szCs w:val="21"/>
          <w:highlight w:val="none"/>
          <w:u w:val="single"/>
        </w:rPr>
        <w:t>初次报价</w:t>
      </w:r>
      <w:r>
        <w:rPr>
          <w:rFonts w:hint="eastAsia" w:ascii="宋体" w:hAnsi="宋体" w:eastAsia="宋体" w:cs="宋体"/>
          <w:b/>
          <w:color w:val="auto"/>
          <w:kern w:val="0"/>
          <w:szCs w:val="21"/>
          <w:highlight w:val="none"/>
        </w:rPr>
        <w:t>的比率，同比例下调。供应商两次报价均不得超出采购预算（控制价），如若超出按无效响应处理。其中，磋商代理服务费应分摊在报价中。</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计算</w:t>
      </w:r>
      <w:r>
        <w:rPr>
          <w:rFonts w:hint="eastAsia" w:ascii="宋体" w:hAnsi="宋体" w:eastAsia="宋体" w:cs="宋体"/>
          <w:b/>
          <w:color w:val="auto"/>
          <w:kern w:val="0"/>
          <w:szCs w:val="21"/>
          <w:highlight w:val="none"/>
        </w:rPr>
        <w:t>公式</w:t>
      </w:r>
      <w:r>
        <w:rPr>
          <w:rFonts w:hint="eastAsia" w:ascii="宋体" w:hAnsi="宋体" w:eastAsia="宋体" w:cs="宋体"/>
          <w:b/>
          <w:bCs/>
          <w:color w:val="auto"/>
          <w:kern w:val="0"/>
          <w:szCs w:val="21"/>
          <w:highlight w:val="none"/>
        </w:rPr>
        <w:t>为：</w:t>
      </w:r>
    </w:p>
    <w:p>
      <w:pPr>
        <w:spacing w:line="360" w:lineRule="auto"/>
        <w:ind w:firstLine="422" w:firstLineChars="20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比率=</w:t>
      </w:r>
      <w:r>
        <w:rPr>
          <w:rFonts w:hint="eastAsia" w:ascii="宋体" w:hAnsi="宋体" w:eastAsia="宋体" w:cs="宋体"/>
          <w:b/>
          <w:color w:val="auto"/>
          <w:kern w:val="0"/>
          <w:szCs w:val="21"/>
          <w:highlight w:val="none"/>
        </w:rPr>
        <w:t>（供应商最终总报价-暂估价项目费及相应规费、税金）/（初次报价-暂估项目费及相应规费、税金）</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的分部分项工程单价与合价=报价比率×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中的分部分项工程单价与合价</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报价的措施费=报价比率×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中的措施费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报价的其他项目费=报价比率×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中的其他项目费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的规费=报价比率×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中的规费</w:t>
      </w:r>
    </w:p>
    <w:p>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color w:val="auto"/>
          <w:kern w:val="0"/>
          <w:szCs w:val="21"/>
          <w:highlight w:val="none"/>
        </w:rPr>
        <w:t>报价</w:t>
      </w:r>
      <w:r>
        <w:rPr>
          <w:rFonts w:hint="eastAsia" w:ascii="宋体" w:hAnsi="宋体" w:eastAsia="宋体" w:cs="宋体"/>
          <w:b/>
          <w:bCs/>
          <w:color w:val="auto"/>
          <w:kern w:val="0"/>
          <w:szCs w:val="21"/>
          <w:highlight w:val="none"/>
        </w:rPr>
        <w:t>的税金=报价比率×</w:t>
      </w:r>
      <w:r>
        <w:rPr>
          <w:rFonts w:hint="eastAsia" w:ascii="宋体" w:hAnsi="宋体" w:eastAsia="宋体" w:cs="宋体"/>
          <w:b/>
          <w:bCs/>
          <w:color w:val="auto"/>
          <w:kern w:val="0"/>
          <w:szCs w:val="21"/>
          <w:highlight w:val="none"/>
          <w:u w:val="single"/>
        </w:rPr>
        <w:t>初次报价</w:t>
      </w:r>
      <w:r>
        <w:rPr>
          <w:rFonts w:hint="eastAsia" w:ascii="宋体" w:hAnsi="宋体" w:eastAsia="宋体" w:cs="宋体"/>
          <w:b/>
          <w:bCs/>
          <w:color w:val="auto"/>
          <w:kern w:val="0"/>
          <w:szCs w:val="21"/>
          <w:highlight w:val="none"/>
        </w:rPr>
        <w:t>中的税金</w:t>
      </w:r>
    </w:p>
    <w:p>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 w:val="24"/>
          <w:highlight w:val="none"/>
        </w:rPr>
        <w:t>四、</w:t>
      </w:r>
      <w:r>
        <w:rPr>
          <w:rFonts w:hint="eastAsia" w:ascii="宋体" w:hAnsi="宋体" w:eastAsia="宋体" w:cs="宋体"/>
          <w:b/>
          <w:bCs/>
          <w:color w:val="auto"/>
          <w:sz w:val="24"/>
          <w:highlight w:val="none"/>
        </w:rPr>
        <w:t>工程量清单</w:t>
      </w:r>
    </w:p>
    <w:p>
      <w:pPr>
        <w:spacing w:line="360" w:lineRule="auto"/>
        <w:ind w:left="284"/>
        <w:rPr>
          <w:rFonts w:hint="eastAsia" w:ascii="宋体" w:hAnsi="宋体" w:eastAsia="宋体" w:cs="宋体"/>
          <w:b/>
          <w:sz w:val="24"/>
        </w:rPr>
      </w:pPr>
      <w:bookmarkStart w:id="12" w:name="_Toc300901180"/>
      <w:bookmarkStart w:id="13" w:name="_Toc420592312"/>
      <w:bookmarkStart w:id="14" w:name="_Toc1263"/>
      <w:bookmarkStart w:id="15" w:name="_Toc18155"/>
      <w:r>
        <w:rPr>
          <w:rFonts w:hint="eastAsia" w:ascii="宋体" w:hAnsi="宋体" w:eastAsia="宋体" w:cs="宋体"/>
          <w:b/>
          <w:sz w:val="24"/>
        </w:rPr>
        <w:t>1、工程量清单说明</w:t>
      </w:r>
      <w:bookmarkEnd w:id="12"/>
      <w:bookmarkEnd w:id="13"/>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1.1本工程量清单是依据中华人民共和国国家标准《建设工程工程量清单计价规范》 (以下简称“计价规范”)、《山东省建设工程工程量清单计价规则》以及磋商文件中包括的图纸等编制。计量采用中华人民共和国法定的基本计量单位。</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1.2本工程量清单应与磋商文件中的项目内容及要求、通用合同条款、专用合同条款、技术标准和要求及图纸等内容一起阅读和理解。</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1.3本工程量清单仅是报价的共同基础，竣工结算的工程量按合同约定确定</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1.4补充子目的子目特征、计量单位、工程量计算规则及工作内容说明如下：</w:t>
      </w:r>
    </w:p>
    <w:p>
      <w:pPr>
        <w:spacing w:line="430" w:lineRule="exact"/>
        <w:ind w:firstLine="359" w:firstLineChars="171"/>
        <w:rPr>
          <w:rFonts w:hint="eastAsia" w:ascii="宋体" w:hAnsi="宋体" w:eastAsia="宋体" w:cs="宋体"/>
          <w:szCs w:val="21"/>
          <w:u w:val="single"/>
        </w:rPr>
      </w:pPr>
      <w:r>
        <w:rPr>
          <w:rFonts w:hint="eastAsia" w:ascii="宋体" w:hAnsi="宋体" w:eastAsia="宋体" w:cs="宋体"/>
          <w:szCs w:val="21"/>
          <w:u w:val="single"/>
        </w:rPr>
        <w:t xml:space="preserve">                                        /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1.5本条第1.1款中约定的计量和计价规则适用于合同履约过程中工程量计量与价款支付、工程变更、索赔和工程结算。</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1.6本条与下述第2条和第3条的说明内容是构成合同文件的已标价工程量清单的组成部分。</w:t>
      </w:r>
    </w:p>
    <w:p>
      <w:pPr>
        <w:spacing w:line="360" w:lineRule="auto"/>
        <w:ind w:left="284"/>
        <w:rPr>
          <w:rFonts w:hint="eastAsia" w:ascii="宋体" w:hAnsi="宋体" w:eastAsia="宋体" w:cs="宋体"/>
          <w:b/>
          <w:sz w:val="24"/>
        </w:rPr>
      </w:pPr>
      <w:bookmarkStart w:id="16" w:name="_Toc300901181"/>
      <w:bookmarkStart w:id="17" w:name="_Toc420592313"/>
      <w:r>
        <w:rPr>
          <w:rFonts w:hint="eastAsia" w:ascii="宋体" w:hAnsi="宋体" w:eastAsia="宋体" w:cs="宋体"/>
          <w:b/>
          <w:sz w:val="24"/>
        </w:rPr>
        <w:t>2、工程量清单报价说明</w:t>
      </w:r>
      <w:bookmarkEnd w:id="16"/>
      <w:bookmarkEnd w:id="17"/>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2.1报价应根据磋商文件中的有关计价要求，并按照下列依据自主报价。</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(1)  本磋商文件；</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 《建设工程工程量清单计价规范》；</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(3) 《山东省建设工程工程量清单计价规则》《山东省建设工程工程量清单计价规范》（现行价目表）及相应计算规则、费用定额；</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(4) 国家或省级、行业建设主管部门颁发的计价办法；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(5) 企业定额，国家或省级、行业建设主管部门颁发的计价定额；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(6) 磋商文件(包括工程量清单)的澄清、补充和修改文件；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(7) 建设工程设计文件及相关资料；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(8) 施工现场情况、工程特点及拟定的投标施工组织设计或施工方案；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(9) 与建设项目相关的标准、规定等技术资料；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(10) 市场价格信息或工程造价管理机构发布的工程造价信息；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 xml:space="preserve">(11) 其他的相关资料。 </w:t>
      </w:r>
    </w:p>
    <w:p>
      <w:pPr>
        <w:spacing w:line="430" w:lineRule="exact"/>
        <w:ind w:firstLine="359" w:firstLineChars="171"/>
        <w:rPr>
          <w:rFonts w:hint="eastAsia" w:ascii="宋体" w:hAnsi="宋体" w:eastAsia="宋体" w:cs="宋体"/>
          <w:szCs w:val="21"/>
        </w:rPr>
      </w:pPr>
      <w:r>
        <w:rPr>
          <w:rFonts w:hint="eastAsia" w:ascii="宋体" w:hAnsi="宋体" w:eastAsia="宋体" w:cs="宋体"/>
          <w:szCs w:val="21"/>
        </w:rPr>
        <w:t>2.2工程量清单中的每一子目须填入单价或价格，且只允许有一个报价。</w:t>
      </w:r>
    </w:p>
    <w:p>
      <w:pPr>
        <w:spacing w:line="430" w:lineRule="exact"/>
        <w:ind w:firstLine="359" w:firstLineChars="171"/>
        <w:rPr>
          <w:rFonts w:hint="eastAsia" w:ascii="宋体" w:hAnsi="宋体" w:eastAsia="宋体" w:cs="宋体"/>
        </w:rPr>
      </w:pPr>
      <w:r>
        <w:rPr>
          <w:rFonts w:hint="eastAsia" w:ascii="宋体" w:hAnsi="宋体" w:eastAsia="宋体" w:cs="宋体"/>
          <w:szCs w:val="21"/>
        </w:rPr>
        <w:t>2.3工程量清单中标价的单价或金额，应包括所需人工费、材料费、施工机械使用费和管理费及利润，以及一定范围内的风险费用。所谓“一定</w:t>
      </w:r>
      <w:r>
        <w:rPr>
          <w:rFonts w:hint="eastAsia" w:ascii="宋体" w:hAnsi="宋体" w:eastAsia="宋体" w:cs="宋体"/>
        </w:rPr>
        <w:t>范围内的风险”是指合同约定的风险。</w:t>
      </w:r>
    </w:p>
    <w:p>
      <w:pPr>
        <w:spacing w:line="420" w:lineRule="exact"/>
        <w:ind w:firstLine="420" w:firstLineChars="200"/>
        <w:rPr>
          <w:rFonts w:hint="eastAsia" w:ascii="宋体" w:hAnsi="宋体" w:eastAsia="宋体" w:cs="宋体"/>
        </w:rPr>
      </w:pPr>
      <w:r>
        <w:rPr>
          <w:rFonts w:hint="eastAsia" w:ascii="宋体" w:hAnsi="宋体" w:eastAsia="宋体" w:cs="宋体"/>
        </w:rPr>
        <w:t>2.4已标价工程量清单中供应商没有填入单价或价格的子目，其费用视为已分摊在工程量清单中其他已标价的相关子目的单价或价格之中。</w:t>
      </w:r>
    </w:p>
    <w:p>
      <w:pPr>
        <w:spacing w:line="420" w:lineRule="exact"/>
        <w:ind w:firstLine="420" w:firstLineChars="200"/>
        <w:rPr>
          <w:rFonts w:hint="eastAsia" w:ascii="宋体" w:hAnsi="宋体" w:eastAsia="宋体" w:cs="宋体"/>
        </w:rPr>
      </w:pPr>
      <w:r>
        <w:rPr>
          <w:rFonts w:hint="eastAsia" w:ascii="宋体" w:hAnsi="宋体" w:eastAsia="宋体" w:cs="宋体"/>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pPr>
        <w:spacing w:line="420" w:lineRule="exact"/>
        <w:ind w:firstLine="420" w:firstLineChars="200"/>
        <w:rPr>
          <w:rFonts w:hint="eastAsia" w:ascii="宋体" w:hAnsi="宋体" w:eastAsia="宋体" w:cs="宋体"/>
        </w:rPr>
      </w:pPr>
      <w:r>
        <w:rPr>
          <w:rFonts w:hint="eastAsia" w:ascii="宋体" w:hAnsi="宋体" w:eastAsia="宋体" w:cs="宋体"/>
        </w:rPr>
        <w:t>2.6分部分项工程项目按下列要求报价：</w:t>
      </w:r>
    </w:p>
    <w:p>
      <w:pPr>
        <w:spacing w:line="420" w:lineRule="exact"/>
        <w:ind w:firstLine="420" w:firstLineChars="200"/>
        <w:rPr>
          <w:rFonts w:hint="eastAsia" w:ascii="宋体" w:hAnsi="宋体" w:eastAsia="宋体" w:cs="宋体"/>
        </w:rPr>
      </w:pPr>
      <w:r>
        <w:rPr>
          <w:rFonts w:hint="eastAsia" w:ascii="宋体" w:hAnsi="宋体" w:eastAsia="宋体" w:cs="宋体"/>
        </w:rPr>
        <w:t>2.6.1分部分项工程量清单计价应依据计价规范中关于综合单价的组成内容，按磋商文件中分部分项工程量清单项目的特征描述确定报价。</w:t>
      </w:r>
    </w:p>
    <w:p>
      <w:pPr>
        <w:spacing w:line="420" w:lineRule="exact"/>
        <w:ind w:firstLine="420" w:firstLineChars="200"/>
        <w:rPr>
          <w:rFonts w:hint="eastAsia" w:ascii="宋体" w:hAnsi="宋体" w:eastAsia="宋体" w:cs="宋体"/>
          <w:szCs w:val="21"/>
        </w:rPr>
      </w:pPr>
      <w:r>
        <w:rPr>
          <w:rFonts w:hint="eastAsia" w:ascii="宋体" w:hAnsi="宋体" w:eastAsia="宋体" w:cs="宋体"/>
        </w:rPr>
        <w:t>2.6.2如果分部分项工程量清单中涉及“材料暂估价一览表”中列出的材料和工程设备（包括</w:t>
      </w:r>
      <w:r>
        <w:rPr>
          <w:rFonts w:hint="eastAsia" w:ascii="宋体" w:hAnsi="宋体" w:eastAsia="宋体" w:cs="宋体"/>
          <w:szCs w:val="21"/>
        </w:rPr>
        <w:t>发包人自行提供的材料和工程设备，即甲供材</w:t>
      </w:r>
      <w:r>
        <w:rPr>
          <w:rFonts w:hint="eastAsia" w:ascii="宋体" w:hAnsi="宋体" w:eastAsia="宋体" w:cs="宋体"/>
        </w:rPr>
        <w:t>），则按照本节第3.3.2项的报价原则，将该类材料和工程设备的暂估单价本身以及除对应的规费及税金以外的费用计入分部分项工程量清单相应子目的综合单价。</w:t>
      </w:r>
      <w:r>
        <w:rPr>
          <w:rFonts w:hint="eastAsia" w:ascii="宋体" w:hAnsi="宋体" w:eastAsia="宋体" w:cs="宋体"/>
          <w:szCs w:val="21"/>
        </w:rPr>
        <w:t>其中暂估清单综合单价已经包含与其对应的管理费、利润，但不含规费、税金，供应商应按本磋商文件规定将此类暂估价直接按磋商文件给定的价格作为综合单价。</w:t>
      </w:r>
    </w:p>
    <w:p>
      <w:pPr>
        <w:spacing w:line="420" w:lineRule="exact"/>
        <w:ind w:firstLine="420" w:firstLineChars="200"/>
        <w:rPr>
          <w:rFonts w:hint="eastAsia" w:ascii="宋体" w:hAnsi="宋体" w:eastAsia="宋体" w:cs="宋体"/>
        </w:rPr>
      </w:pPr>
      <w:r>
        <w:rPr>
          <w:rFonts w:hint="eastAsia" w:ascii="宋体" w:hAnsi="宋体" w:eastAsia="宋体" w:cs="宋体"/>
        </w:rPr>
        <w:t>2.6.3“分部分项工程量清单与计价表”所列各子目的综合单价组成中，各子目的人工、材料和机械台班消耗量由供应商按照其自身情况做充分的、竞争性考虑。材料消耗量包括损耗量。</w:t>
      </w:r>
    </w:p>
    <w:p>
      <w:pPr>
        <w:spacing w:line="420" w:lineRule="exact"/>
        <w:ind w:firstLine="420" w:firstLineChars="200"/>
        <w:rPr>
          <w:rFonts w:hint="eastAsia" w:ascii="宋体" w:hAnsi="宋体" w:eastAsia="宋体" w:cs="宋体"/>
        </w:rPr>
      </w:pPr>
      <w:r>
        <w:rPr>
          <w:rFonts w:hint="eastAsia" w:ascii="宋体" w:hAnsi="宋体" w:eastAsia="宋体" w:cs="宋体"/>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包括在本次报价中。</w:t>
      </w:r>
    </w:p>
    <w:p>
      <w:pPr>
        <w:spacing w:line="380" w:lineRule="exact"/>
        <w:ind w:firstLine="420" w:firstLineChars="200"/>
        <w:rPr>
          <w:rFonts w:hint="eastAsia" w:ascii="宋体" w:hAnsi="宋体" w:eastAsia="宋体" w:cs="宋体"/>
        </w:rPr>
      </w:pPr>
      <w:r>
        <w:rPr>
          <w:rFonts w:hint="eastAsia" w:ascii="宋体" w:hAnsi="宋体" w:eastAsia="宋体" w:cs="宋体"/>
        </w:rPr>
        <w:t>2.7措施项目按下列要求报价：</w:t>
      </w:r>
    </w:p>
    <w:p>
      <w:pPr>
        <w:spacing w:line="420" w:lineRule="exact"/>
        <w:ind w:firstLine="420" w:firstLineChars="200"/>
        <w:rPr>
          <w:rFonts w:hint="eastAsia" w:ascii="宋体" w:hAnsi="宋体" w:eastAsia="宋体" w:cs="宋体"/>
        </w:rPr>
      </w:pPr>
      <w:r>
        <w:rPr>
          <w:rFonts w:hint="eastAsia" w:ascii="宋体" w:hAnsi="宋体" w:eastAsia="宋体" w:cs="宋体"/>
        </w:rPr>
        <w:t>2.7.1措施项目清单计价应根据供应商的施工组织设计进行报价。可以计量工程量的措施项目，应按分部分项工程量清单的方式采用综合单价计价</w:t>
      </w:r>
      <w:r>
        <w:rPr>
          <w:rFonts w:hint="eastAsia" w:ascii="宋体" w:hAnsi="宋体" w:eastAsia="宋体" w:cs="宋体"/>
          <w:szCs w:val="21"/>
        </w:rPr>
        <w:t>；</w:t>
      </w:r>
      <w:r>
        <w:rPr>
          <w:rFonts w:hint="eastAsia" w:ascii="宋体" w:hAnsi="宋体" w:eastAsia="宋体" w:cs="宋体"/>
        </w:rPr>
        <w:t>其余的措施项目可以“项”为单位的方式计价。供应商所填报价格应包括除规费、税金外的全部费用。</w:t>
      </w:r>
    </w:p>
    <w:p>
      <w:pPr>
        <w:spacing w:line="420" w:lineRule="exact"/>
        <w:ind w:firstLine="420" w:firstLineChars="200"/>
        <w:rPr>
          <w:rFonts w:hint="eastAsia" w:ascii="宋体" w:hAnsi="宋体" w:eastAsia="宋体" w:cs="宋体"/>
        </w:rPr>
      </w:pPr>
      <w:r>
        <w:rPr>
          <w:rFonts w:hint="eastAsia" w:ascii="宋体" w:hAnsi="宋体" w:eastAsia="宋体" w:cs="宋体"/>
        </w:rPr>
        <w:t>2.7.2采购人提供的措施项目清单中所列项目仅指一般的通用项目，供应商在报价时应充分、全面地阅读和理解磋商文件的相关内容和约定，详实了解工程场地及其周围环境，充分考虑采购工程特点及拟定的施工方案和施工组织设计，自行确定措施项目费。供应商可根据需要自行补充措施项目并填报措施费。</w:t>
      </w:r>
    </w:p>
    <w:p>
      <w:pPr>
        <w:spacing w:line="420" w:lineRule="exact"/>
        <w:ind w:firstLine="420" w:firstLineChars="200"/>
        <w:rPr>
          <w:rFonts w:hint="eastAsia" w:ascii="宋体" w:hAnsi="宋体" w:eastAsia="宋体" w:cs="宋体"/>
        </w:rPr>
      </w:pPr>
      <w:r>
        <w:rPr>
          <w:rFonts w:hint="eastAsia" w:ascii="宋体" w:hAnsi="宋体" w:eastAsia="宋体" w:cs="宋体"/>
        </w:rPr>
        <w:t>2.7.3“措施项目清单与计价表”中所填写的报价金额，应全面涵盖磋商文件约定的供应商成交后施工、竣工、交付本工程并维修其任何缺陷所需要履行的责任和义务的全部费用。</w:t>
      </w:r>
    </w:p>
    <w:p>
      <w:pPr>
        <w:spacing w:line="380" w:lineRule="exact"/>
        <w:ind w:firstLine="420" w:firstLineChars="200"/>
        <w:rPr>
          <w:rFonts w:hint="eastAsia" w:ascii="宋体" w:hAnsi="宋体" w:eastAsia="宋体" w:cs="宋体"/>
        </w:rPr>
      </w:pPr>
      <w:r>
        <w:rPr>
          <w:rFonts w:hint="eastAsia" w:ascii="宋体" w:hAnsi="宋体" w:eastAsia="宋体" w:cs="宋体"/>
        </w:rPr>
        <w:t>2.8其他项目清单费应按下列规定报价：</w:t>
      </w:r>
    </w:p>
    <w:p>
      <w:pPr>
        <w:spacing w:line="420" w:lineRule="exact"/>
        <w:ind w:left="6" w:firstLine="420" w:firstLineChars="200"/>
        <w:rPr>
          <w:rFonts w:hint="eastAsia" w:ascii="宋体" w:hAnsi="宋体" w:eastAsia="宋体" w:cs="宋体"/>
        </w:rPr>
      </w:pPr>
      <w:r>
        <w:rPr>
          <w:rFonts w:hint="eastAsia" w:ascii="宋体" w:hAnsi="宋体" w:eastAsia="宋体" w:cs="宋体"/>
        </w:rPr>
        <w:t>2.8.1暂列金额按“暂列金额明细表”中列出的金额报价，此处的暂列金额是采购人在磋商文件中统一给定的，并不包括本章第2.8.3项的计日工金额。</w:t>
      </w:r>
    </w:p>
    <w:p>
      <w:pPr>
        <w:spacing w:line="420" w:lineRule="exact"/>
        <w:ind w:left="6" w:firstLine="420" w:firstLineChars="200"/>
        <w:rPr>
          <w:rFonts w:hint="eastAsia" w:ascii="宋体" w:hAnsi="宋体" w:eastAsia="宋体" w:cs="宋体"/>
        </w:rPr>
      </w:pPr>
      <w:r>
        <w:rPr>
          <w:rFonts w:hint="eastAsia" w:ascii="宋体" w:hAnsi="宋体" w:eastAsia="宋体" w:cs="宋体"/>
        </w:rPr>
        <w:t>2.8.2暂估价分为材料和工程设备暂估单价、专业工程暂估价、特殊项目暂估价三类。</w:t>
      </w:r>
    </w:p>
    <w:p>
      <w:pPr>
        <w:spacing w:line="420" w:lineRule="exact"/>
        <w:ind w:left="6" w:firstLine="420" w:firstLineChars="200"/>
        <w:rPr>
          <w:rFonts w:hint="eastAsia" w:ascii="宋体" w:hAnsi="宋体" w:eastAsia="宋体" w:cs="宋体"/>
          <w:szCs w:val="21"/>
        </w:rPr>
      </w:pPr>
      <w:r>
        <w:rPr>
          <w:rFonts w:hint="eastAsia" w:ascii="宋体" w:hAnsi="宋体" w:eastAsia="宋体" w:cs="宋体"/>
        </w:rPr>
        <w:t>（1）材料和工程设备暂估单价按本节第3.3.2项的报价原则进入分部分项工程量清单之综合单价，不在其他项目清单中汇总</w:t>
      </w:r>
      <w:r>
        <w:rPr>
          <w:rFonts w:hint="eastAsia" w:ascii="宋体" w:hAnsi="宋体" w:eastAsia="宋体" w:cs="宋体"/>
          <w:szCs w:val="21"/>
        </w:rPr>
        <w:t>；</w:t>
      </w:r>
    </w:p>
    <w:p>
      <w:pPr>
        <w:spacing w:line="420" w:lineRule="exact"/>
        <w:ind w:left="6" w:firstLine="420" w:firstLineChars="200"/>
        <w:rPr>
          <w:rFonts w:hint="eastAsia" w:ascii="宋体" w:hAnsi="宋体" w:eastAsia="宋体" w:cs="宋体"/>
        </w:rPr>
      </w:pPr>
      <w:r>
        <w:rPr>
          <w:rFonts w:hint="eastAsia" w:ascii="宋体" w:hAnsi="宋体" w:eastAsia="宋体" w:cs="宋体"/>
          <w:szCs w:val="21"/>
        </w:rPr>
        <w:t>（2）</w:t>
      </w:r>
      <w:r>
        <w:rPr>
          <w:rFonts w:hint="eastAsia" w:ascii="宋体" w:hAnsi="宋体" w:eastAsia="宋体" w:cs="宋体"/>
        </w:rPr>
        <w:t>专业工程暂估价由采购人列入总承包服务费清单与计价表中。专业工程暂估价是包括规费、税金在内的全部工程费用，仅作为计取总承包服务费的基础。</w:t>
      </w:r>
    </w:p>
    <w:p>
      <w:pPr>
        <w:spacing w:line="420" w:lineRule="exact"/>
        <w:ind w:left="6" w:firstLine="420" w:firstLineChars="200"/>
        <w:rPr>
          <w:rFonts w:hint="eastAsia" w:ascii="宋体" w:hAnsi="宋体" w:eastAsia="宋体" w:cs="宋体"/>
        </w:rPr>
      </w:pPr>
      <w:r>
        <w:rPr>
          <w:rFonts w:hint="eastAsia" w:ascii="宋体" w:hAnsi="宋体" w:eastAsia="宋体" w:cs="宋体"/>
        </w:rPr>
        <w:t>（3）特殊项目费按“特殊项目暂估价表”中列出的金额填写，此处的特殊项目费是采购人在磋商文件中统一给定的。</w:t>
      </w:r>
    </w:p>
    <w:p>
      <w:pPr>
        <w:spacing w:line="420" w:lineRule="exact"/>
        <w:ind w:left="6" w:firstLine="420" w:firstLineChars="200"/>
        <w:rPr>
          <w:rFonts w:hint="eastAsia" w:ascii="宋体" w:hAnsi="宋体" w:eastAsia="宋体" w:cs="宋体"/>
        </w:rPr>
      </w:pPr>
      <w:r>
        <w:rPr>
          <w:rFonts w:hint="eastAsia" w:ascii="宋体" w:hAnsi="宋体" w:eastAsia="宋体" w:cs="宋体"/>
        </w:rPr>
        <w:t>2.8.3计日工按“计日工表”中列出的子目和估算数量，自主确定综合单价并计算计日工金额。计日工综合单价均不包括规费和税金，其中：</w:t>
      </w:r>
    </w:p>
    <w:p>
      <w:pPr>
        <w:spacing w:line="420" w:lineRule="exact"/>
        <w:ind w:firstLine="539" w:firstLineChars="257"/>
        <w:rPr>
          <w:rFonts w:hint="eastAsia" w:ascii="宋体" w:hAnsi="宋体" w:eastAsia="宋体" w:cs="宋体"/>
        </w:rPr>
      </w:pPr>
      <w:r>
        <w:rPr>
          <w:rFonts w:hint="eastAsia" w:ascii="宋体" w:hAnsi="宋体" w:eastAsia="宋体" w:cs="宋体"/>
        </w:rPr>
        <w:t>(1)  劳务单价应当包括工人工资、交通费用、各种补贴、劳动安全保护、社保费用、手提手动和电动工器具、施工场地内已经搭设的脚手架、水电和低值易耗品费用、现场管理费用、企业管理费和利润；</w:t>
      </w:r>
    </w:p>
    <w:p>
      <w:pPr>
        <w:spacing w:line="420" w:lineRule="exact"/>
        <w:ind w:firstLine="539" w:firstLineChars="257"/>
        <w:rPr>
          <w:rFonts w:hint="eastAsia" w:ascii="宋体" w:hAnsi="宋体" w:eastAsia="宋体" w:cs="宋体"/>
        </w:rPr>
      </w:pPr>
      <w:r>
        <w:rPr>
          <w:rFonts w:hint="eastAsia" w:ascii="宋体" w:hAnsi="宋体" w:eastAsia="宋体" w:cs="宋体"/>
        </w:rPr>
        <w:t>(2)  材料价格包括材料运到现场的价格以及现场搬运、仓储、二次搬运、损耗、保险、企业管理费和利润</w:t>
      </w:r>
      <w:r>
        <w:rPr>
          <w:rFonts w:hint="eastAsia" w:ascii="宋体" w:hAnsi="宋体" w:eastAsia="宋体" w:cs="宋体"/>
          <w:szCs w:val="21"/>
        </w:rPr>
        <w:t>；</w:t>
      </w:r>
    </w:p>
    <w:p>
      <w:pPr>
        <w:spacing w:line="420" w:lineRule="exact"/>
        <w:ind w:firstLine="539" w:firstLineChars="257"/>
        <w:rPr>
          <w:rFonts w:hint="eastAsia" w:ascii="宋体" w:hAnsi="宋体" w:eastAsia="宋体" w:cs="宋体"/>
        </w:rPr>
      </w:pPr>
      <w:r>
        <w:rPr>
          <w:rFonts w:hint="eastAsia" w:ascii="宋体" w:hAnsi="宋体" w:eastAsia="宋体" w:cs="宋体"/>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20" w:lineRule="exact"/>
        <w:ind w:firstLine="539" w:firstLineChars="257"/>
        <w:rPr>
          <w:rFonts w:hint="eastAsia" w:ascii="宋体" w:hAnsi="宋体" w:eastAsia="宋体" w:cs="宋体"/>
        </w:rPr>
      </w:pPr>
      <w:r>
        <w:rPr>
          <w:rFonts w:hint="eastAsia" w:ascii="宋体" w:hAnsi="宋体" w:eastAsia="宋体" w:cs="宋体"/>
        </w:rPr>
        <w:t>2.8.4总承包服务费根据磋商文件中列出的项目内容和要求，按“总承包服务费清单与计价表”所列格式自主报价。</w:t>
      </w:r>
    </w:p>
    <w:p>
      <w:pPr>
        <w:spacing w:line="420" w:lineRule="exact"/>
        <w:ind w:left="6" w:firstLine="420" w:firstLineChars="200"/>
        <w:rPr>
          <w:rFonts w:hint="eastAsia" w:ascii="宋体" w:hAnsi="宋体" w:eastAsia="宋体" w:cs="宋体"/>
          <w:b/>
          <w:bCs/>
        </w:rPr>
      </w:pPr>
      <w:r>
        <w:rPr>
          <w:rFonts w:hint="eastAsia" w:ascii="宋体" w:hAnsi="宋体" w:eastAsia="宋体" w:cs="宋体"/>
        </w:rPr>
        <w:t>2.9</w:t>
      </w:r>
      <w:r>
        <w:rPr>
          <w:rFonts w:hint="eastAsia" w:ascii="宋体" w:hAnsi="宋体" w:eastAsia="宋体" w:cs="宋体"/>
          <w:b/>
          <w:bCs/>
        </w:rPr>
        <w:t>报价中的规费、税金为不可竞争费用，应按营改增后的山东省、济宁市相关规定足额计取（注：其中社会保障费费率按照“鲁标定字〔2016〕33号”规定的费率1.52%计取）。供应商在投标报价中，对上述费用进行让利或者优惠的，应当否决其磋商。</w:t>
      </w:r>
    </w:p>
    <w:p>
      <w:pPr>
        <w:spacing w:line="460" w:lineRule="exact"/>
        <w:ind w:left="6" w:firstLine="420" w:firstLineChars="200"/>
        <w:rPr>
          <w:rFonts w:hint="eastAsia" w:ascii="宋体" w:hAnsi="宋体" w:eastAsia="宋体" w:cs="宋体"/>
        </w:rPr>
      </w:pPr>
      <w:r>
        <w:rPr>
          <w:rFonts w:hint="eastAsia" w:ascii="宋体" w:hAnsi="宋体" w:eastAsia="宋体" w:cs="宋体"/>
          <w:szCs w:val="21"/>
        </w:rPr>
        <w:t>2.10除磋商文件有强制性规定以及不可竞争部分以外，报价由供应商自主确定，但不</w:t>
      </w:r>
      <w:r>
        <w:rPr>
          <w:rFonts w:hint="eastAsia" w:ascii="宋体" w:hAnsi="宋体" w:eastAsia="宋体" w:cs="宋体"/>
        </w:rPr>
        <w:t>得低于其成本。</w:t>
      </w:r>
    </w:p>
    <w:p>
      <w:pPr>
        <w:spacing w:line="460" w:lineRule="exact"/>
        <w:ind w:left="6" w:firstLine="420" w:firstLineChars="200"/>
        <w:rPr>
          <w:rFonts w:hint="eastAsia" w:ascii="宋体" w:hAnsi="宋体" w:eastAsia="宋体" w:cs="宋体"/>
        </w:rPr>
      </w:pPr>
      <w:r>
        <w:rPr>
          <w:rFonts w:hint="eastAsia" w:ascii="宋体" w:hAnsi="宋体" w:eastAsia="宋体" w:cs="宋体"/>
        </w:rPr>
        <w:t>2.11工程量清单计价所涉及的生产资源(包括各类人工、材料、工程设备、施工设备、临时设施、临时用水、临时用电等)的价格，应根据自身的信息渠道和采购渠道，分析其市场价格水平并判断其整个施工周期内的变化趋势，体现供应商自身的管理水平、技术水平和综合实力。</w:t>
      </w:r>
    </w:p>
    <w:p>
      <w:pPr>
        <w:spacing w:line="460" w:lineRule="exact"/>
        <w:ind w:left="6" w:firstLine="420" w:firstLineChars="200"/>
        <w:rPr>
          <w:rFonts w:hint="eastAsia" w:ascii="宋体" w:hAnsi="宋体" w:eastAsia="宋体" w:cs="宋体"/>
        </w:rPr>
      </w:pPr>
      <w:r>
        <w:rPr>
          <w:rFonts w:hint="eastAsia" w:ascii="宋体" w:hAnsi="宋体" w:eastAsia="宋体" w:cs="宋体"/>
        </w:rPr>
        <w:t>2.12管理费应由供应商在保证不低于其成本的基础上做竞争性考虑；利润由供应商根据自身情况和综合实力做竞争性考虑。</w:t>
      </w:r>
    </w:p>
    <w:p>
      <w:pPr>
        <w:spacing w:line="460" w:lineRule="exact"/>
        <w:ind w:left="6" w:firstLine="420" w:firstLineChars="200"/>
        <w:rPr>
          <w:rFonts w:hint="eastAsia" w:ascii="宋体" w:hAnsi="宋体" w:eastAsia="宋体" w:cs="宋体"/>
        </w:rPr>
      </w:pPr>
      <w:r>
        <w:rPr>
          <w:rFonts w:hint="eastAsia" w:ascii="宋体" w:hAnsi="宋体" w:eastAsia="宋体" w:cs="宋体"/>
        </w:rPr>
        <w:t>2.13报价中应考虑磋商文件中要求供应商承担的风险范围以及相关的费用。</w:t>
      </w:r>
    </w:p>
    <w:p>
      <w:pPr>
        <w:spacing w:line="460" w:lineRule="exact"/>
        <w:ind w:left="6" w:firstLine="420" w:firstLineChars="200"/>
        <w:rPr>
          <w:rFonts w:hint="eastAsia" w:ascii="宋体" w:hAnsi="宋体" w:eastAsia="宋体" w:cs="宋体"/>
        </w:rPr>
      </w:pPr>
      <w:r>
        <w:rPr>
          <w:rFonts w:hint="eastAsia" w:ascii="宋体" w:hAnsi="宋体" w:eastAsia="宋体" w:cs="宋体"/>
        </w:rPr>
        <w:t>2.14报价总价为供应商在响应文件中提出的各项支付金额的总和，为实施、完成磋商工程并修补缺陷以及履行磋商文件中约定的风险范围内的所有责任和义务所发生的全部费用。</w:t>
      </w:r>
    </w:p>
    <w:p>
      <w:pPr>
        <w:spacing w:line="460" w:lineRule="exact"/>
        <w:ind w:left="6" w:firstLine="420" w:firstLineChars="200"/>
        <w:rPr>
          <w:rFonts w:hint="eastAsia" w:ascii="宋体" w:hAnsi="宋体" w:eastAsia="宋体" w:cs="宋体"/>
        </w:rPr>
      </w:pPr>
      <w:r>
        <w:rPr>
          <w:rFonts w:hint="eastAsia" w:ascii="宋体" w:hAnsi="宋体" w:eastAsia="宋体" w:cs="宋体"/>
        </w:rPr>
        <w:t>2.15有关报价的其他说明：</w:t>
      </w:r>
    </w:p>
    <w:p>
      <w:pPr>
        <w:spacing w:line="460" w:lineRule="exact"/>
        <w:ind w:firstLine="420" w:firstLineChars="200"/>
        <w:rPr>
          <w:rFonts w:hint="eastAsia" w:ascii="宋体" w:hAnsi="宋体" w:eastAsia="宋体" w:cs="宋体"/>
          <w:szCs w:val="21"/>
        </w:rPr>
      </w:pPr>
      <w:r>
        <w:rPr>
          <w:rFonts w:hint="eastAsia" w:ascii="宋体" w:hAnsi="宋体" w:eastAsia="宋体" w:cs="宋体"/>
          <w:szCs w:val="21"/>
        </w:rPr>
        <w:t>（1）供应商应当根据采购人提供的磋商文件、施工图设计文件及相关资料、工程量清单、《建设工程工程量清单计价规范》、与《建设工程工程量清单计价规范配套的山东省、济宁市有关工程量清单计价现行规定，结合施工现场情况、工程类别和供应商自身实力，综合考虑多种风险因素编制报价，但不得低于本企业成本，不得减少工程造价的构成。</w:t>
      </w:r>
    </w:p>
    <w:p>
      <w:pPr>
        <w:spacing w:line="460" w:lineRule="exact"/>
        <w:ind w:firstLine="422" w:firstLineChars="200"/>
        <w:rPr>
          <w:rFonts w:hint="eastAsia" w:ascii="宋体" w:hAnsi="宋体" w:eastAsia="宋体" w:cs="宋体"/>
          <w:b/>
          <w:bCs/>
          <w:szCs w:val="21"/>
        </w:rPr>
      </w:pPr>
      <w:r>
        <w:rPr>
          <w:rFonts w:hint="eastAsia" w:ascii="宋体" w:hAnsi="宋体" w:eastAsia="宋体" w:cs="宋体"/>
          <w:b/>
          <w:bCs/>
          <w:szCs w:val="21"/>
        </w:rPr>
        <w:t>（2）本次磋商设采购控制价，采购控制价是采购人对采购项目期望的最高限价，供应商的初次报价和最终报价均不得高于采购控制价，供应商初次报价或最终报价高于采购控制价的，作无效标书处理。</w:t>
      </w:r>
    </w:p>
    <w:p>
      <w:pPr>
        <w:ind w:left="284"/>
        <w:rPr>
          <w:rFonts w:hint="eastAsia" w:ascii="宋体" w:hAnsi="宋体" w:eastAsia="宋体" w:cs="宋体"/>
          <w:b/>
          <w:sz w:val="24"/>
        </w:rPr>
      </w:pPr>
      <w:bookmarkStart w:id="18" w:name="_Toc300901182"/>
      <w:bookmarkStart w:id="19" w:name="_Toc420592314"/>
      <w:r>
        <w:rPr>
          <w:rFonts w:hint="eastAsia" w:ascii="宋体" w:hAnsi="宋体" w:eastAsia="宋体" w:cs="宋体"/>
          <w:b/>
          <w:sz w:val="24"/>
        </w:rPr>
        <w:t>3、其他说明</w:t>
      </w:r>
      <w:bookmarkEnd w:id="18"/>
      <w:bookmarkEnd w:id="19"/>
    </w:p>
    <w:p>
      <w:pPr>
        <w:spacing w:after="120" w:afterLines="50" w:line="380" w:lineRule="exact"/>
        <w:ind w:firstLine="420" w:firstLineChars="200"/>
        <w:rPr>
          <w:rFonts w:hint="eastAsia" w:ascii="宋体" w:hAnsi="宋体" w:eastAsia="宋体" w:cs="宋体"/>
        </w:rPr>
      </w:pPr>
      <w:r>
        <w:rPr>
          <w:rFonts w:hint="eastAsia" w:ascii="宋体" w:hAnsi="宋体" w:eastAsia="宋体" w:cs="宋体"/>
        </w:rPr>
        <w:t>3.1词语和定义</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3.1.1  </w:t>
      </w:r>
      <w:r>
        <w:rPr>
          <w:rFonts w:hint="eastAsia" w:ascii="宋体" w:hAnsi="宋体" w:eastAsia="宋体" w:cs="宋体"/>
          <w:b/>
        </w:rPr>
        <w:t>工程量清单</w:t>
      </w:r>
    </w:p>
    <w:p>
      <w:pPr>
        <w:spacing w:line="380" w:lineRule="exact"/>
        <w:ind w:firstLine="359" w:firstLineChars="171"/>
        <w:rPr>
          <w:rFonts w:hint="eastAsia" w:ascii="宋体" w:hAnsi="宋体" w:eastAsia="宋体" w:cs="宋体"/>
        </w:rPr>
      </w:pPr>
      <w:r>
        <w:rPr>
          <w:rFonts w:hint="eastAsia" w:ascii="宋体" w:hAnsi="宋体" w:eastAsia="宋体" w:cs="宋体"/>
        </w:rPr>
        <w:t>是表现本工程分部分项工程项目、措施项目、其他项目、规费项目和税金项目的名称和相应数量等的明细清单。</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3.1.2  </w:t>
      </w:r>
      <w:r>
        <w:rPr>
          <w:rFonts w:hint="eastAsia" w:ascii="宋体" w:hAnsi="宋体" w:eastAsia="宋体" w:cs="宋体"/>
          <w:b/>
        </w:rPr>
        <w:t>总价子目</w:t>
      </w:r>
    </w:p>
    <w:p>
      <w:pPr>
        <w:spacing w:line="380" w:lineRule="exact"/>
        <w:ind w:firstLine="359" w:firstLineChars="171"/>
        <w:rPr>
          <w:rFonts w:hint="eastAsia" w:ascii="宋体" w:hAnsi="宋体" w:eastAsia="宋体" w:cs="宋体"/>
        </w:rPr>
      </w:pPr>
      <w:r>
        <w:rPr>
          <w:rFonts w:hint="eastAsia" w:ascii="宋体" w:hAnsi="宋体" w:eastAsia="宋体" w:cs="宋体"/>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3.1.3  </w:t>
      </w:r>
      <w:r>
        <w:rPr>
          <w:rFonts w:hint="eastAsia" w:ascii="宋体" w:hAnsi="宋体" w:eastAsia="宋体" w:cs="宋体"/>
          <w:b/>
        </w:rPr>
        <w:t>单价子目</w:t>
      </w:r>
    </w:p>
    <w:p>
      <w:pPr>
        <w:spacing w:line="380" w:lineRule="exact"/>
        <w:ind w:firstLine="359" w:firstLineChars="171"/>
        <w:rPr>
          <w:rFonts w:hint="eastAsia" w:ascii="宋体" w:hAnsi="宋体" w:eastAsia="宋体" w:cs="宋体"/>
        </w:rPr>
      </w:pPr>
      <w:r>
        <w:rPr>
          <w:rFonts w:hint="eastAsia" w:ascii="宋体" w:hAnsi="宋体" w:eastAsia="宋体" w:cs="宋体"/>
        </w:rPr>
        <w:t>工程量清单中以单价计价，根据有合同约束力的图纸和工程量计算规则进行计量，以实际完成数量乘以相应单价进行结算的子目。</w:t>
      </w:r>
    </w:p>
    <w:p>
      <w:pPr>
        <w:spacing w:before="24" w:beforeLines="1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3.1.4  </w:t>
      </w:r>
      <w:r>
        <w:rPr>
          <w:rFonts w:hint="eastAsia" w:ascii="宋体" w:hAnsi="宋体" w:eastAsia="宋体" w:cs="宋体"/>
          <w:b/>
        </w:rPr>
        <w:t>子目编码</w:t>
      </w:r>
    </w:p>
    <w:p>
      <w:pPr>
        <w:spacing w:line="380" w:lineRule="exact"/>
        <w:ind w:firstLine="420" w:firstLineChars="200"/>
        <w:rPr>
          <w:rFonts w:hint="eastAsia" w:ascii="宋体" w:hAnsi="宋体" w:eastAsia="宋体" w:cs="宋体"/>
        </w:rPr>
      </w:pPr>
      <w:r>
        <w:rPr>
          <w:rFonts w:hint="eastAsia" w:ascii="宋体" w:hAnsi="宋体" w:eastAsia="宋体" w:cs="宋体"/>
        </w:rPr>
        <w:t>分部分项工程项目清单中所列的子目名称的数字标识和代码，子目编码与项目编码同义。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3.1.5  </w:t>
      </w:r>
      <w:r>
        <w:rPr>
          <w:rFonts w:hint="eastAsia" w:ascii="宋体" w:hAnsi="宋体" w:eastAsia="宋体" w:cs="宋体"/>
          <w:b/>
        </w:rPr>
        <w:t>子目特征</w:t>
      </w:r>
    </w:p>
    <w:p>
      <w:pPr>
        <w:spacing w:line="380" w:lineRule="exact"/>
        <w:ind w:firstLine="359" w:firstLineChars="171"/>
        <w:rPr>
          <w:rFonts w:hint="eastAsia" w:ascii="宋体" w:hAnsi="宋体" w:eastAsia="宋体" w:cs="宋体"/>
        </w:rPr>
      </w:pPr>
      <w:r>
        <w:rPr>
          <w:rFonts w:hint="eastAsia" w:ascii="宋体" w:hAnsi="宋体" w:eastAsia="宋体" w:cs="宋体"/>
        </w:rPr>
        <w:t>构成分部分项工程项目清单子目、措施项目的实质内容、决定其自身价值的本质特征，子目特征与项目特征同义。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3.1.6  </w:t>
      </w:r>
      <w:r>
        <w:rPr>
          <w:rFonts w:hint="eastAsia" w:ascii="宋体" w:hAnsi="宋体" w:eastAsia="宋体" w:cs="宋体"/>
          <w:b/>
        </w:rPr>
        <w:t>规费</w:t>
      </w:r>
    </w:p>
    <w:p>
      <w:pPr>
        <w:spacing w:line="380" w:lineRule="exact"/>
        <w:ind w:left="359" w:leftChars="171"/>
        <w:rPr>
          <w:rFonts w:hint="eastAsia" w:ascii="宋体" w:hAnsi="宋体" w:eastAsia="宋体" w:cs="宋体"/>
        </w:rPr>
      </w:pPr>
      <w:r>
        <w:rPr>
          <w:rFonts w:hint="eastAsia" w:ascii="宋体" w:hAnsi="宋体" w:eastAsia="宋体" w:cs="宋体"/>
        </w:rPr>
        <w:t>承包人根据省级政府或省级有关权力部门规定必须缴纳的，应计入建筑安装工程造价的费用。</w:t>
      </w:r>
    </w:p>
    <w:p>
      <w:pPr>
        <w:spacing w:before="48" w:beforeLines="20" w:after="48" w:afterLines="20" w:line="380" w:lineRule="exact"/>
        <w:ind w:firstLine="420" w:firstLineChars="200"/>
        <w:rPr>
          <w:rFonts w:hint="eastAsia" w:ascii="宋体" w:hAnsi="宋体" w:eastAsia="宋体" w:cs="宋体"/>
        </w:rPr>
      </w:pPr>
      <w:r>
        <w:rPr>
          <w:rFonts w:hint="eastAsia" w:ascii="宋体" w:hAnsi="宋体" w:eastAsia="宋体" w:cs="宋体"/>
        </w:rPr>
        <w:t xml:space="preserve">3.1.7  </w:t>
      </w:r>
      <w:r>
        <w:rPr>
          <w:rFonts w:hint="eastAsia" w:ascii="宋体" w:hAnsi="宋体" w:eastAsia="宋体" w:cs="宋体"/>
          <w:b/>
        </w:rPr>
        <w:t>税金</w:t>
      </w:r>
    </w:p>
    <w:p>
      <w:pPr>
        <w:spacing w:line="380" w:lineRule="exact"/>
        <w:ind w:left="359" w:leftChars="171"/>
        <w:rPr>
          <w:rFonts w:hint="eastAsia" w:ascii="宋体" w:hAnsi="宋体" w:eastAsia="宋体" w:cs="宋体"/>
        </w:rPr>
      </w:pPr>
      <w:r>
        <w:rPr>
          <w:rFonts w:hint="eastAsia" w:ascii="宋体" w:hAnsi="宋体" w:eastAsia="宋体" w:cs="宋体"/>
        </w:rPr>
        <w:t>国家税法规定的应计入建筑安装工程造价内的营业税、城市维护建设税及教育费附加等。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3.1.8  </w:t>
      </w:r>
      <w:r>
        <w:rPr>
          <w:rFonts w:hint="eastAsia" w:ascii="宋体" w:hAnsi="宋体" w:eastAsia="宋体" w:cs="宋体"/>
          <w:b/>
        </w:rPr>
        <w:t>总承包服务费</w:t>
      </w:r>
    </w:p>
    <w:p>
      <w:pPr>
        <w:spacing w:line="390" w:lineRule="exact"/>
        <w:ind w:firstLine="359" w:firstLineChars="171"/>
        <w:rPr>
          <w:rFonts w:hint="eastAsia" w:ascii="宋体" w:hAnsi="宋体" w:eastAsia="宋体" w:cs="宋体"/>
        </w:rPr>
      </w:pPr>
      <w:r>
        <w:rPr>
          <w:rFonts w:hint="eastAsia" w:ascii="宋体" w:hAnsi="宋体" w:eastAsia="宋体" w:cs="宋体"/>
          <w:szCs w:val="28"/>
        </w:rPr>
        <w:t>总承包人为配合协调发包人进行的工程分包、自行采购的设备、材料等进行管理、服务以及施工现场管理、竣工资料汇总整理等服务所需的费用。</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 xml:space="preserve">3.1.9  </w:t>
      </w:r>
      <w:r>
        <w:rPr>
          <w:rFonts w:hint="eastAsia" w:ascii="宋体" w:hAnsi="宋体" w:eastAsia="宋体" w:cs="宋体"/>
          <w:b/>
        </w:rPr>
        <w:t>同义词语</w:t>
      </w:r>
    </w:p>
    <w:p>
      <w:pPr>
        <w:spacing w:line="390" w:lineRule="exact"/>
        <w:ind w:firstLine="359" w:firstLineChars="171"/>
        <w:rPr>
          <w:rFonts w:hint="eastAsia" w:ascii="宋体" w:hAnsi="宋体" w:eastAsia="宋体" w:cs="宋体"/>
        </w:rPr>
      </w:pPr>
      <w:r>
        <w:rPr>
          <w:rFonts w:hint="eastAsia" w:ascii="宋体" w:hAnsi="宋体" w:eastAsia="宋体" w:cs="宋体"/>
        </w:rPr>
        <w:t>本章中使用的词语“采购人”和“供应商”分别与合同条款中定义的“发包人”和“承包人”同义</w:t>
      </w:r>
      <w:r>
        <w:rPr>
          <w:rFonts w:hint="eastAsia" w:ascii="宋体" w:hAnsi="宋体" w:eastAsia="宋体" w:cs="宋体"/>
          <w:szCs w:val="21"/>
        </w:rPr>
        <w:t>；</w:t>
      </w:r>
      <w:r>
        <w:rPr>
          <w:rFonts w:hint="eastAsia" w:ascii="宋体" w:hAnsi="宋体" w:eastAsia="宋体" w:cs="宋体"/>
        </w:rPr>
        <w:t>就工程量清单而言，“子目”与“项目”同义。</w:t>
      </w:r>
    </w:p>
    <w:p>
      <w:pPr>
        <w:spacing w:before="48" w:beforeLines="20" w:after="48" w:afterLines="20" w:line="380" w:lineRule="exact"/>
        <w:ind w:firstLine="420" w:firstLineChars="200"/>
        <w:rPr>
          <w:rFonts w:hint="eastAsia" w:ascii="宋体" w:hAnsi="宋体" w:eastAsia="宋体" w:cs="宋体"/>
          <w:b/>
        </w:rPr>
      </w:pPr>
      <w:r>
        <w:rPr>
          <w:rFonts w:hint="eastAsia" w:ascii="宋体" w:hAnsi="宋体" w:eastAsia="宋体" w:cs="宋体"/>
        </w:rPr>
        <w:t>3.2</w:t>
      </w:r>
      <w:r>
        <w:rPr>
          <w:rFonts w:hint="eastAsia" w:ascii="宋体" w:hAnsi="宋体" w:eastAsia="宋体" w:cs="宋体"/>
          <w:b/>
        </w:rPr>
        <w:t>工程量差异调整</w:t>
      </w:r>
    </w:p>
    <w:p>
      <w:pPr>
        <w:spacing w:line="380" w:lineRule="exact"/>
        <w:ind w:firstLine="420" w:firstLineChars="200"/>
        <w:rPr>
          <w:rFonts w:hint="eastAsia" w:ascii="宋体" w:hAnsi="宋体" w:eastAsia="宋体" w:cs="宋体"/>
        </w:rPr>
      </w:pPr>
      <w:r>
        <w:rPr>
          <w:rFonts w:hint="eastAsia" w:ascii="宋体" w:hAnsi="宋体" w:eastAsia="宋体" w:cs="宋体"/>
        </w:rPr>
        <w:t>3.2.1工程量清单中的工作内容分类、子目列项、特征描述以及“分部分项工程量清单与计价表”中附带的工程量都不应理解为是对承包(采购)范围以及合同工作内容的唯一的、最终的或全部的定义。</w:t>
      </w:r>
    </w:p>
    <w:p>
      <w:pPr>
        <w:spacing w:line="380" w:lineRule="exact"/>
        <w:ind w:firstLine="420" w:firstLineChars="200"/>
        <w:rPr>
          <w:rFonts w:hint="eastAsia" w:ascii="宋体" w:hAnsi="宋体" w:eastAsia="宋体" w:cs="宋体"/>
        </w:rPr>
      </w:pPr>
      <w:r>
        <w:rPr>
          <w:rFonts w:hint="eastAsia" w:ascii="宋体" w:hAnsi="宋体" w:eastAsia="宋体" w:cs="宋体"/>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提交给采购人，采购人将根据实际情况决定是否颁发工程量清单的补充和(或)修改文件。</w:t>
      </w:r>
    </w:p>
    <w:p>
      <w:pPr>
        <w:spacing w:line="380" w:lineRule="exact"/>
        <w:ind w:firstLine="420" w:firstLineChars="200"/>
        <w:rPr>
          <w:rFonts w:hint="eastAsia" w:ascii="宋体" w:hAnsi="宋体" w:eastAsia="宋体" w:cs="宋体"/>
        </w:rPr>
      </w:pPr>
      <w:r>
        <w:rPr>
          <w:rFonts w:hint="eastAsia" w:ascii="宋体" w:hAnsi="宋体" w:eastAsia="宋体" w:cs="宋体"/>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采购内容的约定并不存在的子目，只要在采购人提供的分部分项工程量清单中已经列明，供应商都需要对其报价，并纳入报价总价的计算。</w:t>
      </w:r>
    </w:p>
    <w:p>
      <w:pPr>
        <w:spacing w:line="420" w:lineRule="exact"/>
        <w:ind w:left="6" w:firstLine="420" w:firstLineChars="200"/>
        <w:rPr>
          <w:rFonts w:hint="eastAsia" w:ascii="宋体" w:hAnsi="宋体" w:eastAsia="宋体" w:cs="宋体"/>
        </w:rPr>
      </w:pPr>
      <w:r>
        <w:rPr>
          <w:rFonts w:hint="eastAsia" w:ascii="宋体" w:hAnsi="宋体" w:eastAsia="宋体" w:cs="宋体"/>
        </w:rPr>
        <w:t>3.3暂列金额和暂估价</w:t>
      </w:r>
    </w:p>
    <w:p>
      <w:pPr>
        <w:spacing w:line="380" w:lineRule="exact"/>
        <w:ind w:firstLine="420" w:firstLineChars="200"/>
        <w:rPr>
          <w:rFonts w:hint="eastAsia" w:ascii="宋体" w:hAnsi="宋体" w:eastAsia="宋体" w:cs="宋体"/>
        </w:rPr>
      </w:pPr>
      <w:r>
        <w:rPr>
          <w:rFonts w:hint="eastAsia" w:ascii="宋体" w:hAnsi="宋体" w:eastAsia="宋体" w:cs="宋体"/>
        </w:rPr>
        <w:t>3.3.1 “暂列金额明细表”中所列暂列金额(不包括计日工金额)中已经包含与其对应的管理费、利润，但不含规费、税金。供应商应按本磋商文件规定将此类暂列金额直接纳入其他项目清单的价格并计取相应的规费、税金，不需要考虑除规费、税金以外的其他任何费用。</w:t>
      </w:r>
    </w:p>
    <w:p>
      <w:pPr>
        <w:spacing w:line="380" w:lineRule="exact"/>
        <w:ind w:firstLine="420" w:firstLineChars="200"/>
        <w:rPr>
          <w:rFonts w:hint="eastAsia" w:ascii="宋体" w:hAnsi="宋体" w:eastAsia="宋体" w:cs="宋体"/>
        </w:rPr>
      </w:pPr>
      <w:r>
        <w:rPr>
          <w:rFonts w:hint="eastAsia" w:ascii="宋体" w:hAnsi="宋体" w:eastAsia="宋体" w:cs="宋体"/>
        </w:rPr>
        <w:t>3.3.2 “材料暂估价一览表”中所列的材料和工程设备暂估价</w:t>
      </w:r>
      <w:r>
        <w:rPr>
          <w:rFonts w:hint="eastAsia" w:ascii="宋体" w:hAnsi="宋体" w:eastAsia="宋体" w:cs="宋体"/>
          <w:szCs w:val="21"/>
        </w:rPr>
        <w:t>（除暂估清单综合单价）</w:t>
      </w:r>
      <w:r>
        <w:rPr>
          <w:rFonts w:hint="eastAsia" w:ascii="宋体" w:hAnsi="宋体" w:eastAsia="宋体" w:cs="宋体"/>
        </w:rPr>
        <w:t>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pPr>
        <w:spacing w:line="380" w:lineRule="exact"/>
        <w:ind w:firstLine="420" w:firstLineChars="200"/>
        <w:rPr>
          <w:rFonts w:hint="eastAsia" w:ascii="宋体" w:hAnsi="宋体" w:eastAsia="宋体" w:cs="宋体"/>
        </w:rPr>
      </w:pPr>
      <w:r>
        <w:rPr>
          <w:rFonts w:hint="eastAsia" w:ascii="宋体" w:hAnsi="宋体" w:eastAsia="宋体" w:cs="宋体"/>
          <w:szCs w:val="21"/>
        </w:rPr>
        <w:t>其中暂估清单综合单价</w:t>
      </w:r>
      <w:r>
        <w:rPr>
          <w:rFonts w:hint="eastAsia" w:ascii="宋体" w:hAnsi="宋体" w:eastAsia="宋体" w:cs="宋体"/>
        </w:rPr>
        <w:t>已经包含与其对应的管理费、利润，但不含规费、税金。供应商应按本磋商文件规定将此类暂估价直接按磋商文件给定的价格作为综合单价，并计取相应的规费、税金。</w:t>
      </w:r>
    </w:p>
    <w:p>
      <w:pPr>
        <w:spacing w:line="420" w:lineRule="exact"/>
        <w:ind w:left="6" w:firstLine="420" w:firstLineChars="200"/>
        <w:rPr>
          <w:rFonts w:hint="eastAsia" w:ascii="宋体" w:hAnsi="宋体" w:eastAsia="宋体" w:cs="宋体"/>
          <w:szCs w:val="21"/>
        </w:rPr>
      </w:pPr>
      <w:r>
        <w:rPr>
          <w:rFonts w:hint="eastAsia" w:ascii="宋体" w:hAnsi="宋体" w:eastAsia="宋体" w:cs="宋体"/>
        </w:rPr>
        <w:t>3.3.3特殊项目暂估价表中所列的特殊项目暂估价已经包含与其对应的管理费、利润，但不含规费、税金。供应商应按本磋商文件规定将此类暂估价直接纳入其他项目清单的价格并计取相应的规费、税金。</w:t>
      </w:r>
    </w:p>
    <w:p>
      <w:pPr>
        <w:spacing w:line="420" w:lineRule="exact"/>
        <w:ind w:left="6" w:firstLine="420" w:firstLineChars="200"/>
        <w:rPr>
          <w:rFonts w:hint="eastAsia" w:ascii="宋体" w:hAnsi="宋体" w:eastAsia="宋体" w:cs="宋体"/>
        </w:rPr>
      </w:pPr>
      <w:r>
        <w:rPr>
          <w:rFonts w:hint="eastAsia" w:ascii="宋体" w:hAnsi="宋体" w:eastAsia="宋体" w:cs="宋体"/>
        </w:rPr>
        <w:t>3.3.4专业工程暂估价由采购人列入总承包服务费清单与计价表中。专业工程暂估价是包括规费、税金在内的全部工程费用，仅作为计取总承包服务费的基础。</w:t>
      </w:r>
    </w:p>
    <w:p>
      <w:pPr>
        <w:spacing w:line="380" w:lineRule="exact"/>
        <w:ind w:firstLine="527" w:firstLineChars="250"/>
        <w:rPr>
          <w:rFonts w:hint="eastAsia" w:ascii="宋体" w:hAnsi="宋体" w:eastAsia="宋体" w:cs="宋体"/>
          <w:b/>
          <w:bCs/>
          <w:sz w:val="32"/>
          <w:szCs w:val="32"/>
        </w:rPr>
      </w:pPr>
      <w:r>
        <w:rPr>
          <w:rFonts w:hint="eastAsia" w:ascii="宋体" w:hAnsi="宋体" w:eastAsia="宋体" w:cs="宋体"/>
          <w:b/>
        </w:rPr>
        <w:t>3.4其他补充说明：</w:t>
      </w:r>
      <w:bookmarkStart w:id="20" w:name="_Toc420592316"/>
      <w:bookmarkStart w:id="21" w:name="_Toc300901183"/>
    </w:p>
    <w:p>
      <w:pPr>
        <w:spacing w:line="400" w:lineRule="exact"/>
        <w:rPr>
          <w:rFonts w:hint="eastAsia" w:ascii="宋体" w:hAnsi="宋体" w:eastAsia="宋体" w:cs="宋体"/>
          <w:b/>
          <w:bCs/>
          <w:sz w:val="32"/>
          <w:szCs w:val="32"/>
        </w:rPr>
      </w:pPr>
      <w:r>
        <w:rPr>
          <w:rFonts w:hint="eastAsia" w:ascii="宋体" w:hAnsi="宋体" w:eastAsia="宋体" w:cs="宋体"/>
          <w:b/>
          <w:bCs/>
          <w:sz w:val="32"/>
          <w:szCs w:val="32"/>
        </w:rPr>
        <w:br w:type="page"/>
      </w:r>
    </w:p>
    <w:p>
      <w:pPr>
        <w:spacing w:line="400" w:lineRule="exact"/>
        <w:jc w:val="center"/>
        <w:rPr>
          <w:rFonts w:hint="eastAsia" w:ascii="宋体" w:hAnsi="宋体" w:eastAsia="宋体" w:cs="宋体"/>
          <w:b/>
          <w:bCs/>
          <w:sz w:val="32"/>
          <w:szCs w:val="32"/>
        </w:rPr>
      </w:pPr>
    </w:p>
    <w:p>
      <w:pPr>
        <w:spacing w:line="400" w:lineRule="exact"/>
        <w:jc w:val="center"/>
        <w:rPr>
          <w:rFonts w:hint="eastAsia" w:ascii="宋体" w:hAnsi="宋体" w:eastAsia="宋体" w:cs="宋体"/>
          <w:b/>
          <w:bCs/>
          <w:sz w:val="32"/>
          <w:szCs w:val="32"/>
        </w:rPr>
      </w:pPr>
      <w:r>
        <w:rPr>
          <w:rFonts w:hint="eastAsia" w:ascii="宋体" w:hAnsi="宋体" w:eastAsia="宋体" w:cs="宋体"/>
          <w:b/>
          <w:bCs/>
          <w:sz w:val="32"/>
          <w:szCs w:val="32"/>
        </w:rPr>
        <w:t>4、工程量清单与计价表</w:t>
      </w:r>
      <w:bookmarkEnd w:id="20"/>
      <w:bookmarkEnd w:id="21"/>
    </w:p>
    <w:p>
      <w:pPr>
        <w:spacing w:line="380" w:lineRule="exact"/>
        <w:jc w:val="center"/>
        <w:rPr>
          <w:rFonts w:hint="eastAsia" w:ascii="宋体" w:hAnsi="宋体" w:eastAsia="宋体" w:cs="宋体"/>
          <w:sz w:val="24"/>
        </w:rPr>
      </w:pPr>
    </w:p>
    <w:p>
      <w:pPr>
        <w:spacing w:line="380" w:lineRule="exact"/>
        <w:jc w:val="center"/>
        <w:rPr>
          <w:rFonts w:hint="eastAsia" w:ascii="宋体" w:hAnsi="宋体" w:eastAsia="宋体" w:cs="宋体"/>
          <w:sz w:val="24"/>
        </w:rPr>
      </w:pPr>
      <w:r>
        <w:rPr>
          <w:rFonts w:hint="eastAsia" w:ascii="宋体" w:hAnsi="宋体" w:eastAsia="宋体" w:cs="宋体"/>
          <w:sz w:val="24"/>
        </w:rPr>
        <w:t>4.1工程量清单</w:t>
      </w:r>
    </w:p>
    <w:p>
      <w:pPr>
        <w:spacing w:line="380" w:lineRule="exact"/>
        <w:rPr>
          <w:rFonts w:hint="eastAsia" w:ascii="宋体" w:hAnsi="宋体" w:eastAsia="宋体" w:cs="宋体"/>
          <w:sz w:val="24"/>
          <w:u w:val="single"/>
        </w:rPr>
      </w:pPr>
      <w:r>
        <w:rPr>
          <w:rFonts w:hint="eastAsia" w:ascii="宋体" w:hAnsi="宋体" w:eastAsia="宋体" w:cs="宋体"/>
          <w:sz w:val="24"/>
          <w:u w:val="single"/>
        </w:rPr>
        <w:br w:type="page"/>
      </w:r>
    </w:p>
    <w:p>
      <w:pPr>
        <w:spacing w:line="380" w:lineRule="exact"/>
        <w:rPr>
          <w:rFonts w:hint="eastAsia" w:ascii="宋体" w:hAnsi="宋体" w:eastAsia="宋体" w:cs="宋体"/>
          <w:sz w:val="24"/>
        </w:rPr>
      </w:pPr>
      <w:r>
        <w:rPr>
          <w:rFonts w:hint="eastAsia" w:ascii="宋体" w:hAnsi="宋体" w:eastAsia="宋体" w:cs="宋体"/>
          <w:sz w:val="24"/>
        </w:rPr>
        <w:t>4.2初次报价总价表</w:t>
      </w: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line="380" w:lineRule="exact"/>
        <w:ind w:firstLine="480" w:firstLineChars="200"/>
        <w:rPr>
          <w:rFonts w:hint="eastAsia" w:ascii="宋体" w:hAnsi="宋体" w:eastAsia="宋体" w:cs="宋体"/>
          <w:sz w:val="24"/>
        </w:rPr>
      </w:pPr>
    </w:p>
    <w:p>
      <w:pPr>
        <w:spacing w:after="480" w:afterLines="200" w:line="380" w:lineRule="exact"/>
        <w:ind w:firstLine="560" w:firstLineChars="200"/>
        <w:jc w:val="center"/>
        <w:rPr>
          <w:rFonts w:hint="eastAsia" w:ascii="宋体" w:hAnsi="宋体" w:eastAsia="宋体" w:cs="宋体"/>
          <w:spacing w:val="20"/>
          <w:sz w:val="24"/>
        </w:rPr>
      </w:pPr>
      <w:r>
        <w:rPr>
          <w:rFonts w:hint="eastAsia" w:ascii="宋体" w:hAnsi="宋体" w:eastAsia="宋体" w:cs="宋体"/>
          <w:spacing w:val="20"/>
          <w:sz w:val="24"/>
        </w:rPr>
        <w:t>初次报价总价</w:t>
      </w:r>
    </w:p>
    <w:p>
      <w:pPr>
        <w:spacing w:line="600" w:lineRule="exact"/>
        <w:ind w:firstLine="420" w:firstLineChars="200"/>
        <w:rPr>
          <w:rFonts w:hint="eastAsia" w:ascii="宋体" w:hAnsi="宋体" w:eastAsia="宋体" w:cs="宋体"/>
          <w:u w:val="single"/>
        </w:rPr>
      </w:pPr>
      <w:r>
        <w:rPr>
          <w:rFonts w:hint="eastAsia" w:ascii="宋体" w:hAnsi="宋体" w:eastAsia="宋体" w:cs="宋体"/>
        </w:rPr>
        <w:t>采 购 人：</w:t>
      </w:r>
      <w:r>
        <w:rPr>
          <w:rFonts w:hint="eastAsia" w:ascii="宋体" w:hAnsi="宋体" w:eastAsia="宋体" w:cs="宋体"/>
          <w:u w:val="single"/>
        </w:rPr>
        <w:t xml:space="preserve">                                                                 </w:t>
      </w:r>
    </w:p>
    <w:p>
      <w:pPr>
        <w:spacing w:line="600" w:lineRule="exact"/>
        <w:ind w:firstLine="420" w:firstLineChars="200"/>
        <w:rPr>
          <w:rFonts w:hint="eastAsia" w:ascii="宋体" w:hAnsi="宋体" w:eastAsia="宋体" w:cs="宋体"/>
        </w:rPr>
      </w:pPr>
      <w:r>
        <w:rPr>
          <w:rFonts w:hint="eastAsia" w:ascii="宋体" w:hAnsi="宋体" w:eastAsia="宋体" w:cs="宋体"/>
        </w:rPr>
        <w:t>工程名称：</w:t>
      </w:r>
      <w:r>
        <w:rPr>
          <w:rFonts w:hint="eastAsia" w:ascii="宋体" w:hAnsi="宋体" w:eastAsia="宋体" w:cs="宋体"/>
          <w:szCs w:val="21"/>
          <w:u w:val="single"/>
        </w:rPr>
        <w:t xml:space="preserve">                                                       </w:t>
      </w:r>
      <w:r>
        <w:rPr>
          <w:rFonts w:hint="eastAsia" w:ascii="宋体" w:hAnsi="宋体" w:eastAsia="宋体" w:cs="宋体"/>
          <w:szCs w:val="21"/>
        </w:rPr>
        <w:t>（项目名称）</w:t>
      </w:r>
    </w:p>
    <w:p>
      <w:pPr>
        <w:spacing w:line="600" w:lineRule="exact"/>
        <w:ind w:firstLine="420" w:firstLineChars="200"/>
        <w:rPr>
          <w:rFonts w:hint="eastAsia" w:ascii="宋体" w:hAnsi="宋体" w:eastAsia="宋体" w:cs="宋体"/>
        </w:rPr>
      </w:pPr>
      <w:r>
        <w:rPr>
          <w:rFonts w:hint="eastAsia" w:ascii="宋体" w:hAnsi="宋体" w:eastAsia="宋体" w:cs="宋体"/>
        </w:rPr>
        <w:t>初次报价总价(小写) ：</w:t>
      </w:r>
      <w:r>
        <w:rPr>
          <w:rFonts w:hint="eastAsia" w:ascii="宋体" w:hAnsi="宋体" w:eastAsia="宋体" w:cs="宋体"/>
          <w:u w:val="single"/>
        </w:rPr>
        <w:t xml:space="preserve">                                                      </w:t>
      </w:r>
    </w:p>
    <w:p>
      <w:pPr>
        <w:spacing w:line="600" w:lineRule="exact"/>
        <w:ind w:firstLine="1680" w:firstLineChars="800"/>
        <w:rPr>
          <w:rFonts w:hint="eastAsia" w:ascii="宋体" w:hAnsi="宋体" w:eastAsia="宋体" w:cs="宋体"/>
          <w:u w:val="single"/>
        </w:rPr>
      </w:pPr>
      <w:r>
        <w:rPr>
          <w:rFonts w:hint="eastAsia" w:ascii="宋体" w:hAnsi="宋体" w:eastAsia="宋体" w:cs="宋体"/>
        </w:rPr>
        <w:t>(大写) ：</w:t>
      </w:r>
      <w:r>
        <w:rPr>
          <w:rFonts w:hint="eastAsia" w:ascii="宋体" w:hAnsi="宋体" w:eastAsia="宋体" w:cs="宋体"/>
          <w:u w:val="single"/>
        </w:rPr>
        <w:t xml:space="preserve">                                                      </w:t>
      </w:r>
    </w:p>
    <w:p>
      <w:pPr>
        <w:spacing w:line="600" w:lineRule="exact"/>
        <w:ind w:firstLine="1260" w:firstLineChars="600"/>
        <w:rPr>
          <w:rFonts w:hint="eastAsia" w:ascii="宋体" w:hAnsi="宋体" w:eastAsia="宋体" w:cs="宋体"/>
        </w:rPr>
      </w:pPr>
    </w:p>
    <w:p>
      <w:pPr>
        <w:spacing w:line="600" w:lineRule="exact"/>
        <w:ind w:firstLine="1260" w:firstLineChars="6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供 应 商：</w:t>
      </w:r>
      <w:r>
        <w:rPr>
          <w:rFonts w:hint="eastAsia" w:ascii="宋体" w:hAnsi="宋体" w:eastAsia="宋体" w:cs="宋体"/>
          <w:u w:val="single"/>
        </w:rPr>
        <w:t xml:space="preserve">                                                                 </w:t>
      </w:r>
    </w:p>
    <w:p>
      <w:pPr>
        <w:spacing w:line="320" w:lineRule="exact"/>
        <w:ind w:firstLine="4200" w:firstLineChars="2000"/>
        <w:rPr>
          <w:rFonts w:hint="eastAsia" w:ascii="宋体" w:hAnsi="宋体" w:eastAsia="宋体" w:cs="宋体"/>
        </w:rPr>
      </w:pPr>
      <w:r>
        <w:rPr>
          <w:rFonts w:hint="eastAsia" w:ascii="宋体" w:hAnsi="宋体" w:eastAsia="宋体" w:cs="宋体"/>
        </w:rPr>
        <w:t>(单位盖章)</w:t>
      </w:r>
    </w:p>
    <w:p>
      <w:pPr>
        <w:spacing w:line="380" w:lineRule="exact"/>
        <w:ind w:firstLine="420" w:firstLineChars="2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法定代表人</w:t>
      </w:r>
    </w:p>
    <w:p>
      <w:pPr>
        <w:spacing w:line="320" w:lineRule="exact"/>
        <w:ind w:firstLine="420" w:firstLineChars="200"/>
        <w:rPr>
          <w:rFonts w:hint="eastAsia" w:ascii="宋体" w:hAnsi="宋体" w:eastAsia="宋体" w:cs="宋体"/>
        </w:rPr>
      </w:pPr>
      <w:r>
        <w:rPr>
          <w:rFonts w:hint="eastAsia" w:ascii="宋体" w:hAnsi="宋体" w:eastAsia="宋体" w:cs="宋体"/>
        </w:rPr>
        <w:t>或其授权人：</w:t>
      </w:r>
      <w:r>
        <w:rPr>
          <w:rFonts w:hint="eastAsia" w:ascii="宋体" w:hAnsi="宋体" w:eastAsia="宋体" w:cs="宋体"/>
          <w:u w:val="single"/>
        </w:rPr>
        <w:t xml:space="preserve">                                                               </w:t>
      </w:r>
    </w:p>
    <w:p>
      <w:pPr>
        <w:spacing w:line="320" w:lineRule="exact"/>
        <w:ind w:firstLine="4200" w:firstLineChars="2000"/>
        <w:rPr>
          <w:rFonts w:hint="eastAsia" w:ascii="宋体" w:hAnsi="宋体" w:eastAsia="宋体" w:cs="宋体"/>
        </w:rPr>
      </w:pPr>
      <w:r>
        <w:rPr>
          <w:rFonts w:hint="eastAsia" w:ascii="宋体" w:hAnsi="宋体" w:eastAsia="宋体" w:cs="宋体"/>
        </w:rPr>
        <w:t>(签字或盖章)</w:t>
      </w:r>
    </w:p>
    <w:p>
      <w:pPr>
        <w:spacing w:line="320" w:lineRule="exact"/>
        <w:ind w:firstLine="3990" w:firstLineChars="1900"/>
        <w:rPr>
          <w:rFonts w:hint="eastAsia" w:ascii="宋体" w:hAnsi="宋体" w:eastAsia="宋体" w:cs="宋体"/>
        </w:rPr>
      </w:pPr>
    </w:p>
    <w:p>
      <w:pPr>
        <w:spacing w:line="320" w:lineRule="exact"/>
        <w:ind w:firstLine="3990" w:firstLineChars="1900"/>
        <w:rPr>
          <w:rFonts w:hint="eastAsia" w:ascii="宋体" w:hAnsi="宋体" w:eastAsia="宋体" w:cs="宋体"/>
        </w:rPr>
      </w:pPr>
    </w:p>
    <w:p>
      <w:pPr>
        <w:spacing w:line="320" w:lineRule="exact"/>
        <w:ind w:firstLine="420" w:firstLineChars="200"/>
        <w:rPr>
          <w:rFonts w:hint="eastAsia" w:ascii="宋体" w:hAnsi="宋体" w:eastAsia="宋体" w:cs="宋体"/>
        </w:rPr>
      </w:pPr>
      <w:r>
        <w:rPr>
          <w:rFonts w:hint="eastAsia" w:ascii="宋体" w:hAnsi="宋体" w:eastAsia="宋体" w:cs="宋体"/>
        </w:rPr>
        <w:t>编制人：</w:t>
      </w:r>
      <w:r>
        <w:rPr>
          <w:rFonts w:hint="eastAsia" w:ascii="宋体" w:hAnsi="宋体" w:eastAsia="宋体" w:cs="宋体"/>
          <w:u w:val="single"/>
        </w:rPr>
        <w:t xml:space="preserve">                                                                   </w:t>
      </w:r>
    </w:p>
    <w:p>
      <w:pPr>
        <w:spacing w:line="320" w:lineRule="exact"/>
        <w:jc w:val="center"/>
        <w:rPr>
          <w:rFonts w:hint="eastAsia" w:ascii="宋体" w:hAnsi="宋体" w:eastAsia="宋体" w:cs="宋体"/>
        </w:rPr>
      </w:pPr>
      <w:r>
        <w:rPr>
          <w:rFonts w:hint="eastAsia" w:ascii="宋体" w:hAnsi="宋体" w:eastAsia="宋体" w:cs="宋体"/>
        </w:rPr>
        <w:t xml:space="preserve">        (造价人员签字并盖专用章)</w:t>
      </w:r>
    </w:p>
    <w:p>
      <w:pPr>
        <w:spacing w:line="320" w:lineRule="exact"/>
        <w:ind w:firstLine="420" w:firstLineChars="200"/>
        <w:rPr>
          <w:rFonts w:hint="eastAsia" w:ascii="宋体" w:hAnsi="宋体" w:eastAsia="宋体" w:cs="宋体"/>
        </w:rPr>
      </w:pPr>
    </w:p>
    <w:p>
      <w:pPr>
        <w:spacing w:line="320" w:lineRule="exact"/>
        <w:ind w:firstLine="3570" w:firstLineChars="17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ind w:firstLine="630" w:firstLineChars="300"/>
        <w:rPr>
          <w:rFonts w:hint="eastAsia" w:ascii="宋体" w:hAnsi="宋体" w:eastAsia="宋体" w:cs="宋体"/>
        </w:rPr>
      </w:pPr>
      <w:r>
        <w:rPr>
          <w:rFonts w:hint="eastAsia" w:ascii="宋体" w:hAnsi="宋体" w:eastAsia="宋体" w:cs="宋体"/>
        </w:rPr>
        <w:t>时间：              年      月      日</w:t>
      </w:r>
    </w:p>
    <w:p>
      <w:pPr>
        <w:spacing w:line="380" w:lineRule="exact"/>
        <w:ind w:firstLine="420" w:firstLineChars="200"/>
        <w:rPr>
          <w:rFonts w:hint="eastAsia" w:ascii="宋体" w:hAnsi="宋体" w:eastAsia="宋体" w:cs="宋体"/>
        </w:rPr>
      </w:pPr>
    </w:p>
    <w:p>
      <w:pPr>
        <w:spacing w:line="380" w:lineRule="exact"/>
        <w:ind w:firstLine="420" w:firstLineChars="200"/>
        <w:rPr>
          <w:rFonts w:hint="eastAsia" w:ascii="宋体" w:hAnsi="宋体" w:eastAsia="宋体" w:cs="宋体"/>
        </w:rPr>
      </w:pPr>
    </w:p>
    <w:p>
      <w:pPr>
        <w:spacing w:line="38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4.3总说明</w:t>
      </w:r>
    </w:p>
    <w:p>
      <w:pPr>
        <w:spacing w:after="240" w:afterLines="100"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总 说 明</w:t>
      </w:r>
    </w:p>
    <w:p>
      <w:pPr>
        <w:spacing w:after="120" w:afterLines="50" w:line="360" w:lineRule="auto"/>
        <w:ind w:firstLine="315" w:firstLineChars="150"/>
        <w:rPr>
          <w:rFonts w:hint="eastAsia" w:ascii="宋体" w:hAnsi="宋体" w:eastAsia="宋体" w:cs="宋体"/>
          <w:color w:val="000000"/>
          <w:sz w:val="24"/>
        </w:rPr>
      </w:pPr>
      <w:r>
        <w:rPr>
          <w:rFonts w:hint="eastAsia" w:ascii="宋体" w:hAnsi="宋体" w:eastAsia="宋体" w:cs="宋体"/>
          <w:color w:val="000000"/>
        </w:rPr>
        <w:t>工程名称：                                                    第  页 共  页</w:t>
      </w:r>
    </w:p>
    <w:tbl>
      <w:tblPr>
        <w:tblStyle w:val="12"/>
        <w:tblW w:w="8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2" w:hRule="atLeast"/>
          <w:jc w:val="center"/>
        </w:trPr>
        <w:tc>
          <w:tcPr>
            <w:tcW w:w="8412" w:type="dxa"/>
          </w:tcPr>
          <w:p>
            <w:pPr>
              <w:spacing w:line="360" w:lineRule="auto"/>
              <w:rPr>
                <w:rFonts w:hint="eastAsia" w:ascii="宋体" w:hAnsi="宋体" w:eastAsia="宋体" w:cs="宋体"/>
                <w:color w:val="000000"/>
              </w:rPr>
            </w:pPr>
          </w:p>
        </w:tc>
      </w:tr>
    </w:tbl>
    <w:p>
      <w:pPr>
        <w:spacing w:line="360" w:lineRule="auto"/>
        <w:ind w:firstLine="420" w:firstLineChars="200"/>
        <w:rPr>
          <w:rFonts w:hint="eastAsia" w:ascii="宋体" w:hAnsi="宋体" w:eastAsia="宋体" w:cs="宋体"/>
          <w:color w:val="000000"/>
        </w:rPr>
      </w:pPr>
    </w:p>
    <w:p>
      <w:pPr>
        <w:spacing w:after="120" w:afterLines="50" w:line="360" w:lineRule="auto"/>
        <w:rPr>
          <w:rFonts w:hint="eastAsia" w:ascii="宋体" w:hAnsi="宋体" w:eastAsia="宋体" w:cs="宋体"/>
          <w:color w:val="000000"/>
        </w:rPr>
      </w:pPr>
      <w:r>
        <w:rPr>
          <w:rFonts w:hint="eastAsia" w:ascii="宋体" w:hAnsi="宋体" w:eastAsia="宋体" w:cs="宋体"/>
          <w:color w:val="000000"/>
        </w:rPr>
        <w:br w:type="page"/>
      </w:r>
    </w:p>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t>4.4工程项目初次报价汇总表</w:t>
      </w:r>
    </w:p>
    <w:p>
      <w:pPr>
        <w:spacing w:after="240" w:afterLines="100" w:line="360" w:lineRule="auto"/>
        <w:ind w:firstLine="560" w:firstLineChars="200"/>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工程项目初次报价汇总表</w:t>
      </w:r>
    </w:p>
    <w:p>
      <w:pPr>
        <w:spacing w:after="120" w:afterLines="50" w:line="360" w:lineRule="auto"/>
        <w:rPr>
          <w:rFonts w:hint="eastAsia" w:ascii="宋体" w:hAnsi="宋体" w:eastAsia="宋体" w:cs="宋体"/>
          <w:color w:val="000000"/>
          <w:sz w:val="28"/>
          <w:szCs w:val="28"/>
        </w:rPr>
      </w:pPr>
      <w:r>
        <w:rPr>
          <w:rFonts w:hint="eastAsia" w:ascii="宋体" w:hAnsi="宋体" w:eastAsia="宋体" w:cs="宋体"/>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70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单项工程名称</w:t>
            </w:r>
          </w:p>
        </w:tc>
        <w:tc>
          <w:tcPr>
            <w:tcW w:w="108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4345" w:type="dxa"/>
            <w:gridSpan w:val="3"/>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vAlign w:val="center"/>
          </w:tcPr>
          <w:p>
            <w:pPr>
              <w:spacing w:after="120" w:afterLines="50" w:line="360" w:lineRule="auto"/>
              <w:jc w:val="center"/>
              <w:rPr>
                <w:rFonts w:hint="eastAsia" w:ascii="宋体" w:hAnsi="宋体" w:eastAsia="宋体" w:cs="宋体"/>
                <w:color w:val="000000"/>
                <w:szCs w:val="21"/>
              </w:rPr>
            </w:pPr>
          </w:p>
        </w:tc>
        <w:tc>
          <w:tcPr>
            <w:tcW w:w="270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08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暂列金额及</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特殊项目暂估价</w:t>
            </w:r>
          </w:p>
        </w:tc>
        <w:tc>
          <w:tcPr>
            <w:tcW w:w="1446"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材料暂估价</w:t>
            </w:r>
          </w:p>
        </w:tc>
        <w:tc>
          <w:tcPr>
            <w:tcW w:w="979"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8" w:hRule="atLeast"/>
          <w:jc w:val="center"/>
        </w:trPr>
        <w:tc>
          <w:tcPr>
            <w:tcW w:w="988"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270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08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920"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1080" w:type="dxa"/>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vAlign w:val="center"/>
          </w:tcPr>
          <w:p>
            <w:pPr>
              <w:spacing w:line="360" w:lineRule="auto"/>
              <w:jc w:val="center"/>
              <w:rPr>
                <w:rFonts w:hint="eastAsia" w:ascii="宋体" w:hAnsi="宋体" w:eastAsia="宋体" w:cs="宋体"/>
                <w:color w:val="000000"/>
                <w:szCs w:val="21"/>
              </w:rPr>
            </w:pPr>
          </w:p>
        </w:tc>
      </w:tr>
    </w:tbl>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br w:type="page"/>
      </w:r>
    </w:p>
    <w:p>
      <w:pPr>
        <w:spacing w:after="120" w:afterLines="50" w:line="360" w:lineRule="auto"/>
        <w:rPr>
          <w:rFonts w:hint="eastAsia" w:ascii="宋体" w:hAnsi="宋体" w:eastAsia="宋体" w:cs="宋体"/>
          <w:color w:val="000000"/>
          <w:sz w:val="24"/>
        </w:rPr>
      </w:pPr>
      <w:r>
        <w:rPr>
          <w:rFonts w:hint="eastAsia" w:ascii="宋体" w:hAnsi="宋体" w:eastAsia="宋体" w:cs="宋体"/>
          <w:color w:val="000000"/>
          <w:sz w:val="24"/>
        </w:rPr>
        <w:t>4.5单项工程初次报价汇总表</w:t>
      </w:r>
    </w:p>
    <w:p>
      <w:pPr>
        <w:spacing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单项工程初次报价汇总表</w:t>
      </w:r>
    </w:p>
    <w:p>
      <w:pPr>
        <w:spacing w:after="120" w:afterLines="50" w:line="360" w:lineRule="auto"/>
        <w:rPr>
          <w:rFonts w:hint="eastAsia" w:ascii="宋体" w:hAnsi="宋体" w:eastAsia="宋体" w:cs="宋体"/>
          <w:color w:val="000000"/>
          <w:sz w:val="28"/>
          <w:szCs w:val="28"/>
        </w:rPr>
      </w:pPr>
      <w:r>
        <w:rPr>
          <w:rFonts w:hint="eastAsia" w:ascii="宋体" w:hAnsi="宋体" w:eastAsia="宋体" w:cs="宋体"/>
          <w:color w:val="000000"/>
        </w:rPr>
        <w:t>工程名称：                                                            第  页  共  页</w:t>
      </w:r>
    </w:p>
    <w:tbl>
      <w:tblPr>
        <w:tblStyle w:val="12"/>
        <w:tblW w:w="9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70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单位工程名称</w:t>
            </w:r>
          </w:p>
        </w:tc>
        <w:tc>
          <w:tcPr>
            <w:tcW w:w="1080" w:type="dxa"/>
            <w:vMerge w:val="restart"/>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4345" w:type="dxa"/>
            <w:gridSpan w:val="3"/>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  中(元)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988" w:type="dxa"/>
            <w:vMerge w:val="continue"/>
            <w:vAlign w:val="center"/>
          </w:tcPr>
          <w:p>
            <w:pPr>
              <w:spacing w:after="120" w:afterLines="50" w:line="360" w:lineRule="auto"/>
              <w:jc w:val="center"/>
              <w:rPr>
                <w:rFonts w:hint="eastAsia" w:ascii="宋体" w:hAnsi="宋体" w:eastAsia="宋体" w:cs="宋体"/>
                <w:color w:val="000000"/>
                <w:szCs w:val="21"/>
              </w:rPr>
            </w:pPr>
          </w:p>
        </w:tc>
        <w:tc>
          <w:tcPr>
            <w:tcW w:w="270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080" w:type="dxa"/>
            <w:vMerge w:val="continue"/>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暂列金额及</w:t>
            </w:r>
          </w:p>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特殊项目暂估价</w:t>
            </w:r>
          </w:p>
        </w:tc>
        <w:tc>
          <w:tcPr>
            <w:tcW w:w="1446"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材料暂估价</w:t>
            </w:r>
          </w:p>
        </w:tc>
        <w:tc>
          <w:tcPr>
            <w:tcW w:w="979"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4" w:hRule="atLeast"/>
          <w:jc w:val="center"/>
        </w:trPr>
        <w:tc>
          <w:tcPr>
            <w:tcW w:w="988"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270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080" w:type="dxa"/>
            <w:tcBorders>
              <w:bottom w:val="single" w:color="auto" w:sz="4" w:space="0"/>
            </w:tcBorders>
            <w:vAlign w:val="center"/>
          </w:tcPr>
          <w:p>
            <w:pPr>
              <w:spacing w:after="120" w:afterLines="50" w:line="360" w:lineRule="auto"/>
              <w:jc w:val="center"/>
              <w:rPr>
                <w:rFonts w:hint="eastAsia" w:ascii="宋体" w:hAnsi="宋体" w:eastAsia="宋体" w:cs="宋体"/>
                <w:color w:val="000000"/>
                <w:szCs w:val="21"/>
              </w:rPr>
            </w:pPr>
          </w:p>
        </w:tc>
        <w:tc>
          <w:tcPr>
            <w:tcW w:w="1920"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tcBorders>
              <w:bottom w:val="single" w:color="auto" w:sz="4"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3688" w:type="dxa"/>
            <w:gridSpan w:val="2"/>
            <w:vAlign w:val="center"/>
          </w:tcPr>
          <w:p>
            <w:pPr>
              <w:spacing w:after="120" w:afterLines="50"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1080" w:type="dxa"/>
            <w:vAlign w:val="center"/>
          </w:tcPr>
          <w:p>
            <w:pPr>
              <w:spacing w:after="120" w:afterLines="50" w:line="360" w:lineRule="auto"/>
              <w:jc w:val="center"/>
              <w:rPr>
                <w:rFonts w:hint="eastAsia" w:ascii="宋体" w:hAnsi="宋体" w:eastAsia="宋体" w:cs="宋体"/>
                <w:color w:val="000000"/>
                <w:szCs w:val="21"/>
              </w:rPr>
            </w:pPr>
          </w:p>
        </w:tc>
        <w:tc>
          <w:tcPr>
            <w:tcW w:w="1920" w:type="dxa"/>
            <w:vAlign w:val="center"/>
          </w:tcPr>
          <w:p>
            <w:pPr>
              <w:spacing w:line="360" w:lineRule="auto"/>
              <w:jc w:val="center"/>
              <w:rPr>
                <w:rFonts w:hint="eastAsia" w:ascii="宋体" w:hAnsi="宋体" w:eastAsia="宋体" w:cs="宋体"/>
                <w:color w:val="000000"/>
                <w:szCs w:val="21"/>
              </w:rPr>
            </w:pPr>
          </w:p>
        </w:tc>
        <w:tc>
          <w:tcPr>
            <w:tcW w:w="1446" w:type="dxa"/>
            <w:vAlign w:val="center"/>
          </w:tcPr>
          <w:p>
            <w:pPr>
              <w:spacing w:line="360" w:lineRule="auto"/>
              <w:jc w:val="center"/>
              <w:rPr>
                <w:rFonts w:hint="eastAsia" w:ascii="宋体" w:hAnsi="宋体" w:eastAsia="宋体" w:cs="宋体"/>
                <w:color w:val="000000"/>
                <w:szCs w:val="21"/>
              </w:rPr>
            </w:pPr>
          </w:p>
        </w:tc>
        <w:tc>
          <w:tcPr>
            <w:tcW w:w="979" w:type="dxa"/>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4.6单位工程初次报价汇总表</w:t>
      </w:r>
    </w:p>
    <w:p>
      <w:pPr>
        <w:spacing w:before="120" w:beforeLines="50"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单位工程初次报价汇总表</w:t>
      </w:r>
    </w:p>
    <w:p>
      <w:pPr>
        <w:spacing w:after="120" w:afterLines="50" w:line="360" w:lineRule="auto"/>
        <w:rPr>
          <w:rFonts w:hint="eastAsia" w:ascii="宋体" w:hAnsi="宋体" w:eastAsia="宋体" w:cs="宋体"/>
          <w:color w:val="000000"/>
        </w:rPr>
      </w:pPr>
      <w:r>
        <w:rPr>
          <w:rFonts w:hint="eastAsia" w:ascii="宋体" w:hAnsi="宋体" w:eastAsia="宋体" w:cs="宋体"/>
          <w:color w:val="000000"/>
        </w:rPr>
        <w:t xml:space="preserve">工程名称：                   </w:t>
      </w:r>
      <w:r>
        <w:rPr>
          <w:rFonts w:hint="eastAsia" w:ascii="宋体" w:hAnsi="宋体" w:eastAsia="宋体" w:cs="宋体"/>
          <w:color w:val="000000"/>
          <w:szCs w:val="21"/>
        </w:rPr>
        <w:t>标段：</w:t>
      </w:r>
      <w:r>
        <w:rPr>
          <w:rFonts w:hint="eastAsia" w:ascii="宋体" w:hAnsi="宋体" w:eastAsia="宋体" w:cs="宋体"/>
          <w:color w:val="000000"/>
        </w:rPr>
        <w:t xml:space="preserve">                                第  页   共  页</w:t>
      </w:r>
    </w:p>
    <w:tbl>
      <w:tblPr>
        <w:tblStyle w:val="12"/>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2910"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项目名称</w:t>
            </w:r>
          </w:p>
        </w:tc>
        <w:tc>
          <w:tcPr>
            <w:tcW w:w="3131"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金额(元)</w:t>
            </w:r>
          </w:p>
        </w:tc>
        <w:tc>
          <w:tcPr>
            <w:tcW w:w="1988" w:type="dxa"/>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其中：材料暂估价(元)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w:t>
            </w:r>
          </w:p>
        </w:tc>
        <w:tc>
          <w:tcPr>
            <w:tcW w:w="2910" w:type="dxa"/>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分部分项工程费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1.1</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1.2</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1.3</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1.4</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1.5</w:t>
            </w: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p>
        </w:tc>
        <w:tc>
          <w:tcPr>
            <w:tcW w:w="2910" w:type="dxa"/>
            <w:vAlign w:val="center"/>
          </w:tcPr>
          <w:p>
            <w:pPr>
              <w:spacing w:line="360" w:lineRule="auto"/>
              <w:jc w:val="center"/>
              <w:rPr>
                <w:rFonts w:hint="eastAsia" w:ascii="宋体" w:hAnsi="宋体" w:eastAsia="宋体" w:cs="宋体"/>
                <w:color w:val="000000"/>
                <w:szCs w:val="21"/>
              </w:rPr>
            </w:pP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措施项目费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2.1</w:t>
            </w:r>
          </w:p>
        </w:tc>
        <w:tc>
          <w:tcPr>
            <w:tcW w:w="2910" w:type="dxa"/>
            <w:vAlign w:val="center"/>
          </w:tcPr>
          <w:p>
            <w:pPr>
              <w:rPr>
                <w:rFonts w:hint="eastAsia" w:ascii="宋体" w:hAnsi="宋体" w:eastAsia="宋体" w:cs="宋体"/>
                <w:color w:val="000000"/>
                <w:szCs w:val="21"/>
              </w:rPr>
            </w:pPr>
            <w:r>
              <w:rPr>
                <w:rFonts w:hint="eastAsia" w:ascii="宋体" w:hAnsi="宋体" w:eastAsia="宋体" w:cs="宋体"/>
                <w:szCs w:val="21"/>
              </w:rPr>
              <w:t>单价措施费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2.2</w:t>
            </w:r>
          </w:p>
        </w:tc>
        <w:tc>
          <w:tcPr>
            <w:tcW w:w="2910" w:type="dxa"/>
            <w:vAlign w:val="center"/>
          </w:tcPr>
          <w:p>
            <w:pPr>
              <w:rPr>
                <w:rFonts w:hint="eastAsia" w:ascii="宋体" w:hAnsi="宋体" w:eastAsia="宋体" w:cs="宋体"/>
                <w:color w:val="000000"/>
                <w:szCs w:val="21"/>
              </w:rPr>
            </w:pPr>
            <w:r>
              <w:rPr>
                <w:rFonts w:hint="eastAsia" w:ascii="宋体" w:hAnsi="宋体" w:eastAsia="宋体" w:cs="宋体"/>
                <w:szCs w:val="21"/>
              </w:rPr>
              <w:t>总价措施费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其他项目费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3.1</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暂列金额</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3.2</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特殊项目费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3.3</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计日工</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3.4</w:t>
            </w:r>
          </w:p>
        </w:tc>
        <w:tc>
          <w:tcPr>
            <w:tcW w:w="2910" w:type="dxa"/>
            <w:vAlign w:val="center"/>
          </w:tcPr>
          <w:p>
            <w:pPr>
              <w:spacing w:line="360" w:lineRule="auto"/>
              <w:ind w:firstLine="210" w:firstLineChars="100"/>
              <w:rPr>
                <w:rFonts w:hint="eastAsia" w:ascii="宋体" w:hAnsi="宋体" w:eastAsia="宋体" w:cs="宋体"/>
                <w:color w:val="000000"/>
                <w:szCs w:val="21"/>
              </w:rPr>
            </w:pPr>
            <w:r>
              <w:rPr>
                <w:rFonts w:hint="eastAsia" w:ascii="宋体" w:hAnsi="宋体" w:eastAsia="宋体" w:cs="宋体"/>
                <w:color w:val="000000"/>
                <w:szCs w:val="21"/>
              </w:rPr>
              <w:t>总承包服务费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4</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规费</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27"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5</w:t>
            </w:r>
          </w:p>
        </w:tc>
        <w:tc>
          <w:tcPr>
            <w:tcW w:w="2910" w:type="dxa"/>
            <w:vAlign w:val="center"/>
          </w:tcPr>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税金</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3637" w:type="dxa"/>
            <w:gridSpan w:val="2"/>
            <w:vAlign w:val="center"/>
          </w:tcPr>
          <w:p>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单位工程费用合计=1+2+3+4+5</w:t>
            </w:r>
          </w:p>
        </w:tc>
        <w:tc>
          <w:tcPr>
            <w:tcW w:w="3131" w:type="dxa"/>
            <w:vAlign w:val="center"/>
          </w:tcPr>
          <w:p>
            <w:pPr>
              <w:spacing w:line="360" w:lineRule="auto"/>
              <w:jc w:val="center"/>
              <w:rPr>
                <w:rFonts w:hint="eastAsia" w:ascii="宋体" w:hAnsi="宋体" w:eastAsia="宋体" w:cs="宋体"/>
                <w:color w:val="000000"/>
                <w:szCs w:val="21"/>
              </w:rPr>
            </w:pPr>
          </w:p>
        </w:tc>
        <w:tc>
          <w:tcPr>
            <w:tcW w:w="1988" w:type="dxa"/>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rPr>
      </w:pPr>
    </w:p>
    <w:p>
      <w:pPr>
        <w:spacing w:line="360" w:lineRule="auto"/>
        <w:rPr>
          <w:rFonts w:hint="eastAsia" w:ascii="宋体" w:hAnsi="宋体" w:eastAsia="宋体" w:cs="宋体"/>
          <w:color w:val="000000"/>
        </w:rPr>
      </w:pPr>
      <w:r>
        <w:rPr>
          <w:rFonts w:hint="eastAsia" w:ascii="宋体" w:hAnsi="宋体" w:eastAsia="宋体" w:cs="宋体"/>
          <w:color w:val="000000"/>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4.7分部分项工程量清单与计价表</w:t>
      </w:r>
    </w:p>
    <w:p>
      <w:pPr>
        <w:spacing w:before="240" w:beforeLines="100" w:after="240" w:afterLines="10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分部分项工程量清单与计价表</w:t>
      </w:r>
    </w:p>
    <w:p>
      <w:pPr>
        <w:spacing w:before="240" w:beforeLines="100" w:after="240" w:afterLines="100" w:line="360" w:lineRule="auto"/>
        <w:ind w:firstLine="315" w:firstLineChars="150"/>
        <w:rPr>
          <w:rFonts w:hint="eastAsia" w:ascii="宋体" w:hAnsi="宋体" w:eastAsia="宋体" w:cs="宋体"/>
          <w:color w:val="000000"/>
          <w:sz w:val="28"/>
          <w:szCs w:val="28"/>
        </w:rPr>
      </w:pPr>
      <w:r>
        <w:rPr>
          <w:rFonts w:hint="eastAsia" w:ascii="宋体" w:hAnsi="宋体" w:eastAsia="宋体" w:cs="宋体"/>
          <w:color w:val="000000"/>
        </w:rPr>
        <w:t xml:space="preserve">工程名称：                    </w:t>
      </w:r>
      <w:r>
        <w:rPr>
          <w:rFonts w:hint="eastAsia" w:ascii="宋体" w:hAnsi="宋体" w:eastAsia="宋体" w:cs="宋体"/>
          <w:color w:val="000000"/>
          <w:szCs w:val="21"/>
        </w:rPr>
        <w:t>标段：</w:t>
      </w:r>
      <w:r>
        <w:rPr>
          <w:rFonts w:hint="eastAsia" w:ascii="宋体" w:hAnsi="宋体" w:eastAsia="宋体" w:cs="宋体"/>
          <w:color w:val="000000"/>
        </w:rPr>
        <w:t xml:space="preserve">                               第  页  共  页</w:t>
      </w:r>
    </w:p>
    <w:tbl>
      <w:tblPr>
        <w:tblStyle w:val="12"/>
        <w:tblW w:w="8478"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序号</w:t>
            </w:r>
          </w:p>
        </w:tc>
        <w:tc>
          <w:tcPr>
            <w:tcW w:w="1047" w:type="dxa"/>
            <w:vMerge w:val="restart"/>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项目编码</w:t>
            </w:r>
          </w:p>
        </w:tc>
        <w:tc>
          <w:tcPr>
            <w:tcW w:w="2484" w:type="dxa"/>
            <w:vMerge w:val="restart"/>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项目名称</w:t>
            </w:r>
          </w:p>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项目特征</w:t>
            </w:r>
          </w:p>
        </w:tc>
        <w:tc>
          <w:tcPr>
            <w:tcW w:w="1019" w:type="dxa"/>
            <w:vMerge w:val="restart"/>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计量单位</w:t>
            </w:r>
          </w:p>
        </w:tc>
        <w:tc>
          <w:tcPr>
            <w:tcW w:w="838" w:type="dxa"/>
            <w:vMerge w:val="restart"/>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工程量</w:t>
            </w:r>
          </w:p>
        </w:tc>
        <w:tc>
          <w:tcPr>
            <w:tcW w:w="2447" w:type="dxa"/>
            <w:gridSpan w:val="3"/>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金额（元）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Merge w:val="continue"/>
            <w:vAlign w:val="center"/>
          </w:tcPr>
          <w:p>
            <w:pPr>
              <w:spacing w:line="360" w:lineRule="auto"/>
              <w:jc w:val="center"/>
              <w:rPr>
                <w:rFonts w:hint="eastAsia" w:ascii="宋体" w:hAnsi="宋体" w:eastAsia="宋体" w:cs="宋体"/>
                <w:color w:val="000000"/>
                <w:sz w:val="20"/>
                <w:szCs w:val="20"/>
              </w:rPr>
            </w:pPr>
          </w:p>
        </w:tc>
        <w:tc>
          <w:tcPr>
            <w:tcW w:w="1047" w:type="dxa"/>
            <w:vMerge w:val="continue"/>
            <w:tcBorders>
              <w:righ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2484" w:type="dxa"/>
            <w:vMerge w:val="continue"/>
            <w:tcBorders>
              <w:lef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1019" w:type="dxa"/>
            <w:vMerge w:val="continue"/>
            <w:tcBorders>
              <w:righ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838" w:type="dxa"/>
            <w:vMerge w:val="continue"/>
            <w:tcBorders>
              <w:left w:val="single" w:color="auto" w:sz="6" w:space="0"/>
            </w:tcBorders>
            <w:vAlign w:val="center"/>
          </w:tcPr>
          <w:p>
            <w:pPr>
              <w:spacing w:line="360" w:lineRule="auto"/>
              <w:jc w:val="center"/>
              <w:rPr>
                <w:rFonts w:hint="eastAsia" w:ascii="宋体" w:hAnsi="宋体" w:eastAsia="宋体" w:cs="宋体"/>
                <w:color w:val="000000"/>
                <w:sz w:val="20"/>
                <w:szCs w:val="20"/>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综合</w:t>
            </w:r>
          </w:p>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单价</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合价</w:t>
            </w: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其中： 暂估价</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43" w:type="dxa"/>
            <w:vAlign w:val="center"/>
          </w:tcPr>
          <w:p>
            <w:pPr>
              <w:spacing w:line="360" w:lineRule="auto"/>
              <w:jc w:val="center"/>
              <w:rPr>
                <w:rFonts w:hint="eastAsia" w:ascii="宋体" w:hAnsi="宋体" w:eastAsia="宋体" w:cs="宋体"/>
                <w:color w:val="000000"/>
                <w:szCs w:val="21"/>
              </w:rPr>
            </w:pPr>
          </w:p>
        </w:tc>
        <w:tc>
          <w:tcPr>
            <w:tcW w:w="1047" w:type="dxa"/>
            <w:tcBorders>
              <w:righ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2484" w:type="dxa"/>
            <w:tcBorders>
              <w:left w:val="single" w:color="auto" w:sz="6" w:space="0"/>
            </w:tcBorders>
            <w:vAlign w:val="center"/>
          </w:tcPr>
          <w:p>
            <w:pPr>
              <w:spacing w:line="360" w:lineRule="auto"/>
              <w:ind w:firstLine="210" w:firstLineChars="100"/>
              <w:jc w:val="center"/>
              <w:rPr>
                <w:rFonts w:hint="eastAsia" w:ascii="宋体" w:hAnsi="宋体" w:eastAsia="宋体" w:cs="宋体"/>
                <w:color w:val="000000"/>
                <w:szCs w:val="21"/>
              </w:rPr>
            </w:pPr>
          </w:p>
        </w:tc>
        <w:tc>
          <w:tcPr>
            <w:tcW w:w="1019"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838"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65"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本页小计</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6796" w:type="dxa"/>
            <w:gridSpan w:val="6"/>
            <w:vAlign w:val="center"/>
          </w:tcPr>
          <w:p>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合  计</w:t>
            </w:r>
          </w:p>
        </w:tc>
        <w:tc>
          <w:tcPr>
            <w:tcW w:w="741" w:type="dxa"/>
            <w:tcBorders>
              <w:right w:val="single" w:color="auto" w:sz="6" w:space="0"/>
            </w:tcBorders>
            <w:vAlign w:val="center"/>
          </w:tcPr>
          <w:p>
            <w:pPr>
              <w:spacing w:line="360" w:lineRule="auto"/>
              <w:jc w:val="center"/>
              <w:rPr>
                <w:rFonts w:hint="eastAsia" w:ascii="宋体" w:hAnsi="宋体" w:eastAsia="宋体" w:cs="宋体"/>
                <w:color w:val="000000"/>
                <w:szCs w:val="21"/>
              </w:rPr>
            </w:pPr>
          </w:p>
        </w:tc>
        <w:tc>
          <w:tcPr>
            <w:tcW w:w="941" w:type="dxa"/>
            <w:tcBorders>
              <w:left w:val="single" w:color="auto" w:sz="6" w:space="0"/>
            </w:tcBorders>
            <w:vAlign w:val="center"/>
          </w:tcPr>
          <w:p>
            <w:pPr>
              <w:spacing w:line="360" w:lineRule="auto"/>
              <w:jc w:val="center"/>
              <w:rPr>
                <w:rFonts w:hint="eastAsia" w:ascii="宋体" w:hAnsi="宋体" w:eastAsia="宋体" w:cs="宋体"/>
                <w:color w:val="000000"/>
                <w:szCs w:val="21"/>
              </w:rPr>
            </w:pPr>
          </w:p>
        </w:tc>
      </w:tr>
    </w:tbl>
    <w:p>
      <w:pPr>
        <w:spacing w:line="360" w:lineRule="auto"/>
        <w:rPr>
          <w:rFonts w:hint="eastAsia" w:ascii="宋体" w:hAnsi="宋体" w:eastAsia="宋体" w:cs="宋体"/>
          <w:color w:val="000000"/>
        </w:rPr>
      </w:pPr>
      <w:r>
        <w:rPr>
          <w:rFonts w:hint="eastAsia" w:ascii="宋体" w:hAnsi="宋体" w:eastAsia="宋体" w:cs="宋体"/>
          <w:color w:val="000000"/>
        </w:rPr>
        <w:br w:type="page"/>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4.8工程量清单综合单价分析表</w:t>
      </w:r>
    </w:p>
    <w:p>
      <w:pPr>
        <w:spacing w:before="120" w:beforeLines="50" w:after="120" w:afterLines="50"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工程量清单综合单价分析表</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 xml:space="preserve">工程名称 ：                        标段：                         第   页   共   页 </w:t>
      </w:r>
    </w:p>
    <w:tbl>
      <w:tblPr>
        <w:tblStyle w:val="12"/>
        <w:tblW w:w="918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序号</w:t>
            </w:r>
          </w:p>
        </w:tc>
        <w:tc>
          <w:tcPr>
            <w:tcW w:w="1476" w:type="dxa"/>
            <w:vMerge w:val="restart"/>
            <w:tcBorders>
              <w:top w:val="single" w:color="auto" w:sz="8" w:space="0"/>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编码</w:t>
            </w:r>
          </w:p>
        </w:tc>
        <w:tc>
          <w:tcPr>
            <w:tcW w:w="1980"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名称</w:t>
            </w:r>
          </w:p>
        </w:tc>
        <w:tc>
          <w:tcPr>
            <w:tcW w:w="504"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单位</w:t>
            </w:r>
          </w:p>
        </w:tc>
        <w:tc>
          <w:tcPr>
            <w:tcW w:w="720" w:type="dxa"/>
            <w:vMerge w:val="restart"/>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工程量</w:t>
            </w:r>
          </w:p>
        </w:tc>
        <w:tc>
          <w:tcPr>
            <w:tcW w:w="3240" w:type="dxa"/>
            <w:gridSpan w:val="5"/>
            <w:tcBorders>
              <w:top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综合单价组成（元）</w:t>
            </w:r>
          </w:p>
        </w:tc>
        <w:tc>
          <w:tcPr>
            <w:tcW w:w="720" w:type="dxa"/>
            <w:vMerge w:val="restart"/>
            <w:tcBorders>
              <w:top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综合单价（元）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Merge w:val="continue"/>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980"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04"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Merge w:val="continue"/>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人工费</w:t>
            </w:r>
          </w:p>
        </w:tc>
        <w:tc>
          <w:tcPr>
            <w:tcW w:w="683"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材料费</w:t>
            </w:r>
          </w:p>
        </w:tc>
        <w:tc>
          <w:tcPr>
            <w:tcW w:w="577"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机械费</w:t>
            </w:r>
          </w:p>
        </w:tc>
        <w:tc>
          <w:tcPr>
            <w:tcW w:w="54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计费    基础</w:t>
            </w:r>
          </w:p>
        </w:tc>
        <w:tc>
          <w:tcPr>
            <w:tcW w:w="72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管理费 和利润</w:t>
            </w:r>
          </w:p>
        </w:tc>
        <w:tc>
          <w:tcPr>
            <w:tcW w:w="720" w:type="dxa"/>
            <w:vMerge w:val="continue"/>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1</w:t>
            </w: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（清单项目编码1）</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（清单项目名称及特征 ）</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（定额编号1）</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（定额项目名称或工程内容）</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（定额编号2）</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（定额项目名称或工程内容）</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7"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（主材或</w:t>
            </w:r>
            <w:r>
              <w:rPr>
                <w:rFonts w:hint="eastAsia" w:ascii="宋体" w:hAnsi="宋体" w:eastAsia="宋体" w:cs="宋体"/>
                <w:color w:val="000000"/>
                <w:sz w:val="18"/>
                <w:szCs w:val="18"/>
              </w:rPr>
              <w:t>暂估价材料</w:t>
            </w:r>
            <w:r>
              <w:rPr>
                <w:rFonts w:hint="eastAsia" w:ascii="宋体" w:hAnsi="宋体" w:eastAsia="宋体" w:cs="宋体"/>
                <w:color w:val="000000"/>
                <w:spacing w:val="-12"/>
                <w:sz w:val="18"/>
                <w:szCs w:val="18"/>
              </w:rPr>
              <w:t>编码1）</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（名称、规格、型号）</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6" w:hRule="atLeast"/>
        </w:trPr>
        <w:tc>
          <w:tcPr>
            <w:tcW w:w="540" w:type="dxa"/>
            <w:tcBorders>
              <w:lef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（主材或暂估价材料编码2）</w:t>
            </w: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r>
              <w:rPr>
                <w:rFonts w:hint="eastAsia" w:ascii="宋体" w:hAnsi="宋体" w:eastAsia="宋体" w:cs="宋体"/>
                <w:color w:val="000000"/>
                <w:spacing w:val="-16"/>
                <w:sz w:val="18"/>
                <w:szCs w:val="18"/>
              </w:rPr>
              <w:t>（名称、规格、型号）</w:t>
            </w:r>
          </w:p>
        </w:tc>
        <w:tc>
          <w:tcPr>
            <w:tcW w:w="504"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z w:val="18"/>
                <w:szCs w:val="18"/>
              </w:rPr>
              <w:t>材料费中：暂估价合计</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r>
              <w:rPr>
                <w:rFonts w:hint="eastAsia" w:ascii="宋体" w:hAnsi="宋体" w:eastAsia="宋体" w:cs="宋体"/>
                <w:color w:val="000000"/>
              </w:rPr>
              <w:t>2</w:t>
            </w: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（清单项目编码2）</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（清单项目名称及特征）</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r>
              <w:rPr>
                <w:rFonts w:hint="eastAsia" w:ascii="宋体" w:hAnsi="宋体" w:eastAsia="宋体" w:cs="宋体"/>
                <w:color w:val="000000"/>
                <w:sz w:val="18"/>
                <w:szCs w:val="18"/>
              </w:rPr>
              <w:t>—</w:t>
            </w: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r>
              <w:rPr>
                <w:rFonts w:hint="eastAsia" w:ascii="宋体" w:hAnsi="宋体" w:eastAsia="宋体" w:cs="宋体"/>
                <w:color w:val="000000"/>
                <w:spacing w:val="-12"/>
                <w:sz w:val="18"/>
                <w:szCs w:val="18"/>
              </w:rPr>
              <w:t>……</w:t>
            </w: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77"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54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tcBorders>
              <w:righ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pStyle w:val="8"/>
              <w:widowControl/>
              <w:pBdr>
                <w:bottom w:val="none" w:color="auto" w:sz="0" w:space="0"/>
              </w:pBdr>
              <w:tabs>
                <w:tab w:val="clear" w:pos="4153"/>
                <w:tab w:val="clear" w:pos="8306"/>
              </w:tabs>
              <w:snapToGrid/>
              <w:spacing w:before="100" w:beforeAutospacing="1" w:after="100" w:afterAutospacing="1" w:line="360" w:lineRule="auto"/>
              <w:rPr>
                <w:rFonts w:hint="eastAsia" w:ascii="宋体" w:hAnsi="宋体" w:eastAsia="宋体" w:cs="宋体"/>
                <w:color w:val="000000"/>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92" w:rightChars="-44"/>
              <w:jc w:val="center"/>
              <w:rPr>
                <w:rFonts w:hint="eastAsia" w:ascii="宋体" w:hAnsi="宋体" w:eastAsia="宋体" w:cs="宋体"/>
                <w:color w:val="000000"/>
                <w:spacing w:val="-16"/>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1476"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1980" w:type="dxa"/>
            <w:vAlign w:val="center"/>
          </w:tcPr>
          <w:p>
            <w:pPr>
              <w:widowControl/>
              <w:spacing w:before="100" w:beforeAutospacing="1" w:after="100" w:afterAutospacing="1" w:line="360" w:lineRule="auto"/>
              <w:ind w:left="-118" w:leftChars="-56" w:right="-63" w:rightChars="-30"/>
              <w:jc w:val="center"/>
              <w:rPr>
                <w:rFonts w:hint="eastAsia" w:ascii="宋体" w:hAnsi="宋体" w:eastAsia="宋体" w:cs="宋体"/>
                <w:color w:val="000000"/>
                <w:spacing w:val="-12"/>
                <w:sz w:val="18"/>
                <w:szCs w:val="18"/>
              </w:rPr>
            </w:pPr>
          </w:p>
        </w:tc>
        <w:tc>
          <w:tcPr>
            <w:tcW w:w="504" w:type="dxa"/>
            <w:vAlign w:val="center"/>
          </w:tcPr>
          <w:p>
            <w:pPr>
              <w:widowControl/>
              <w:spacing w:before="100" w:beforeAutospacing="1" w:after="100" w:afterAutospacing="1" w:line="360" w:lineRule="auto"/>
              <w:jc w:val="center"/>
              <w:rPr>
                <w:rFonts w:hint="eastAsia" w:ascii="宋体" w:hAnsi="宋体" w:eastAsia="宋体" w:cs="宋体"/>
                <w:color w:val="000000"/>
                <w:sz w:val="18"/>
                <w:szCs w:val="18"/>
              </w:rPr>
            </w:pPr>
          </w:p>
        </w:tc>
        <w:tc>
          <w:tcPr>
            <w:tcW w:w="720" w:type="dxa"/>
            <w:vAlign w:val="center"/>
          </w:tcPr>
          <w:p>
            <w:pPr>
              <w:spacing w:line="360" w:lineRule="auto"/>
              <w:jc w:val="center"/>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683"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77"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54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Pr>
          <w:p>
            <w:pPr>
              <w:widowControl/>
              <w:spacing w:before="100" w:beforeAutospacing="1" w:after="100" w:afterAutospacing="1" w:line="360" w:lineRule="auto"/>
              <w:rPr>
                <w:rFonts w:hint="eastAsia" w:ascii="宋体" w:hAnsi="宋体" w:eastAsia="宋体" w:cs="宋体"/>
                <w:color w:val="000000"/>
                <w:sz w:val="18"/>
                <w:szCs w:val="18"/>
              </w:rPr>
            </w:pPr>
          </w:p>
        </w:tc>
        <w:tc>
          <w:tcPr>
            <w:tcW w:w="720" w:type="dxa"/>
            <w:tcBorders>
              <w:right w:val="single" w:color="auto" w:sz="8" w:space="0"/>
            </w:tcBorders>
          </w:tcPr>
          <w:p>
            <w:pPr>
              <w:widowControl/>
              <w:spacing w:before="100" w:beforeAutospacing="1" w:after="100" w:afterAutospacing="1" w:line="360" w:lineRule="auto"/>
              <w:rPr>
                <w:rFonts w:hint="eastAsia" w:ascii="宋体" w:hAnsi="宋体" w:eastAsia="宋体" w:cs="宋体"/>
                <w:color w:val="000000"/>
                <w:sz w:val="18"/>
                <w:szCs w:val="18"/>
              </w:rPr>
            </w:pPr>
          </w:p>
        </w:tc>
      </w:tr>
    </w:tbl>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注：1、如不使用省级或行业建设主管部门发布的计价依据，可不填写定额编号、定额项目名称等。</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 xml:space="preserve">2、对于具有市场成活报价的项目可不提供分析表。    </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3、若为暂估价材料，在编码后标注“*”。</w:t>
      </w:r>
    </w:p>
    <w:p>
      <w:pPr>
        <w:spacing w:line="360" w:lineRule="auto"/>
        <w:ind w:firstLine="840" w:firstLineChars="400"/>
        <w:rPr>
          <w:rFonts w:hint="eastAsia" w:ascii="宋体" w:hAnsi="宋体" w:eastAsia="宋体" w:cs="宋体"/>
          <w:color w:val="000000"/>
          <w:szCs w:val="21"/>
        </w:rPr>
      </w:pPr>
    </w:p>
    <w:p>
      <w:pPr>
        <w:spacing w:line="360" w:lineRule="auto"/>
        <w:rPr>
          <w:rFonts w:hint="eastAsia" w:ascii="宋体" w:hAnsi="宋体" w:eastAsia="宋体" w:cs="宋体"/>
          <w:color w:val="000000"/>
          <w:sz w:val="24"/>
        </w:rPr>
      </w:pPr>
    </w:p>
    <w:p>
      <w:pPr>
        <w:pStyle w:val="2"/>
        <w:rPr>
          <w:rFonts w:hint="eastAsia"/>
        </w:rPr>
      </w:pP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4.9工料机汇总表</w:t>
      </w:r>
    </w:p>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工料机汇总表</w:t>
      </w:r>
    </w:p>
    <w:p>
      <w:pPr>
        <w:spacing w:line="360" w:lineRule="auto"/>
        <w:rPr>
          <w:rFonts w:hint="eastAsia" w:ascii="宋体" w:hAnsi="宋体" w:eastAsia="宋体" w:cs="宋体"/>
          <w:color w:val="000000"/>
          <w:szCs w:val="21"/>
        </w:rPr>
      </w:pPr>
      <w:r>
        <w:rPr>
          <w:rFonts w:hint="eastAsia" w:ascii="宋体" w:hAnsi="宋体" w:eastAsia="宋体" w:cs="宋体"/>
          <w:color w:val="000000"/>
          <w:szCs w:val="21"/>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tblPrEx>
          <w:tblLayout w:type="fixed"/>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144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工料机</w:t>
            </w:r>
          </w:p>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编码</w:t>
            </w:r>
          </w:p>
        </w:tc>
        <w:tc>
          <w:tcPr>
            <w:tcW w:w="252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名称、规格、型号</w:t>
            </w:r>
          </w:p>
        </w:tc>
        <w:tc>
          <w:tcPr>
            <w:tcW w:w="72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单位</w:t>
            </w:r>
          </w:p>
        </w:tc>
        <w:tc>
          <w:tcPr>
            <w:tcW w:w="90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数量</w:t>
            </w:r>
          </w:p>
        </w:tc>
        <w:tc>
          <w:tcPr>
            <w:tcW w:w="108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单价</w:t>
            </w:r>
          </w:p>
        </w:tc>
        <w:tc>
          <w:tcPr>
            <w:tcW w:w="900" w:type="dxa"/>
            <w:tcBorders>
              <w:top w:val="single" w:color="auto" w:sz="8" w:space="0"/>
              <w:left w:val="nil"/>
              <w:bottom w:val="single" w:color="000000" w:sz="4" w:space="0"/>
              <w:right w:val="single" w:color="000000" w:sz="4" w:space="0"/>
            </w:tcBorders>
            <w:vAlign w:val="center"/>
          </w:tcPr>
          <w:p>
            <w:pPr>
              <w:widowControl/>
              <w:spacing w:line="360" w:lineRule="auto"/>
              <w:ind w:left="-107" w:leftChars="-51" w:right="-107" w:rightChars="-51" w:firstLine="126" w:firstLineChars="60"/>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合价</w:t>
            </w:r>
          </w:p>
        </w:tc>
        <w:tc>
          <w:tcPr>
            <w:tcW w:w="900" w:type="dxa"/>
            <w:tcBorders>
              <w:top w:val="single" w:color="auto" w:sz="8"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备注</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auto"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auto"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auto"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auto"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auto"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lef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其中：人工费合计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材料费合计</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000000" w:sz="4" w:space="0"/>
              <w:right w:val="single" w:color="000000" w:sz="4" w:space="0"/>
            </w:tcBorders>
            <w:vAlign w:val="center"/>
          </w:tcPr>
          <w:p>
            <w:pPr>
              <w:widowControl/>
              <w:spacing w:line="360" w:lineRule="auto"/>
              <w:ind w:firstLine="630" w:firstLineChars="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其中：暂估材料费</w:t>
            </w:r>
          </w:p>
        </w:tc>
        <w:tc>
          <w:tcPr>
            <w:tcW w:w="72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r>
        <w:tblPrEx>
          <w:tblLayout w:type="fixed"/>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144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p>
        </w:tc>
        <w:tc>
          <w:tcPr>
            <w:tcW w:w="2520" w:type="dxa"/>
            <w:tcBorders>
              <w:top w:val="single" w:color="000000" w:sz="4" w:space="0"/>
              <w:left w:val="nil"/>
              <w:bottom w:val="single" w:color="auto" w:sz="8" w:space="0"/>
              <w:right w:val="single" w:color="000000" w:sz="4" w:space="0"/>
            </w:tcBorders>
            <w:vAlign w:val="center"/>
          </w:tcPr>
          <w:p>
            <w:pPr>
              <w:widowControl/>
              <w:spacing w:line="360" w:lineRule="auto"/>
              <w:ind w:firstLine="630" w:firstLineChars="300"/>
              <w:jc w:val="left"/>
              <w:rPr>
                <w:rFonts w:hint="eastAsia" w:ascii="宋体" w:hAnsi="宋体" w:eastAsia="宋体" w:cs="宋体"/>
                <w:color w:val="000000"/>
                <w:kern w:val="0"/>
                <w:szCs w:val="21"/>
              </w:rPr>
            </w:pPr>
            <w:r>
              <w:rPr>
                <w:rFonts w:hint="eastAsia" w:ascii="宋体" w:hAnsi="宋体" w:eastAsia="宋体" w:cs="宋体"/>
                <w:color w:val="000000"/>
                <w:kern w:val="0"/>
                <w:szCs w:val="21"/>
              </w:rPr>
              <w:t>机械费合计</w:t>
            </w:r>
          </w:p>
        </w:tc>
        <w:tc>
          <w:tcPr>
            <w:tcW w:w="72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1080" w:type="dxa"/>
            <w:tcBorders>
              <w:top w:val="single" w:color="000000" w:sz="4" w:space="0"/>
              <w:left w:val="nil"/>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c>
          <w:tcPr>
            <w:tcW w:w="900" w:type="dxa"/>
            <w:tcBorders>
              <w:top w:val="single" w:color="000000" w:sz="4" w:space="0"/>
              <w:left w:val="nil"/>
              <w:bottom w:val="single" w:color="auto" w:sz="8" w:space="0"/>
              <w:right w:val="single" w:color="000000" w:sz="4" w:space="0"/>
            </w:tcBorders>
            <w:vAlign w:val="center"/>
          </w:tcPr>
          <w:p>
            <w:pPr>
              <w:widowControl/>
              <w:spacing w:line="360" w:lineRule="auto"/>
              <w:jc w:val="left"/>
              <w:rPr>
                <w:rFonts w:hint="eastAsia" w:ascii="宋体" w:hAnsi="宋体" w:eastAsia="宋体" w:cs="宋体"/>
                <w:color w:val="000000"/>
                <w:kern w:val="0"/>
                <w:szCs w:val="21"/>
              </w:rPr>
            </w:pPr>
          </w:p>
        </w:tc>
        <w:tc>
          <w:tcPr>
            <w:tcW w:w="900" w:type="dxa"/>
            <w:tcBorders>
              <w:top w:val="single" w:color="000000" w:sz="4" w:space="0"/>
              <w:left w:val="nil"/>
              <w:bottom w:val="single" w:color="auto" w:sz="8"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p>
        </w:tc>
      </w:tr>
    </w:tbl>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注：1.暂估价的材料，在备注栏内标注“暂估价”。</w:t>
      </w:r>
    </w:p>
    <w:p>
      <w:pPr>
        <w:spacing w:line="360" w:lineRule="auto"/>
        <w:rPr>
          <w:rFonts w:hint="eastAsia" w:ascii="宋体" w:hAnsi="宋体" w:eastAsia="宋体" w:cs="宋体"/>
          <w:color w:val="000000"/>
          <w:szCs w:val="21"/>
        </w:rPr>
      </w:pPr>
      <w:r>
        <w:rPr>
          <w:rFonts w:hint="eastAsia" w:ascii="宋体" w:hAnsi="宋体" w:eastAsia="宋体" w:cs="宋体"/>
          <w:color w:val="000000"/>
          <w:sz w:val="24"/>
        </w:rPr>
        <w:t xml:space="preserve">      </w:t>
      </w:r>
      <w:r>
        <w:rPr>
          <w:rFonts w:hint="eastAsia" w:ascii="宋体" w:hAnsi="宋体" w:eastAsia="宋体" w:cs="宋体"/>
          <w:color w:val="000000"/>
          <w:szCs w:val="21"/>
        </w:rPr>
        <w:t xml:space="preserve"> 2.除暂估材料的单价外，本表中各项内容均应根据供应商的自主报价汇总而成。</w:t>
      </w:r>
    </w:p>
    <w:p>
      <w:pPr>
        <w:spacing w:line="360" w:lineRule="auto"/>
        <w:rPr>
          <w:rFonts w:hint="eastAsia" w:ascii="宋体" w:hAnsi="宋体" w:eastAsia="宋体" w:cs="宋体"/>
          <w:color w:val="000000"/>
          <w:szCs w:val="21"/>
        </w:rPr>
      </w:pPr>
    </w:p>
    <w:p>
      <w:pPr>
        <w:spacing w:line="360" w:lineRule="auto"/>
        <w:rPr>
          <w:rFonts w:hint="eastAsia" w:ascii="宋体" w:hAnsi="宋体" w:eastAsia="宋体" w:cs="宋体"/>
          <w:color w:val="000000"/>
          <w:sz w:val="24"/>
        </w:rPr>
      </w:pPr>
      <w:r>
        <w:rPr>
          <w:rFonts w:hint="eastAsia" w:ascii="宋体" w:hAnsi="宋体" w:eastAsia="宋体" w:cs="宋体"/>
          <w:color w:val="000000"/>
          <w:szCs w:val="21"/>
        </w:rPr>
        <w:br w:type="page"/>
      </w:r>
      <w:r>
        <w:rPr>
          <w:rFonts w:hint="eastAsia" w:ascii="宋体" w:hAnsi="宋体" w:eastAsia="宋体" w:cs="宋体"/>
          <w:color w:val="000000"/>
          <w:sz w:val="24"/>
        </w:rPr>
        <w:t>4.10措施项目清单计价汇总表</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8"/>
          <w:szCs w:val="28"/>
        </w:rPr>
        <w:t>措施项目清单计价汇总表</w:t>
      </w:r>
    </w:p>
    <w:p>
      <w:pPr>
        <w:spacing w:line="360" w:lineRule="auto"/>
        <w:rPr>
          <w:rFonts w:hint="eastAsia" w:ascii="宋体" w:hAnsi="宋体" w:eastAsia="宋体" w:cs="宋体"/>
          <w:color w:val="000000"/>
        </w:rPr>
      </w:pPr>
      <w:r>
        <w:rPr>
          <w:rFonts w:hint="eastAsia" w:ascii="宋体" w:hAnsi="宋体" w:eastAsia="宋体" w:cs="宋体"/>
          <w:color w:val="000000"/>
        </w:rPr>
        <w:t>工程名称 ：                        标段：                         第   页   共   页</w:t>
      </w:r>
    </w:p>
    <w:tbl>
      <w:tblPr>
        <w:tblStyle w:val="12"/>
        <w:tblW w:w="9000" w:type="dxa"/>
        <w:tblInd w:w="108" w:type="dxa"/>
        <w:tblLayout w:type="fixed"/>
        <w:tblCellMar>
          <w:top w:w="0" w:type="dxa"/>
          <w:left w:w="108" w:type="dxa"/>
          <w:bottom w:w="0" w:type="dxa"/>
          <w:right w:w="108" w:type="dxa"/>
        </w:tblCellMar>
      </w:tblPr>
      <w:tblGrid>
        <w:gridCol w:w="900"/>
        <w:gridCol w:w="5400"/>
        <w:gridCol w:w="2700"/>
      </w:tblGrid>
      <w:tr>
        <w:tblPrEx>
          <w:tblLayout w:type="fixed"/>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序号</w:t>
            </w:r>
          </w:p>
        </w:tc>
        <w:tc>
          <w:tcPr>
            <w:tcW w:w="5400" w:type="dxa"/>
            <w:tcBorders>
              <w:top w:val="single" w:color="auto" w:sz="8" w:space="0"/>
              <w:left w:val="nil"/>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700" w:type="dxa"/>
            <w:tcBorders>
              <w:top w:val="single" w:color="auto" w:sz="8" w:space="0"/>
              <w:left w:val="nil"/>
              <w:bottom w:val="single" w:color="000000" w:sz="4" w:space="0"/>
              <w:right w:val="single" w:color="auto" w:sz="8"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金额（元）</w:t>
            </w: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54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kern w:val="0"/>
                <w:szCs w:val="21"/>
              </w:rPr>
              <w:t>单价措施费</w:t>
            </w: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2</w:t>
            </w:r>
          </w:p>
        </w:tc>
        <w:tc>
          <w:tcPr>
            <w:tcW w:w="54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color w:val="000000"/>
                <w:kern w:val="0"/>
                <w:szCs w:val="21"/>
              </w:rPr>
            </w:pPr>
            <w:r>
              <w:rPr>
                <w:rFonts w:hint="eastAsia" w:ascii="宋体" w:hAnsi="宋体" w:eastAsia="宋体" w:cs="宋体"/>
                <w:kern w:val="0"/>
                <w:szCs w:val="21"/>
              </w:rPr>
              <w:t>总价措施费</w:t>
            </w: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Cs w:val="21"/>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vAlign w:val="center"/>
          </w:tcPr>
          <w:p>
            <w:pPr>
              <w:widowControl/>
              <w:spacing w:line="360" w:lineRule="auto"/>
              <w:jc w:val="center"/>
              <w:rPr>
                <w:rFonts w:hint="eastAsia" w:ascii="宋体" w:hAnsi="宋体" w:eastAsia="宋体" w:cs="宋体"/>
                <w:color w:val="000000"/>
                <w:kern w:val="0"/>
                <w:sz w:val="18"/>
                <w:szCs w:val="18"/>
              </w:rPr>
            </w:pPr>
          </w:p>
        </w:tc>
        <w:tc>
          <w:tcPr>
            <w:tcW w:w="5400" w:type="dxa"/>
            <w:tcBorders>
              <w:top w:val="nil"/>
              <w:left w:val="nil"/>
              <w:bottom w:val="single" w:color="000000" w:sz="4" w:space="0"/>
              <w:right w:val="single" w:color="000000" w:sz="4" w:space="0"/>
            </w:tcBorders>
            <w:vAlign w:val="center"/>
          </w:tcPr>
          <w:p>
            <w:pPr>
              <w:widowControl/>
              <w:spacing w:line="360" w:lineRule="auto"/>
              <w:jc w:val="left"/>
              <w:rPr>
                <w:rFonts w:hint="eastAsia" w:ascii="宋体" w:hAnsi="宋体" w:eastAsia="宋体" w:cs="宋体"/>
                <w:color w:val="000000"/>
                <w:kern w:val="0"/>
                <w:sz w:val="18"/>
                <w:szCs w:val="18"/>
              </w:rPr>
            </w:pPr>
          </w:p>
        </w:tc>
        <w:tc>
          <w:tcPr>
            <w:tcW w:w="2700" w:type="dxa"/>
            <w:tcBorders>
              <w:top w:val="nil"/>
              <w:left w:val="nil"/>
              <w:bottom w:val="single" w:color="000000" w:sz="4"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r>
        <w:tblPrEx>
          <w:tblLayout w:type="fixed"/>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vAlign w:val="center"/>
          </w:tcPr>
          <w:p>
            <w:pPr>
              <w:widowControl/>
              <w:spacing w:line="360" w:lineRule="auto"/>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合  计</w:t>
            </w:r>
          </w:p>
        </w:tc>
        <w:tc>
          <w:tcPr>
            <w:tcW w:w="2700" w:type="dxa"/>
            <w:tcBorders>
              <w:top w:val="single" w:color="000000" w:sz="4" w:space="0"/>
              <w:left w:val="nil"/>
              <w:bottom w:val="single" w:color="auto" w:sz="8" w:space="0"/>
              <w:right w:val="single" w:color="auto" w:sz="8" w:space="0"/>
            </w:tcBorders>
            <w:vAlign w:val="center"/>
          </w:tcPr>
          <w:p>
            <w:pPr>
              <w:widowControl/>
              <w:spacing w:line="360" w:lineRule="auto"/>
              <w:jc w:val="right"/>
              <w:rPr>
                <w:rFonts w:hint="eastAsia" w:ascii="宋体" w:hAnsi="宋体" w:eastAsia="宋体" w:cs="宋体"/>
                <w:color w:val="000000"/>
                <w:kern w:val="0"/>
                <w:sz w:val="18"/>
                <w:szCs w:val="18"/>
              </w:rPr>
            </w:pPr>
          </w:p>
        </w:tc>
      </w:tr>
    </w:tbl>
    <w:p>
      <w:pPr>
        <w:rPr>
          <w:rFonts w:hint="eastAsia" w:ascii="宋体" w:hAnsi="宋体" w:eastAsia="宋体" w:cs="宋体"/>
          <w:sz w:val="24"/>
        </w:rPr>
      </w:pPr>
      <w:r>
        <w:rPr>
          <w:rFonts w:hint="eastAsia" w:ascii="宋体" w:hAnsi="宋体" w:eastAsia="宋体" w:cs="宋体"/>
          <w:color w:val="000000"/>
          <w:sz w:val="24"/>
        </w:rPr>
        <w:br w:type="page"/>
      </w:r>
      <w:r>
        <w:rPr>
          <w:rFonts w:hint="eastAsia" w:ascii="宋体" w:hAnsi="宋体" w:eastAsia="宋体" w:cs="宋体"/>
          <w:sz w:val="24"/>
        </w:rPr>
        <w:t>4.10-1总价措施项目清单与计价表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总价措施项目清单与计价表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76"/>
        <w:gridCol w:w="3384"/>
        <w:gridCol w:w="1440"/>
        <w:gridCol w:w="1080"/>
        <w:gridCol w:w="1469"/>
        <w:gridCol w:w="1231"/>
      </w:tblGrid>
      <w:tr>
        <w:tblPrEx>
          <w:tblLayout w:type="fixed"/>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384"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tc>
        <w:tc>
          <w:tcPr>
            <w:tcW w:w="144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计算基础</w:t>
            </w:r>
          </w:p>
        </w:tc>
        <w:tc>
          <w:tcPr>
            <w:tcW w:w="108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费 率（%）</w:t>
            </w:r>
          </w:p>
        </w:tc>
        <w:tc>
          <w:tcPr>
            <w:tcW w:w="1469" w:type="dxa"/>
            <w:tcBorders>
              <w:top w:val="single" w:color="auto" w:sz="8" w:space="0"/>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c>
          <w:tcPr>
            <w:tcW w:w="1231" w:type="dxa"/>
            <w:tcBorders>
              <w:top w:val="single" w:color="auto" w:sz="8" w:space="0"/>
              <w:left w:val="single" w:color="auto" w:sz="4" w:space="0"/>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备注</w:t>
            </w: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950"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b/>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38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8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469"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1469" w:type="dxa"/>
            <w:tcBorders>
              <w:top w:val="nil"/>
              <w:left w:val="nil"/>
              <w:bottom w:val="single" w:color="auto" w:sz="8"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1231" w:type="dxa"/>
            <w:tcBorders>
              <w:top w:val="nil"/>
              <w:left w:val="single" w:color="auto" w:sz="4" w:space="0"/>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bl>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注：1、本表适用于以“项”计价的措施费。</w:t>
      </w:r>
    </w:p>
    <w:p>
      <w:pPr>
        <w:spacing w:line="360" w:lineRule="exact"/>
        <w:ind w:firstLine="840" w:firstLineChars="400"/>
        <w:rPr>
          <w:rFonts w:hint="eastAsia" w:ascii="宋体" w:hAnsi="宋体" w:eastAsia="宋体" w:cs="宋体"/>
          <w:szCs w:val="21"/>
        </w:rPr>
      </w:pPr>
      <w:r>
        <w:rPr>
          <w:rFonts w:hint="eastAsia" w:ascii="宋体" w:hAnsi="宋体" w:eastAsia="宋体" w:cs="宋体"/>
          <w:szCs w:val="21"/>
        </w:rPr>
        <w:t>2、表中各项费率，投标人可自主填报。若有填报为零的措施项目，投标人应说明缘由。</w:t>
      </w:r>
    </w:p>
    <w:p>
      <w:pPr>
        <w:spacing w:line="360" w:lineRule="exact"/>
        <w:ind w:left="420" w:leftChars="200" w:firstLine="420" w:firstLineChars="200"/>
        <w:rPr>
          <w:rFonts w:hint="eastAsia" w:ascii="宋体" w:hAnsi="宋体" w:eastAsia="宋体" w:cs="宋体"/>
        </w:rPr>
      </w:pPr>
      <w:r>
        <w:rPr>
          <w:rFonts w:hint="eastAsia" w:ascii="宋体" w:hAnsi="宋体" w:eastAsia="宋体" w:cs="宋体"/>
          <w:szCs w:val="21"/>
        </w:rPr>
        <w:t>3、按施工方案计算的措施费，若无“计算基础”和“费率”的数值，也可只填“金额”数值，但应在备注栏内注明施工方案出处（或计算办法）。</w:t>
      </w:r>
    </w:p>
    <w:p>
      <w:pPr>
        <w:rPr>
          <w:rFonts w:hint="eastAsia" w:ascii="宋体" w:hAnsi="宋体" w:eastAsia="宋体" w:cs="宋体"/>
          <w:sz w:val="24"/>
        </w:rPr>
      </w:pPr>
      <w:r>
        <w:rPr>
          <w:rFonts w:hint="eastAsia" w:ascii="宋体" w:hAnsi="宋体" w:eastAsia="宋体" w:cs="宋体"/>
          <w:sz w:val="24"/>
        </w:rPr>
        <w:t>.</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10-2单价措施项目清单与计价表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单价措施项目清单与计价表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tblPrEx>
          <w:tblLayout w:type="fixed"/>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1440"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项目编码</w:t>
            </w:r>
          </w:p>
        </w:tc>
        <w:tc>
          <w:tcPr>
            <w:tcW w:w="2916"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项目特征</w:t>
            </w:r>
          </w:p>
        </w:tc>
        <w:tc>
          <w:tcPr>
            <w:tcW w:w="754"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计量</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794" w:type="dxa"/>
            <w:vMerge w:val="restart"/>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工程</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数量</w:t>
            </w:r>
          </w:p>
        </w:tc>
        <w:tc>
          <w:tcPr>
            <w:tcW w:w="2736" w:type="dxa"/>
            <w:gridSpan w:val="3"/>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r>
      <w:tr>
        <w:tblPrEx>
          <w:tblLayout w:type="fixed"/>
          <w:tblCellMar>
            <w:top w:w="0" w:type="dxa"/>
            <w:left w:w="108" w:type="dxa"/>
            <w:bottom w:w="0" w:type="dxa"/>
            <w:right w:w="108" w:type="dxa"/>
          </w:tblCellMar>
        </w:tblPrEx>
        <w:trPr>
          <w:cantSplit/>
          <w:trHeight w:val="525" w:hRule="atLeast"/>
        </w:trPr>
        <w:tc>
          <w:tcPr>
            <w:tcW w:w="540" w:type="dxa"/>
            <w:vMerge w:val="continue"/>
            <w:tcBorders>
              <w:top w:val="single" w:color="auto" w:sz="8" w:space="0"/>
              <w:left w:val="single" w:color="auto" w:sz="8" w:space="0"/>
              <w:bottom w:val="single" w:color="000000" w:sz="4" w:space="0"/>
              <w:right w:val="single" w:color="000000" w:sz="4" w:space="0"/>
            </w:tcBorders>
            <w:vAlign w:val="center"/>
          </w:tcPr>
          <w:p>
            <w:pPr>
              <w:rPr>
                <w:rFonts w:hint="eastAsia" w:ascii="宋体" w:hAnsi="宋体" w:eastAsia="宋体" w:cs="宋体"/>
                <w:sz w:val="20"/>
                <w:szCs w:val="20"/>
              </w:rPr>
            </w:pPr>
          </w:p>
        </w:tc>
        <w:tc>
          <w:tcPr>
            <w:tcW w:w="1440"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2916"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54"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794" w:type="dxa"/>
            <w:vMerge w:val="continue"/>
            <w:tcBorders>
              <w:top w:val="single" w:color="auto" w:sz="8" w:space="0"/>
              <w:left w:val="single" w:color="000000" w:sz="4" w:space="0"/>
              <w:bottom w:val="single" w:color="000000" w:sz="4" w:space="0"/>
              <w:right w:val="single" w:color="000000" w:sz="4" w:space="0"/>
            </w:tcBorders>
            <w:vAlign w:val="center"/>
          </w:tcPr>
          <w:p>
            <w:pPr>
              <w:rPr>
                <w:rFonts w:hint="eastAsia" w:ascii="宋体" w:hAnsi="宋体" w:eastAsia="宋体" w:cs="宋体"/>
                <w:sz w:val="20"/>
                <w:szCs w:val="20"/>
              </w:rPr>
            </w:pPr>
          </w:p>
        </w:tc>
        <w:tc>
          <w:tcPr>
            <w:tcW w:w="9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综合</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单价</w:t>
            </w:r>
          </w:p>
        </w:tc>
        <w:tc>
          <w:tcPr>
            <w:tcW w:w="900" w:type="dxa"/>
            <w:tcBorders>
              <w:top w:val="nil"/>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合价</w:t>
            </w: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其中：</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暂估价</w:t>
            </w: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2916" w:type="dxa"/>
            <w:tcBorders>
              <w:top w:val="nil"/>
              <w:left w:val="single" w:color="auto" w:sz="4" w:space="0"/>
              <w:bottom w:val="single" w:color="000000" w:sz="4" w:space="0"/>
              <w:right w:val="single" w:color="auto" w:sz="4" w:space="0"/>
            </w:tcBorders>
            <w:vAlign w:val="center"/>
          </w:tcPr>
          <w:p>
            <w:pPr>
              <w:widowControl/>
              <w:spacing w:line="400" w:lineRule="exact"/>
              <w:jc w:val="left"/>
              <w:rPr>
                <w:rFonts w:hint="eastAsia" w:ascii="宋体" w:hAnsi="宋体" w:eastAsia="宋体" w:cs="宋体"/>
                <w:kern w:val="0"/>
                <w:szCs w:val="21"/>
              </w:rPr>
            </w:pPr>
          </w:p>
        </w:tc>
        <w:tc>
          <w:tcPr>
            <w:tcW w:w="754" w:type="dxa"/>
            <w:tcBorders>
              <w:top w:val="nil"/>
              <w:left w:val="single" w:color="auto" w:sz="4" w:space="0"/>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794" w:type="dxa"/>
            <w:tcBorders>
              <w:top w:val="nil"/>
              <w:left w:val="single" w:color="auto" w:sz="4" w:space="0"/>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single" w:color="auto" w:sz="4" w:space="0"/>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900" w:type="dxa"/>
            <w:tcBorders>
              <w:top w:val="nil"/>
              <w:left w:val="nil"/>
              <w:bottom w:val="single" w:color="000000" w:sz="4"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900" w:type="dxa"/>
            <w:tcBorders>
              <w:top w:val="nil"/>
              <w:left w:val="nil"/>
              <w:bottom w:val="single" w:color="auto" w:sz="8" w:space="0"/>
              <w:right w:val="single" w:color="auto" w:sz="4" w:space="0"/>
            </w:tcBorders>
            <w:vAlign w:val="center"/>
          </w:tcPr>
          <w:p>
            <w:pPr>
              <w:widowControl/>
              <w:spacing w:line="400" w:lineRule="exact"/>
              <w:jc w:val="right"/>
              <w:rPr>
                <w:rFonts w:hint="eastAsia" w:ascii="宋体" w:hAnsi="宋体" w:eastAsia="宋体" w:cs="宋体"/>
                <w:kern w:val="0"/>
                <w:szCs w:val="21"/>
              </w:rPr>
            </w:pPr>
          </w:p>
        </w:tc>
        <w:tc>
          <w:tcPr>
            <w:tcW w:w="936" w:type="dxa"/>
            <w:tcBorders>
              <w:top w:val="nil"/>
              <w:left w:val="single" w:color="auto" w:sz="4" w:space="0"/>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bl>
    <w:p>
      <w:pPr>
        <w:spacing w:line="360" w:lineRule="exact"/>
        <w:ind w:firstLine="420" w:firstLineChars="200"/>
        <w:rPr>
          <w:rFonts w:hint="eastAsia" w:ascii="宋体" w:hAnsi="宋体" w:eastAsia="宋体" w:cs="宋体"/>
          <w:szCs w:val="21"/>
        </w:rPr>
      </w:pPr>
      <w:r>
        <w:rPr>
          <w:rFonts w:hint="eastAsia" w:ascii="宋体" w:hAnsi="宋体" w:eastAsia="宋体" w:cs="宋体"/>
          <w:szCs w:val="21"/>
        </w:rPr>
        <w:t>注：1、本表适用于以“综合单价”形式计价的措施项目。</w:t>
      </w:r>
    </w:p>
    <w:p>
      <w:pPr>
        <w:spacing w:before="120" w:beforeLines="50" w:line="360" w:lineRule="exact"/>
        <w:ind w:left="420" w:hanging="420" w:hangingChars="200"/>
        <w:rPr>
          <w:rFonts w:hint="eastAsia" w:ascii="宋体" w:hAnsi="宋体" w:eastAsia="宋体" w:cs="宋体"/>
          <w:sz w:val="24"/>
        </w:rPr>
      </w:pPr>
      <w:r>
        <w:rPr>
          <w:rFonts w:hint="eastAsia" w:ascii="宋体" w:hAnsi="宋体" w:eastAsia="宋体" w:cs="宋体"/>
          <w:kern w:val="0"/>
          <w:szCs w:val="21"/>
        </w:rPr>
        <w:t xml:space="preserve">       </w:t>
      </w:r>
      <w:r>
        <w:rPr>
          <w:rFonts w:hint="eastAsia" w:ascii="宋体" w:hAnsi="宋体" w:eastAsia="宋体" w:cs="宋体"/>
          <w:b/>
          <w:kern w:val="0"/>
          <w:szCs w:val="21"/>
        </w:rPr>
        <w:t xml:space="preserve"> 2、综合单价分析表使用同4.8工程量清单综合单价分析表，工料机汇总表使用同4.9工料机汇总表。</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4.11其他项目清单与计价汇总表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其他项目清单与计价汇总表</w:t>
      </w:r>
    </w:p>
    <w:p>
      <w:pPr>
        <w:ind w:firstLine="315" w:firstLineChars="150"/>
        <w:rPr>
          <w:rFonts w:hint="eastAsia" w:ascii="宋体" w:hAnsi="宋体" w:eastAsia="宋体" w:cs="宋体"/>
        </w:rPr>
      </w:pPr>
      <w:r>
        <w:rPr>
          <w:rFonts w:hint="eastAsia" w:ascii="宋体" w:hAnsi="宋体" w:eastAsia="宋体" w:cs="宋体"/>
        </w:rPr>
        <w:t>工程名称：                                                 第  页 共  页</w:t>
      </w:r>
    </w:p>
    <w:tbl>
      <w:tblPr>
        <w:tblStyle w:val="12"/>
        <w:tblW w:w="802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24"/>
        <w:gridCol w:w="1236"/>
        <w:gridCol w:w="1573"/>
        <w:gridCol w:w="6"/>
        <w:gridCol w:w="1568"/>
        <w:gridCol w:w="9"/>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2924"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项目名称</w:t>
            </w:r>
          </w:p>
        </w:tc>
        <w:tc>
          <w:tcPr>
            <w:tcW w:w="1236"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计算基础</w:t>
            </w:r>
          </w:p>
        </w:tc>
        <w:tc>
          <w:tcPr>
            <w:tcW w:w="1573"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金额(元)</w:t>
            </w:r>
          </w:p>
        </w:tc>
        <w:tc>
          <w:tcPr>
            <w:tcW w:w="1574" w:type="dxa"/>
            <w:gridSpan w:val="2"/>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1</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暂列金额</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2</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专业工程暂估价</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3</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特殊项目暂估价</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4</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计日工</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5</w:t>
            </w: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总承包服务费</w:t>
            </w: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明细详见</w:t>
            </w:r>
          </w:p>
          <w:p>
            <w:pPr>
              <w:jc w:val="center"/>
              <w:rPr>
                <w:rFonts w:hint="eastAsia" w:ascii="宋体" w:hAnsi="宋体" w:eastAsia="宋体" w:cs="宋体"/>
              </w:rPr>
            </w:pPr>
            <w:r>
              <w:rPr>
                <w:rFonts w:hint="eastAsia" w:ascii="宋体" w:hAnsi="宋体" w:eastAsia="宋体" w:cs="宋体"/>
              </w:rPr>
              <w:t>表4.11-5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5"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 w:type="dxa"/>
          <w:trHeight w:val="896" w:hRule="atLeast"/>
          <w:jc w:val="center"/>
        </w:trPr>
        <w:tc>
          <w:tcPr>
            <w:tcW w:w="710"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29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74" w:type="dxa"/>
            <w:gridSpan w:val="2"/>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4870" w:type="dxa"/>
            <w:gridSpan w:val="3"/>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1579" w:type="dxa"/>
            <w:gridSpan w:val="2"/>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rPr>
            </w:pPr>
          </w:p>
        </w:tc>
        <w:tc>
          <w:tcPr>
            <w:tcW w:w="1577" w:type="dxa"/>
            <w:gridSpan w:val="2"/>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r>
    </w:tbl>
    <w:p>
      <w:pPr>
        <w:spacing w:before="120" w:beforeLines="50"/>
        <w:rPr>
          <w:rFonts w:hint="eastAsia" w:ascii="宋体" w:hAnsi="宋体" w:eastAsia="宋体" w:cs="宋体"/>
        </w:rPr>
      </w:pPr>
    </w:p>
    <w:p>
      <w:pPr>
        <w:rPr>
          <w:rFonts w:hint="eastAsia" w:ascii="宋体" w:hAnsi="宋体" w:eastAsia="宋体" w:cs="宋体"/>
          <w:sz w:val="24"/>
        </w:rPr>
      </w:pPr>
    </w:p>
    <w:p>
      <w:pPr>
        <w:spacing w:line="360" w:lineRule="auto"/>
        <w:rPr>
          <w:rFonts w:hint="eastAsia" w:ascii="宋体" w:hAnsi="宋体" w:eastAsia="宋体" w:cs="宋体"/>
          <w:color w:val="000000"/>
        </w:rPr>
      </w:pP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4.11-1暂列金额明细表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暂列金额明细表</w:t>
      </w:r>
    </w:p>
    <w:p>
      <w:pPr>
        <w:ind w:firstLine="315" w:firstLineChars="150"/>
        <w:rPr>
          <w:rFonts w:hint="eastAsia" w:ascii="宋体" w:hAnsi="宋体" w:eastAsia="宋体" w:cs="宋体"/>
        </w:rPr>
      </w:pPr>
      <w:r>
        <w:rPr>
          <w:rFonts w:hint="eastAsia" w:ascii="宋体" w:hAnsi="宋体" w:eastAsia="宋体" w:cs="宋体"/>
        </w:rPr>
        <w:t>工程名称：                                                     第  页  共  页</w:t>
      </w:r>
    </w:p>
    <w:tbl>
      <w:tblPr>
        <w:tblStyle w:val="12"/>
        <w:tblW w:w="8469"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序号</w:t>
            </w:r>
          </w:p>
        </w:tc>
        <w:tc>
          <w:tcPr>
            <w:tcW w:w="3069"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项目名称</w:t>
            </w:r>
          </w:p>
        </w:tc>
        <w:tc>
          <w:tcPr>
            <w:tcW w:w="1527"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计量单位</w:t>
            </w:r>
          </w:p>
        </w:tc>
        <w:tc>
          <w:tcPr>
            <w:tcW w:w="1527" w:type="dxa"/>
            <w:tcBorders>
              <w:top w:val="single" w:color="auto" w:sz="6"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暂列金额</w:t>
            </w:r>
          </w:p>
          <w:p>
            <w:pPr>
              <w:jc w:val="center"/>
              <w:rPr>
                <w:rFonts w:hint="eastAsia" w:ascii="宋体" w:hAnsi="宋体" w:eastAsia="宋体" w:cs="宋体"/>
              </w:rPr>
            </w:pPr>
            <w:r>
              <w:rPr>
                <w:rFonts w:hint="eastAsia" w:ascii="宋体" w:hAnsi="宋体" w:eastAsia="宋体" w:cs="宋体"/>
              </w:rPr>
              <w:t>(元)</w:t>
            </w:r>
          </w:p>
        </w:tc>
        <w:tc>
          <w:tcPr>
            <w:tcW w:w="1527" w:type="dxa"/>
            <w:tcBorders>
              <w:top w:val="single" w:color="auto" w:sz="6"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6"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819" w:type="dxa"/>
            <w:tcBorders>
              <w:top w:val="single" w:color="auto" w:sz="4" w:space="0"/>
              <w:left w:val="single" w:color="auto" w:sz="6" w:space="0"/>
              <w:bottom w:val="single" w:color="auto" w:sz="4" w:space="0"/>
              <w:right w:val="single" w:color="auto" w:sz="4" w:space="0"/>
            </w:tcBorders>
            <w:vAlign w:val="center"/>
          </w:tcPr>
          <w:p>
            <w:pPr>
              <w:jc w:val="center"/>
              <w:rPr>
                <w:rFonts w:hint="eastAsia" w:ascii="宋体" w:hAnsi="宋体" w:eastAsia="宋体" w:cs="宋体"/>
              </w:rPr>
            </w:pPr>
          </w:p>
        </w:tc>
        <w:tc>
          <w:tcPr>
            <w:tcW w:w="30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4" w:space="0"/>
              <w:right w:val="single" w:color="auto" w:sz="6" w:space="0"/>
            </w:tcBorders>
            <w:vAlign w:val="center"/>
          </w:tcPr>
          <w:p>
            <w:pPr>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jc w:val="center"/>
        </w:trPr>
        <w:tc>
          <w:tcPr>
            <w:tcW w:w="5415" w:type="dxa"/>
            <w:gridSpan w:val="3"/>
            <w:tcBorders>
              <w:top w:val="single" w:color="auto" w:sz="4" w:space="0"/>
              <w:left w:val="single" w:color="auto" w:sz="6" w:space="0"/>
              <w:bottom w:val="single" w:color="auto" w:sz="6"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合计</w:t>
            </w:r>
          </w:p>
        </w:tc>
        <w:tc>
          <w:tcPr>
            <w:tcW w:w="1527" w:type="dxa"/>
            <w:tcBorders>
              <w:top w:val="single" w:color="auto" w:sz="4" w:space="0"/>
              <w:left w:val="single" w:color="auto" w:sz="4" w:space="0"/>
              <w:bottom w:val="single" w:color="auto" w:sz="6" w:space="0"/>
              <w:right w:val="single" w:color="auto" w:sz="4" w:space="0"/>
            </w:tcBorders>
            <w:vAlign w:val="center"/>
          </w:tcPr>
          <w:p>
            <w:pPr>
              <w:jc w:val="center"/>
              <w:rPr>
                <w:rFonts w:hint="eastAsia" w:ascii="宋体" w:hAnsi="宋体" w:eastAsia="宋体" w:cs="宋体"/>
              </w:rPr>
            </w:pPr>
          </w:p>
        </w:tc>
        <w:tc>
          <w:tcPr>
            <w:tcW w:w="1527" w:type="dxa"/>
            <w:tcBorders>
              <w:top w:val="single" w:color="auto" w:sz="4" w:space="0"/>
              <w:left w:val="single" w:color="auto" w:sz="4" w:space="0"/>
              <w:bottom w:val="single" w:color="auto" w:sz="6" w:space="0"/>
              <w:right w:val="single" w:color="auto" w:sz="6" w:space="0"/>
            </w:tcBorders>
            <w:vAlign w:val="center"/>
          </w:tcPr>
          <w:p>
            <w:pPr>
              <w:jc w:val="center"/>
              <w:rPr>
                <w:rFonts w:hint="eastAsia" w:ascii="宋体" w:hAnsi="宋体" w:eastAsia="宋体" w:cs="宋体"/>
              </w:rPr>
            </w:pPr>
            <w:r>
              <w:rPr>
                <w:rFonts w:hint="eastAsia" w:ascii="宋体" w:hAnsi="宋体" w:eastAsia="宋体" w:cs="宋体"/>
              </w:rPr>
              <w:t>—</w:t>
            </w:r>
          </w:p>
        </w:tc>
      </w:tr>
    </w:tbl>
    <w:p>
      <w:pPr>
        <w:spacing w:before="120" w:beforeLines="50"/>
        <w:ind w:firstLine="315" w:firstLineChars="150"/>
        <w:rPr>
          <w:rFonts w:hint="eastAsia" w:ascii="宋体" w:hAnsi="宋体" w:eastAsia="宋体" w:cs="宋体"/>
          <w:szCs w:val="21"/>
        </w:rPr>
      </w:pPr>
      <w:r>
        <w:rPr>
          <w:rFonts w:hint="eastAsia" w:ascii="宋体" w:hAnsi="宋体" w:eastAsia="宋体" w:cs="宋体"/>
          <w:kern w:val="0"/>
          <w:szCs w:val="21"/>
        </w:rPr>
        <w:t>注：投标报价文件中该表应同招标人在工程量清单中提供的该表内容完全一致。</w:t>
      </w:r>
    </w:p>
    <w:p>
      <w:pPr>
        <w:spacing w:before="120" w:beforeLines="50"/>
        <w:rPr>
          <w:rFonts w:hint="eastAsia" w:ascii="宋体" w:hAnsi="宋体" w:eastAsia="宋体" w:cs="宋体"/>
        </w:rPr>
      </w:pPr>
    </w:p>
    <w:p>
      <w:pPr>
        <w:spacing w:before="120" w:beforeLines="50"/>
        <w:rPr>
          <w:rFonts w:hint="eastAsia" w:ascii="宋体" w:hAnsi="宋体" w:eastAsia="宋体" w:cs="宋体"/>
        </w:rPr>
      </w:pPr>
    </w:p>
    <w:p>
      <w:pPr>
        <w:spacing w:before="120" w:beforeLines="50"/>
        <w:rPr>
          <w:rFonts w:hint="eastAsia" w:ascii="宋体" w:hAnsi="宋体" w:eastAsia="宋体" w:cs="宋体"/>
        </w:rPr>
      </w:pPr>
    </w:p>
    <w:p>
      <w:pPr>
        <w:rPr>
          <w:rFonts w:hint="eastAsia" w:ascii="宋体" w:hAnsi="宋体" w:eastAsia="宋体" w:cs="宋体"/>
          <w:sz w:val="24"/>
        </w:rPr>
      </w:pPr>
      <w:r>
        <w:rPr>
          <w:rFonts w:hint="eastAsia" w:ascii="宋体" w:hAnsi="宋体" w:eastAsia="宋体" w:cs="宋体"/>
          <w:color w:val="000000"/>
        </w:rPr>
        <w:br w:type="page"/>
      </w:r>
      <w:r>
        <w:rPr>
          <w:rFonts w:hint="eastAsia" w:ascii="宋体" w:hAnsi="宋体" w:eastAsia="宋体" w:cs="宋体"/>
          <w:sz w:val="24"/>
        </w:rPr>
        <w:t>4.11-2材料暂估价一览表</w:t>
      </w:r>
    </w:p>
    <w:p>
      <w:pPr>
        <w:jc w:val="center"/>
        <w:rPr>
          <w:rFonts w:hint="eastAsia" w:ascii="宋体" w:hAnsi="宋体" w:eastAsia="宋体" w:cs="宋体"/>
          <w:sz w:val="24"/>
        </w:rPr>
      </w:pPr>
      <w:r>
        <w:rPr>
          <w:rFonts w:hint="eastAsia" w:ascii="宋体" w:hAnsi="宋体" w:eastAsia="宋体" w:cs="宋体"/>
          <w:sz w:val="28"/>
          <w:szCs w:val="28"/>
        </w:rPr>
        <w:t>材料暂估价一览表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000" w:type="dxa"/>
        <w:tblInd w:w="108" w:type="dxa"/>
        <w:tblLayout w:type="fixed"/>
        <w:tblCellMar>
          <w:top w:w="0" w:type="dxa"/>
          <w:left w:w="108" w:type="dxa"/>
          <w:bottom w:w="0" w:type="dxa"/>
          <w:right w:w="108" w:type="dxa"/>
        </w:tblCellMar>
      </w:tblPr>
      <w:tblGrid>
        <w:gridCol w:w="720"/>
        <w:gridCol w:w="3600"/>
        <w:gridCol w:w="1080"/>
        <w:gridCol w:w="900"/>
        <w:gridCol w:w="2700"/>
      </w:tblGrid>
      <w:tr>
        <w:tblPrEx>
          <w:tblLayout w:type="fixed"/>
          <w:tblCellMar>
            <w:top w:w="0" w:type="dxa"/>
            <w:left w:w="108" w:type="dxa"/>
            <w:bottom w:w="0" w:type="dxa"/>
            <w:right w:w="108" w:type="dxa"/>
          </w:tblCellMar>
        </w:tblPrEx>
        <w:trPr>
          <w:trHeight w:val="830" w:hRule="atLeast"/>
        </w:trPr>
        <w:tc>
          <w:tcPr>
            <w:tcW w:w="72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60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材料名称、规格、型号</w:t>
            </w:r>
          </w:p>
        </w:tc>
        <w:tc>
          <w:tcPr>
            <w:tcW w:w="108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计量单位</w:t>
            </w:r>
          </w:p>
        </w:tc>
        <w:tc>
          <w:tcPr>
            <w:tcW w:w="900" w:type="dxa"/>
            <w:tcBorders>
              <w:top w:val="single" w:color="auto" w:sz="8" w:space="0"/>
              <w:left w:val="single" w:color="000000"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单价</w:t>
            </w:r>
          </w:p>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（元）</w:t>
            </w:r>
          </w:p>
        </w:tc>
        <w:tc>
          <w:tcPr>
            <w:tcW w:w="2700" w:type="dxa"/>
            <w:tcBorders>
              <w:top w:val="single" w:color="auto" w:sz="8" w:space="0"/>
              <w:left w:val="single" w:color="000000" w:sz="4" w:space="0"/>
              <w:bottom w:val="single" w:color="000000" w:sz="4" w:space="0"/>
              <w:right w:val="single" w:color="auto" w:sz="8" w:space="0"/>
            </w:tcBorders>
            <w:vAlign w:val="center"/>
          </w:tcPr>
          <w:p>
            <w:pPr>
              <w:spacing w:line="400" w:lineRule="exact"/>
              <w:jc w:val="center"/>
              <w:rPr>
                <w:rFonts w:hint="eastAsia" w:ascii="宋体" w:hAnsi="宋体" w:eastAsia="宋体" w:cs="宋体"/>
                <w:w w:val="90"/>
                <w:kern w:val="0"/>
                <w:szCs w:val="21"/>
              </w:rPr>
            </w:pPr>
            <w:r>
              <w:rPr>
                <w:rFonts w:hint="eastAsia" w:ascii="宋体" w:hAnsi="宋体" w:eastAsia="宋体" w:cs="宋体"/>
                <w:kern w:val="0"/>
                <w:szCs w:val="21"/>
              </w:rPr>
              <w:t>备      注</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b/>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jc w:val="cente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000000"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000000"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000000"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000000"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000000"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000000" w:sz="4" w:space="0"/>
              <w:left w:val="single" w:color="auto" w:sz="8" w:space="0"/>
              <w:bottom w:val="single" w:color="auto" w:sz="4"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000000" w:sz="4" w:space="0"/>
              <w:left w:val="nil"/>
              <w:bottom w:val="single" w:color="auto" w:sz="4" w:space="0"/>
              <w:right w:val="single" w:color="000000" w:sz="4" w:space="0"/>
            </w:tcBorders>
            <w:vAlign w:val="bottom"/>
          </w:tcPr>
          <w:p>
            <w:pPr>
              <w:rPr>
                <w:rFonts w:hint="eastAsia" w:ascii="宋体" w:hAnsi="宋体" w:eastAsia="宋体" w:cs="宋体"/>
                <w:szCs w:val="21"/>
              </w:rPr>
            </w:pPr>
          </w:p>
        </w:tc>
        <w:tc>
          <w:tcPr>
            <w:tcW w:w="1080" w:type="dxa"/>
            <w:tcBorders>
              <w:top w:val="single" w:color="000000" w:sz="4" w:space="0"/>
              <w:left w:val="nil"/>
              <w:bottom w:val="single" w:color="auto" w:sz="4"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000000" w:sz="4" w:space="0"/>
              <w:left w:val="nil"/>
              <w:bottom w:val="single" w:color="auto" w:sz="4"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000000" w:sz="4" w:space="0"/>
              <w:left w:val="single" w:color="000000" w:sz="4" w:space="0"/>
              <w:bottom w:val="single" w:color="auto" w:sz="4"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auto" w:sz="4" w:space="0"/>
              <w:left w:val="nil"/>
              <w:bottom w:val="single" w:color="auto" w:sz="4" w:space="0"/>
              <w:right w:val="single" w:color="000000" w:sz="4" w:space="0"/>
            </w:tcBorders>
            <w:vAlign w:val="bottom"/>
          </w:tcPr>
          <w:p>
            <w:pPr>
              <w:rPr>
                <w:rFonts w:hint="eastAsia" w:ascii="宋体" w:hAnsi="宋体" w:eastAsia="宋体" w:cs="宋体"/>
                <w:b/>
                <w:szCs w:val="21"/>
              </w:rPr>
            </w:pPr>
          </w:p>
        </w:tc>
        <w:tc>
          <w:tcPr>
            <w:tcW w:w="1080" w:type="dxa"/>
            <w:tcBorders>
              <w:top w:val="single" w:color="auto" w:sz="4" w:space="0"/>
              <w:left w:val="nil"/>
              <w:bottom w:val="single" w:color="auto" w:sz="4" w:space="0"/>
              <w:right w:val="single" w:color="000000" w:sz="4" w:space="0"/>
            </w:tcBorders>
            <w:vAlign w:val="bottom"/>
          </w:tcPr>
          <w:p>
            <w:pPr>
              <w:jc w:val="center"/>
              <w:rPr>
                <w:rFonts w:hint="eastAsia" w:ascii="宋体" w:hAnsi="宋体" w:eastAsia="宋体" w:cs="宋体"/>
                <w:b/>
                <w:szCs w:val="21"/>
              </w:rPr>
            </w:pPr>
          </w:p>
        </w:tc>
        <w:tc>
          <w:tcPr>
            <w:tcW w:w="900" w:type="dxa"/>
            <w:tcBorders>
              <w:top w:val="single" w:color="auto" w:sz="4" w:space="0"/>
              <w:left w:val="nil"/>
              <w:bottom w:val="single" w:color="auto" w:sz="4" w:space="0"/>
              <w:right w:val="single" w:color="000000" w:sz="4" w:space="0"/>
            </w:tcBorders>
            <w:vAlign w:val="bottom"/>
          </w:tcPr>
          <w:p>
            <w:pPr>
              <w:jc w:val="right"/>
              <w:rPr>
                <w:rFonts w:hint="eastAsia" w:ascii="宋体" w:hAnsi="宋体" w:eastAsia="宋体" w:cs="宋体"/>
                <w:b/>
                <w:szCs w:val="21"/>
              </w:rPr>
            </w:pPr>
          </w:p>
        </w:tc>
        <w:tc>
          <w:tcPr>
            <w:tcW w:w="2700" w:type="dxa"/>
            <w:tcBorders>
              <w:top w:val="single" w:color="auto" w:sz="4" w:space="0"/>
              <w:left w:val="single" w:color="000000" w:sz="4" w:space="0"/>
              <w:bottom w:val="single" w:color="auto" w:sz="4" w:space="0"/>
              <w:right w:val="single" w:color="auto" w:sz="8" w:space="0"/>
            </w:tcBorders>
            <w:vAlign w:val="bottom"/>
          </w:tcPr>
          <w:p>
            <w:pPr>
              <w:rPr>
                <w:rFonts w:hint="eastAsia" w:ascii="宋体" w:hAnsi="宋体" w:eastAsia="宋体" w:cs="宋体"/>
                <w:b/>
                <w:szCs w:val="21"/>
              </w:rPr>
            </w:pPr>
            <w:r>
              <w:rPr>
                <w:rFonts w:hint="eastAsia" w:ascii="宋体" w:hAnsi="宋体" w:eastAsia="宋体" w:cs="宋体"/>
                <w:b/>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b/>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b/>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r>
        <w:tblPrEx>
          <w:tblLayout w:type="fixed"/>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8" w:space="0"/>
              <w:right w:val="single" w:color="000000" w:sz="4" w:space="0"/>
            </w:tcBorders>
            <w:vAlign w:val="bottom"/>
          </w:tcPr>
          <w:p>
            <w:pPr>
              <w:jc w:val="center"/>
              <w:rPr>
                <w:rFonts w:hint="eastAsia" w:ascii="宋体" w:hAnsi="宋体" w:eastAsia="宋体" w:cs="宋体"/>
                <w:szCs w:val="21"/>
              </w:rPr>
            </w:pPr>
          </w:p>
        </w:tc>
        <w:tc>
          <w:tcPr>
            <w:tcW w:w="3600" w:type="dxa"/>
            <w:tcBorders>
              <w:top w:val="single" w:color="auto" w:sz="4" w:space="0"/>
              <w:left w:val="nil"/>
              <w:bottom w:val="single" w:color="auto" w:sz="8" w:space="0"/>
              <w:right w:val="single" w:color="000000" w:sz="4" w:space="0"/>
            </w:tcBorders>
            <w:vAlign w:val="bottom"/>
          </w:tcPr>
          <w:p>
            <w:pPr>
              <w:rPr>
                <w:rFonts w:hint="eastAsia" w:ascii="宋体" w:hAnsi="宋体" w:eastAsia="宋体" w:cs="宋体"/>
                <w:szCs w:val="21"/>
              </w:rPr>
            </w:pPr>
          </w:p>
        </w:tc>
        <w:tc>
          <w:tcPr>
            <w:tcW w:w="1080" w:type="dxa"/>
            <w:tcBorders>
              <w:top w:val="single" w:color="auto" w:sz="4" w:space="0"/>
              <w:left w:val="nil"/>
              <w:bottom w:val="single" w:color="auto" w:sz="8" w:space="0"/>
              <w:right w:val="single" w:color="000000" w:sz="4" w:space="0"/>
            </w:tcBorders>
            <w:vAlign w:val="bottom"/>
          </w:tcPr>
          <w:p>
            <w:pPr>
              <w:jc w:val="center"/>
              <w:rPr>
                <w:rFonts w:hint="eastAsia" w:ascii="宋体" w:hAnsi="宋体" w:eastAsia="宋体" w:cs="宋体"/>
                <w:szCs w:val="21"/>
              </w:rPr>
            </w:pPr>
          </w:p>
        </w:tc>
        <w:tc>
          <w:tcPr>
            <w:tcW w:w="900" w:type="dxa"/>
            <w:tcBorders>
              <w:top w:val="single" w:color="auto" w:sz="4" w:space="0"/>
              <w:left w:val="nil"/>
              <w:bottom w:val="single" w:color="auto" w:sz="8" w:space="0"/>
              <w:right w:val="single" w:color="000000" w:sz="4" w:space="0"/>
            </w:tcBorders>
            <w:vAlign w:val="bottom"/>
          </w:tcPr>
          <w:p>
            <w:pPr>
              <w:jc w:val="right"/>
              <w:rPr>
                <w:rFonts w:hint="eastAsia" w:ascii="宋体" w:hAnsi="宋体" w:eastAsia="宋体" w:cs="宋体"/>
                <w:szCs w:val="21"/>
              </w:rPr>
            </w:pPr>
          </w:p>
        </w:tc>
        <w:tc>
          <w:tcPr>
            <w:tcW w:w="2700" w:type="dxa"/>
            <w:tcBorders>
              <w:top w:val="single" w:color="auto" w:sz="4" w:space="0"/>
              <w:left w:val="single" w:color="000000" w:sz="4" w:space="0"/>
              <w:bottom w:val="single" w:color="auto" w:sz="8" w:space="0"/>
              <w:right w:val="single" w:color="auto" w:sz="8" w:space="0"/>
            </w:tcBorders>
            <w:vAlign w:val="bottom"/>
          </w:tcPr>
          <w:p>
            <w:pPr>
              <w:rPr>
                <w:rFonts w:hint="eastAsia" w:ascii="宋体" w:hAnsi="宋体" w:eastAsia="宋体" w:cs="宋体"/>
                <w:szCs w:val="21"/>
              </w:rPr>
            </w:pPr>
            <w:r>
              <w:rPr>
                <w:rFonts w:hint="eastAsia" w:ascii="宋体" w:hAnsi="宋体" w:eastAsia="宋体" w:cs="宋体"/>
                <w:szCs w:val="21"/>
              </w:rPr>
              <w:t>　</w:t>
            </w:r>
          </w:p>
        </w:tc>
      </w:tr>
    </w:tbl>
    <w:p>
      <w:pPr>
        <w:rPr>
          <w:rFonts w:hint="eastAsia" w:ascii="宋体" w:hAnsi="宋体" w:eastAsia="宋体" w:cs="宋体"/>
          <w:szCs w:val="21"/>
        </w:rPr>
      </w:pPr>
      <w:r>
        <w:rPr>
          <w:rFonts w:hint="eastAsia" w:ascii="宋体" w:hAnsi="宋体" w:eastAsia="宋体" w:cs="宋体"/>
          <w:szCs w:val="21"/>
        </w:rPr>
        <w:t>注：投标报价时，投标人按招标人在工程量清单中提供的暂估材料单价计入到相应项目综合单价中，</w:t>
      </w:r>
    </w:p>
    <w:p>
      <w:pPr>
        <w:rPr>
          <w:rFonts w:hint="eastAsia" w:ascii="宋体" w:hAnsi="宋体" w:eastAsia="宋体" w:cs="宋体"/>
          <w:szCs w:val="21"/>
        </w:rPr>
      </w:pPr>
      <w:r>
        <w:rPr>
          <w:rFonts w:hint="eastAsia" w:ascii="宋体" w:hAnsi="宋体" w:eastAsia="宋体" w:cs="宋体"/>
          <w:szCs w:val="21"/>
        </w:rPr>
        <w:t>备注为暂估清单综合单价的，投标人投标报价的综合单价应与招标人提供的暂估清单综合单价一致。</w:t>
      </w:r>
    </w:p>
    <w:p>
      <w:pPr>
        <w:rPr>
          <w:rFonts w:hint="eastAsia" w:ascii="宋体" w:hAnsi="宋体" w:eastAsia="宋体" w:cs="宋体"/>
          <w:sz w:val="24"/>
        </w:rPr>
      </w:pPr>
    </w:p>
    <w:p>
      <w:pPr>
        <w:spacing w:line="360" w:lineRule="exact"/>
        <w:ind w:firstLine="840" w:firstLineChars="400"/>
        <w:rPr>
          <w:rFonts w:hint="eastAsia" w:ascii="宋体" w:hAnsi="宋体" w:eastAsia="宋体" w:cs="宋体"/>
          <w:szCs w:val="21"/>
        </w:rPr>
      </w:pPr>
      <w:r>
        <w:rPr>
          <w:rFonts w:hint="eastAsia" w:ascii="宋体" w:hAnsi="宋体" w:eastAsia="宋体" w:cs="宋体"/>
          <w:szCs w:val="21"/>
        </w:rPr>
        <w:t xml:space="preserve"> </w:t>
      </w:r>
    </w:p>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4.11-3特殊项目暂估单价表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特殊项目暂估单价表</w:t>
      </w:r>
    </w:p>
    <w:p>
      <w:pPr>
        <w:spacing w:line="400" w:lineRule="exact"/>
        <w:rPr>
          <w:rFonts w:hint="eastAsia" w:ascii="宋体" w:hAnsi="宋体" w:eastAsia="宋体" w:cs="宋体"/>
          <w:iCs/>
        </w:rPr>
      </w:pPr>
      <w:r>
        <w:rPr>
          <w:rFonts w:hint="eastAsia" w:ascii="宋体" w:hAnsi="宋体" w:eastAsia="宋体" w:cs="宋体"/>
          <w:iCs/>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序号</w:t>
            </w:r>
          </w:p>
        </w:tc>
        <w:tc>
          <w:tcPr>
            <w:tcW w:w="1440" w:type="dxa"/>
            <w:tcBorders>
              <w:top w:val="single" w:color="auto" w:sz="8" w:space="0"/>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特殊项目名称</w:t>
            </w:r>
          </w:p>
        </w:tc>
        <w:tc>
          <w:tcPr>
            <w:tcW w:w="1980" w:type="dxa"/>
            <w:tcBorders>
              <w:top w:val="single" w:color="auto" w:sz="8" w:space="0"/>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内容、范围</w:t>
            </w:r>
          </w:p>
        </w:tc>
        <w:tc>
          <w:tcPr>
            <w:tcW w:w="720" w:type="dxa"/>
            <w:tcBorders>
              <w:top w:val="single" w:color="auto" w:sz="8" w:space="0"/>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计量单位</w:t>
            </w:r>
          </w:p>
        </w:tc>
        <w:tc>
          <w:tcPr>
            <w:tcW w:w="216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计算方法</w:t>
            </w:r>
          </w:p>
        </w:tc>
        <w:tc>
          <w:tcPr>
            <w:tcW w:w="126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金额（元）</w:t>
            </w:r>
          </w:p>
        </w:tc>
        <w:tc>
          <w:tcPr>
            <w:tcW w:w="1080" w:type="dxa"/>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备注</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center"/>
              <w:rPr>
                <w:rFonts w:hint="eastAsia" w:ascii="宋体" w:hAnsi="宋体" w:eastAsia="宋体" w:cs="宋体"/>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85"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single" w:color="000000" w:sz="4" w:space="0"/>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single" w:color="000000" w:sz="4" w:space="0"/>
              <w:left w:val="nil"/>
              <w:bottom w:val="single" w:color="000000" w:sz="4" w:space="0"/>
              <w:right w:val="single" w:color="000000" w:sz="4" w:space="0"/>
            </w:tcBorders>
            <w:vAlign w:val="center"/>
          </w:tcPr>
          <w:p>
            <w:pPr>
              <w:spacing w:line="400" w:lineRule="exact"/>
              <w:jc w:val="center"/>
              <w:rPr>
                <w:rFonts w:hint="eastAsia" w:ascii="宋体" w:hAnsi="宋体" w:eastAsia="宋体" w:cs="宋体"/>
                <w:i/>
                <w:kern w:val="0"/>
                <w:szCs w:val="21"/>
              </w:rPr>
            </w:pPr>
          </w:p>
        </w:tc>
        <w:tc>
          <w:tcPr>
            <w:tcW w:w="1080" w:type="dxa"/>
            <w:tcBorders>
              <w:top w:val="single" w:color="000000" w:sz="4"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440" w:type="dxa"/>
            <w:tcBorders>
              <w:top w:val="nil"/>
              <w:left w:val="nil"/>
              <w:bottom w:val="single" w:color="000000" w:sz="4" w:space="0"/>
              <w:right w:val="single" w:color="auto" w:sz="4" w:space="0"/>
            </w:tcBorders>
            <w:vAlign w:val="center"/>
          </w:tcPr>
          <w:p>
            <w:pPr>
              <w:widowControl/>
              <w:spacing w:line="400" w:lineRule="exact"/>
              <w:jc w:val="left"/>
              <w:rPr>
                <w:rFonts w:hint="eastAsia" w:ascii="宋体" w:hAnsi="宋体" w:eastAsia="宋体" w:cs="宋体"/>
                <w:i/>
                <w:kern w:val="0"/>
                <w:szCs w:val="21"/>
              </w:rPr>
            </w:pPr>
          </w:p>
        </w:tc>
        <w:tc>
          <w:tcPr>
            <w:tcW w:w="198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720" w:type="dxa"/>
            <w:tcBorders>
              <w:top w:val="nil"/>
              <w:left w:val="single" w:color="auto" w:sz="4" w:space="0"/>
              <w:bottom w:val="single" w:color="000000" w:sz="4" w:space="0"/>
              <w:right w:val="single" w:color="000000" w:sz="4" w:space="0"/>
            </w:tcBorders>
            <w:vAlign w:val="center"/>
          </w:tcPr>
          <w:p>
            <w:pPr>
              <w:widowControl/>
              <w:spacing w:line="400" w:lineRule="exact"/>
              <w:jc w:val="left"/>
              <w:rPr>
                <w:rFonts w:hint="eastAsia" w:ascii="宋体" w:hAnsi="宋体" w:eastAsia="宋体" w:cs="宋体"/>
                <w:i/>
                <w:kern w:val="0"/>
                <w:szCs w:val="21"/>
              </w:rPr>
            </w:pPr>
          </w:p>
        </w:tc>
        <w:tc>
          <w:tcPr>
            <w:tcW w:w="21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p>
        </w:tc>
        <w:tc>
          <w:tcPr>
            <w:tcW w:w="126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i/>
                <w:kern w:val="0"/>
                <w:szCs w:val="21"/>
              </w:rPr>
            </w:pPr>
            <w:r>
              <w:rPr>
                <w:rFonts w:hint="eastAsia" w:ascii="宋体" w:hAnsi="宋体" w:eastAsia="宋体" w:cs="宋体"/>
                <w:i/>
                <w:kern w:val="0"/>
                <w:szCs w:val="21"/>
              </w:rPr>
              <w:t>　</w:t>
            </w:r>
          </w:p>
        </w:tc>
        <w:tc>
          <w:tcPr>
            <w:tcW w:w="1080" w:type="dxa"/>
            <w:tcBorders>
              <w:top w:val="nil"/>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i/>
                <w:kern w:val="0"/>
                <w:szCs w:val="21"/>
              </w:rPr>
            </w:pPr>
          </w:p>
        </w:tc>
      </w:tr>
      <w:tr>
        <w:tblPrEx>
          <w:tblLayout w:type="fixed"/>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iCs/>
                <w:kern w:val="0"/>
                <w:szCs w:val="21"/>
              </w:rPr>
            </w:pPr>
            <w:r>
              <w:rPr>
                <w:rFonts w:hint="eastAsia" w:ascii="宋体" w:hAnsi="宋体" w:eastAsia="宋体" w:cs="宋体"/>
                <w:iCs/>
                <w:kern w:val="0"/>
                <w:szCs w:val="21"/>
              </w:rPr>
              <w:t>合    计</w:t>
            </w:r>
          </w:p>
        </w:tc>
        <w:tc>
          <w:tcPr>
            <w:tcW w:w="1260" w:type="dxa"/>
            <w:tcBorders>
              <w:top w:val="nil"/>
              <w:left w:val="nil"/>
              <w:bottom w:val="single" w:color="auto" w:sz="8" w:space="0"/>
              <w:right w:val="single" w:color="000000" w:sz="4" w:space="0"/>
            </w:tcBorders>
            <w:vAlign w:val="center"/>
          </w:tcPr>
          <w:p>
            <w:pPr>
              <w:widowControl/>
              <w:spacing w:line="400" w:lineRule="exact"/>
              <w:jc w:val="right"/>
              <w:rPr>
                <w:rFonts w:hint="eastAsia" w:ascii="宋体" w:hAnsi="宋体" w:eastAsia="宋体" w:cs="宋体"/>
                <w:iCs/>
                <w:kern w:val="0"/>
                <w:szCs w:val="21"/>
              </w:rPr>
            </w:pPr>
          </w:p>
        </w:tc>
        <w:tc>
          <w:tcPr>
            <w:tcW w:w="1080" w:type="dxa"/>
            <w:tcBorders>
              <w:top w:val="nil"/>
              <w:left w:val="nil"/>
              <w:bottom w:val="single" w:color="auto" w:sz="8" w:space="0"/>
              <w:right w:val="single" w:color="auto" w:sz="8" w:space="0"/>
            </w:tcBorders>
            <w:vAlign w:val="center"/>
          </w:tcPr>
          <w:p>
            <w:pPr>
              <w:widowControl/>
              <w:spacing w:line="400" w:lineRule="exact"/>
              <w:jc w:val="center"/>
              <w:rPr>
                <w:rFonts w:hint="eastAsia" w:ascii="宋体" w:hAnsi="宋体" w:eastAsia="宋体" w:cs="宋体"/>
                <w:iCs/>
                <w:kern w:val="0"/>
                <w:szCs w:val="21"/>
              </w:rPr>
            </w:pPr>
          </w:p>
        </w:tc>
      </w:tr>
    </w:tbl>
    <w:p>
      <w:pPr>
        <w:rPr>
          <w:rFonts w:hint="eastAsia" w:ascii="宋体" w:hAnsi="宋体" w:eastAsia="宋体" w:cs="宋体"/>
          <w:sz w:val="24"/>
        </w:rPr>
      </w:pPr>
      <w:r>
        <w:rPr>
          <w:rFonts w:hint="eastAsia" w:ascii="宋体" w:hAnsi="宋体" w:eastAsia="宋体" w:cs="宋体"/>
          <w:kern w:val="0"/>
          <w:szCs w:val="21"/>
        </w:rPr>
        <w:t>注：投标报价文件中该表应同招标人在工程量清单中提供的该表内容完全一致。</w:t>
      </w:r>
      <w:r>
        <w:rPr>
          <w:rFonts w:hint="eastAsia" w:ascii="宋体" w:hAnsi="宋体" w:eastAsia="宋体" w:cs="宋体"/>
        </w:rPr>
        <w:br w:type="page"/>
      </w:r>
      <w:r>
        <w:rPr>
          <w:rFonts w:hint="eastAsia" w:ascii="宋体" w:hAnsi="宋体" w:eastAsia="宋体" w:cs="宋体"/>
          <w:sz w:val="24"/>
        </w:rPr>
        <w:t>4.11-4计日工表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计日工表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64"/>
        <w:gridCol w:w="1000"/>
        <w:gridCol w:w="1240"/>
        <w:gridCol w:w="1316"/>
        <w:gridCol w:w="1620"/>
      </w:tblGrid>
      <w:tr>
        <w:tblPrEx>
          <w:tblLayout w:type="fixed"/>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编号</w:t>
            </w:r>
          </w:p>
        </w:tc>
        <w:tc>
          <w:tcPr>
            <w:tcW w:w="3464"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项目名称、型号、规格</w:t>
            </w:r>
          </w:p>
        </w:tc>
        <w:tc>
          <w:tcPr>
            <w:tcW w:w="100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单位</w:t>
            </w:r>
          </w:p>
        </w:tc>
        <w:tc>
          <w:tcPr>
            <w:tcW w:w="1240"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暂定数量</w:t>
            </w:r>
          </w:p>
        </w:tc>
        <w:tc>
          <w:tcPr>
            <w:tcW w:w="1316" w:type="dxa"/>
            <w:tcBorders>
              <w:top w:val="single" w:color="auto" w:sz="8"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综合单价（元）</w:t>
            </w:r>
          </w:p>
        </w:tc>
        <w:tc>
          <w:tcPr>
            <w:tcW w:w="1620" w:type="dxa"/>
            <w:tcBorders>
              <w:top w:val="single" w:color="auto" w:sz="8" w:space="0"/>
              <w:left w:val="nil"/>
              <w:bottom w:val="single" w:color="000000" w:sz="4" w:space="0"/>
              <w:right w:val="single" w:color="auto" w:sz="8"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合价（元）</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一</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人工</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人工小计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二</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材料</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single" w:color="000000" w:sz="4" w:space="0"/>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single" w:color="000000" w:sz="4" w:space="0"/>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single" w:color="000000" w:sz="4" w:space="0"/>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single" w:color="000000" w:sz="4" w:space="0"/>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single" w:color="000000" w:sz="4" w:space="0"/>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材料小计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三</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机械</w:t>
            </w:r>
          </w:p>
        </w:tc>
        <w:tc>
          <w:tcPr>
            <w:tcW w:w="1000"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1</w:t>
            </w: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r>
              <w:rPr>
                <w:rFonts w:hint="eastAsia" w:ascii="宋体" w:hAnsi="宋体" w:eastAsia="宋体" w:cs="宋体"/>
                <w:kern w:val="0"/>
                <w:szCs w:val="21"/>
              </w:rPr>
              <w:t>　</w:t>
            </w: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3464" w:type="dxa"/>
            <w:tcBorders>
              <w:top w:val="nil"/>
              <w:left w:val="nil"/>
              <w:bottom w:val="single" w:color="000000" w:sz="4" w:space="0"/>
              <w:right w:val="single" w:color="000000" w:sz="4" w:space="0"/>
            </w:tcBorders>
            <w:vAlign w:val="center"/>
          </w:tcPr>
          <w:p>
            <w:pPr>
              <w:widowControl/>
              <w:spacing w:line="400" w:lineRule="exact"/>
              <w:jc w:val="left"/>
              <w:rPr>
                <w:rFonts w:hint="eastAsia" w:ascii="宋体" w:hAnsi="宋体" w:eastAsia="宋体" w:cs="宋体"/>
                <w:kern w:val="0"/>
                <w:szCs w:val="21"/>
              </w:rPr>
            </w:pPr>
          </w:p>
        </w:tc>
        <w:tc>
          <w:tcPr>
            <w:tcW w:w="1000" w:type="dxa"/>
            <w:tcBorders>
              <w:top w:val="nil"/>
              <w:left w:val="nil"/>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p>
        </w:tc>
        <w:tc>
          <w:tcPr>
            <w:tcW w:w="1240"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316" w:type="dxa"/>
            <w:tcBorders>
              <w:top w:val="nil"/>
              <w:left w:val="nil"/>
              <w:bottom w:val="single" w:color="000000" w:sz="4" w:space="0"/>
              <w:right w:val="single" w:color="000000" w:sz="4" w:space="0"/>
            </w:tcBorders>
            <w:vAlign w:val="center"/>
          </w:tcPr>
          <w:p>
            <w:pPr>
              <w:widowControl/>
              <w:spacing w:line="400" w:lineRule="exact"/>
              <w:jc w:val="right"/>
              <w:rPr>
                <w:rFonts w:hint="eastAsia" w:ascii="宋体" w:hAnsi="宋体" w:eastAsia="宋体" w:cs="宋体"/>
                <w:kern w:val="0"/>
                <w:szCs w:val="21"/>
              </w:rPr>
            </w:pP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机械小计</w:t>
            </w:r>
          </w:p>
        </w:tc>
        <w:tc>
          <w:tcPr>
            <w:tcW w:w="1620" w:type="dxa"/>
            <w:tcBorders>
              <w:top w:val="nil"/>
              <w:left w:val="nil"/>
              <w:bottom w:val="single" w:color="000000" w:sz="4"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r>
        <w:tblPrEx>
          <w:tblLayout w:type="fixed"/>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vAlign w:val="center"/>
          </w:tcPr>
          <w:p>
            <w:pPr>
              <w:widowControl/>
              <w:spacing w:line="400" w:lineRule="exact"/>
              <w:jc w:val="center"/>
              <w:rPr>
                <w:rFonts w:hint="eastAsia" w:ascii="宋体" w:hAnsi="宋体" w:eastAsia="宋体" w:cs="宋体"/>
                <w:kern w:val="0"/>
                <w:szCs w:val="21"/>
              </w:rPr>
            </w:pPr>
            <w:r>
              <w:rPr>
                <w:rFonts w:hint="eastAsia" w:ascii="宋体" w:hAnsi="宋体" w:eastAsia="宋体" w:cs="宋体"/>
                <w:kern w:val="0"/>
                <w:szCs w:val="21"/>
              </w:rPr>
              <w:t>总    计</w:t>
            </w:r>
          </w:p>
        </w:tc>
        <w:tc>
          <w:tcPr>
            <w:tcW w:w="1620" w:type="dxa"/>
            <w:tcBorders>
              <w:top w:val="nil"/>
              <w:left w:val="nil"/>
              <w:bottom w:val="single" w:color="auto" w:sz="8" w:space="0"/>
              <w:right w:val="single" w:color="auto" w:sz="8" w:space="0"/>
            </w:tcBorders>
            <w:vAlign w:val="center"/>
          </w:tcPr>
          <w:p>
            <w:pPr>
              <w:widowControl/>
              <w:spacing w:line="400" w:lineRule="exact"/>
              <w:jc w:val="right"/>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rPr>
        <w:t>4.11-5总承包服务费计价表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总承包服务费计价表</w:t>
      </w:r>
    </w:p>
    <w:p>
      <w:pPr>
        <w:spacing w:line="400" w:lineRule="exact"/>
        <w:rPr>
          <w:rFonts w:hint="eastAsia" w:ascii="宋体" w:hAnsi="宋体" w:eastAsia="宋体" w:cs="宋体"/>
        </w:rPr>
      </w:pPr>
      <w:r>
        <w:rPr>
          <w:rFonts w:hint="eastAsia" w:ascii="宋体" w:hAnsi="宋体" w:eastAsia="宋体" w:cs="宋体"/>
        </w:rPr>
        <w:t>工程名称 ：                                                          第   页   共   页</w:t>
      </w:r>
    </w:p>
    <w:tbl>
      <w:tblPr>
        <w:tblStyle w:val="12"/>
        <w:tblW w:w="9180" w:type="dxa"/>
        <w:tblInd w:w="108" w:type="dxa"/>
        <w:tblLayout w:type="fixed"/>
        <w:tblCellMar>
          <w:top w:w="0" w:type="dxa"/>
          <w:left w:w="108" w:type="dxa"/>
          <w:bottom w:w="0" w:type="dxa"/>
          <w:right w:w="108" w:type="dxa"/>
        </w:tblCellMar>
      </w:tblPr>
      <w:tblGrid>
        <w:gridCol w:w="540"/>
        <w:gridCol w:w="3420"/>
        <w:gridCol w:w="1980"/>
        <w:gridCol w:w="1440"/>
        <w:gridCol w:w="1800"/>
      </w:tblGrid>
      <w:tr>
        <w:tblPrEx>
          <w:tblLayout w:type="fixed"/>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序号</w:t>
            </w:r>
          </w:p>
        </w:tc>
        <w:tc>
          <w:tcPr>
            <w:tcW w:w="342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项目名称及服务内容</w:t>
            </w:r>
          </w:p>
        </w:tc>
        <w:tc>
          <w:tcPr>
            <w:tcW w:w="198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项目费用</w:t>
            </w:r>
          </w:p>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(元)</w:t>
            </w:r>
          </w:p>
        </w:tc>
        <w:tc>
          <w:tcPr>
            <w:tcW w:w="1440" w:type="dxa"/>
            <w:tcBorders>
              <w:top w:val="single" w:color="auto" w:sz="8" w:space="0"/>
              <w:left w:val="nil"/>
              <w:bottom w:val="nil"/>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费率(%)</w:t>
            </w:r>
          </w:p>
        </w:tc>
        <w:tc>
          <w:tcPr>
            <w:tcW w:w="1800" w:type="dxa"/>
            <w:tcBorders>
              <w:top w:val="single" w:color="auto" w:sz="8" w:space="0"/>
              <w:left w:val="nil"/>
              <w:bottom w:val="nil"/>
              <w:right w:val="single" w:color="auto" w:sz="8"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金额（元）</w:t>
            </w: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3420" w:type="dxa"/>
            <w:tcBorders>
              <w:top w:val="single" w:color="000000" w:sz="8" w:space="0"/>
              <w:left w:val="nil"/>
              <w:bottom w:val="single" w:color="000000" w:sz="4" w:space="0"/>
              <w:right w:val="single" w:color="000000" w:sz="4" w:space="0"/>
            </w:tcBorders>
            <w:vAlign w:val="center"/>
          </w:tcPr>
          <w:p>
            <w:pPr>
              <w:widowControl/>
              <w:spacing w:line="360" w:lineRule="exact"/>
              <w:rPr>
                <w:rFonts w:hint="eastAsia" w:ascii="宋体" w:hAnsi="宋体" w:eastAsia="宋体" w:cs="宋体"/>
                <w:kern w:val="0"/>
                <w:szCs w:val="21"/>
              </w:rPr>
            </w:pPr>
          </w:p>
        </w:tc>
        <w:tc>
          <w:tcPr>
            <w:tcW w:w="198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440" w:type="dxa"/>
            <w:tcBorders>
              <w:top w:val="single" w:color="000000" w:sz="8" w:space="0"/>
              <w:left w:val="nil"/>
              <w:bottom w:val="single" w:color="000000" w:sz="4" w:space="0"/>
              <w:right w:val="single" w:color="000000" w:sz="4" w:space="0"/>
            </w:tcBorders>
            <w:vAlign w:val="center"/>
          </w:tcPr>
          <w:p>
            <w:pPr>
              <w:widowControl/>
              <w:spacing w:line="360" w:lineRule="exact"/>
              <w:jc w:val="center"/>
              <w:rPr>
                <w:rFonts w:hint="eastAsia" w:ascii="宋体" w:hAnsi="宋体" w:eastAsia="宋体" w:cs="宋体"/>
                <w:kern w:val="0"/>
                <w:szCs w:val="21"/>
              </w:rPr>
            </w:pPr>
          </w:p>
        </w:tc>
        <w:tc>
          <w:tcPr>
            <w:tcW w:w="1800" w:type="dxa"/>
            <w:tcBorders>
              <w:top w:val="single" w:color="000000" w:sz="8" w:space="0"/>
              <w:left w:val="nil"/>
              <w:bottom w:val="single" w:color="000000" w:sz="4" w:space="0"/>
              <w:right w:val="single" w:color="auto" w:sz="8" w:space="0"/>
            </w:tcBorders>
            <w:vAlign w:val="center"/>
          </w:tcPr>
          <w:p>
            <w:pPr>
              <w:widowControl/>
              <w:spacing w:line="360" w:lineRule="exact"/>
              <w:jc w:val="center"/>
              <w:rPr>
                <w:rFonts w:hint="eastAsia" w:ascii="宋体" w:hAnsi="宋体" w:eastAsia="宋体" w:cs="宋体"/>
                <w:kern w:val="0"/>
                <w:szCs w:val="21"/>
              </w:rPr>
            </w:pPr>
          </w:p>
        </w:tc>
      </w:tr>
      <w:tr>
        <w:tblPrEx>
          <w:tblLayout w:type="fixed"/>
          <w:tblCellMar>
            <w:top w:w="0" w:type="dxa"/>
            <w:left w:w="108" w:type="dxa"/>
            <w:bottom w:w="0" w:type="dxa"/>
            <w:right w:w="108" w:type="dxa"/>
          </w:tblCellMar>
        </w:tblPrEx>
        <w:trPr>
          <w:trHeight w:val="771" w:hRule="atLeast"/>
        </w:trPr>
        <w:tc>
          <w:tcPr>
            <w:tcW w:w="7380" w:type="dxa"/>
            <w:gridSpan w:val="4"/>
            <w:tcBorders>
              <w:top w:val="single" w:color="000000" w:sz="4" w:space="0"/>
              <w:left w:val="single" w:color="auto" w:sz="8" w:space="0"/>
              <w:bottom w:val="single" w:color="auto" w:sz="8" w:space="0"/>
              <w:right w:val="single" w:color="000000" w:sz="4" w:space="0"/>
            </w:tcBorders>
            <w:vAlign w:val="center"/>
          </w:tcPr>
          <w:p>
            <w:pPr>
              <w:widowControl/>
              <w:spacing w:line="360" w:lineRule="exact"/>
              <w:jc w:val="center"/>
              <w:rPr>
                <w:rFonts w:hint="eastAsia" w:ascii="宋体" w:hAnsi="宋体" w:eastAsia="宋体" w:cs="宋体"/>
                <w:kern w:val="0"/>
                <w:szCs w:val="21"/>
              </w:rPr>
            </w:pPr>
            <w:r>
              <w:rPr>
                <w:rFonts w:hint="eastAsia" w:ascii="宋体" w:hAnsi="宋体" w:eastAsia="宋体" w:cs="宋体"/>
                <w:kern w:val="0"/>
                <w:szCs w:val="21"/>
              </w:rPr>
              <w:t>合    计</w:t>
            </w:r>
          </w:p>
        </w:tc>
        <w:tc>
          <w:tcPr>
            <w:tcW w:w="1800" w:type="dxa"/>
            <w:tcBorders>
              <w:top w:val="nil"/>
              <w:left w:val="nil"/>
              <w:bottom w:val="single" w:color="auto" w:sz="8" w:space="0"/>
              <w:right w:val="single" w:color="auto" w:sz="8" w:space="0"/>
            </w:tcBorders>
            <w:vAlign w:val="center"/>
          </w:tcPr>
          <w:p>
            <w:pPr>
              <w:widowControl/>
              <w:spacing w:line="360" w:lineRule="exact"/>
              <w:jc w:val="right"/>
              <w:rPr>
                <w:rFonts w:hint="eastAsia" w:ascii="宋体" w:hAnsi="宋体" w:eastAsia="宋体" w:cs="宋体"/>
                <w:kern w:val="0"/>
                <w:szCs w:val="21"/>
              </w:rPr>
            </w:pPr>
            <w:r>
              <w:rPr>
                <w:rFonts w:hint="eastAsia" w:ascii="宋体" w:hAnsi="宋体" w:eastAsia="宋体" w:cs="宋体"/>
                <w:kern w:val="0"/>
                <w:szCs w:val="21"/>
              </w:rPr>
              <w:t>　</w:t>
            </w:r>
          </w:p>
        </w:tc>
      </w:tr>
    </w:tbl>
    <w:p>
      <w:pPr>
        <w:rPr>
          <w:rFonts w:hint="eastAsia" w:ascii="宋体" w:hAnsi="宋体" w:eastAsia="宋体" w:cs="宋体"/>
          <w:sz w:val="24"/>
        </w:rPr>
      </w:pPr>
      <w:r>
        <w:rPr>
          <w:rFonts w:hint="eastAsia" w:ascii="宋体" w:hAnsi="宋体" w:eastAsia="宋体" w:cs="宋体"/>
        </w:rPr>
        <w:br w:type="page"/>
      </w:r>
      <w:r>
        <w:rPr>
          <w:rFonts w:hint="eastAsia" w:ascii="宋体" w:hAnsi="宋体" w:eastAsia="宋体" w:cs="宋体"/>
          <w:sz w:val="24"/>
        </w:rPr>
        <w:t>4.12规费、税金项目清单与计价表</w:t>
      </w:r>
    </w:p>
    <w:p>
      <w:pPr>
        <w:spacing w:before="120" w:beforeLines="50" w:after="120" w:afterLines="50"/>
        <w:jc w:val="center"/>
        <w:rPr>
          <w:rFonts w:hint="eastAsia" w:ascii="宋体" w:hAnsi="宋体" w:eastAsia="宋体" w:cs="宋体"/>
          <w:sz w:val="28"/>
          <w:szCs w:val="28"/>
        </w:rPr>
      </w:pPr>
      <w:r>
        <w:rPr>
          <w:rFonts w:hint="eastAsia" w:ascii="宋体" w:hAnsi="宋体" w:eastAsia="宋体" w:cs="宋体"/>
          <w:sz w:val="28"/>
          <w:szCs w:val="28"/>
        </w:rPr>
        <w:t>规费、税金项目清单与计价表</w:t>
      </w:r>
    </w:p>
    <w:p>
      <w:pPr>
        <w:spacing w:line="400" w:lineRule="exact"/>
        <w:ind w:firstLine="210" w:firstLineChars="100"/>
        <w:rPr>
          <w:rFonts w:hint="eastAsia" w:ascii="宋体" w:hAnsi="宋体" w:eastAsia="宋体" w:cs="宋体"/>
          <w:szCs w:val="21"/>
        </w:rPr>
      </w:pPr>
      <w:r>
        <w:rPr>
          <w:rFonts w:hint="eastAsia" w:ascii="宋体" w:hAnsi="宋体" w:eastAsia="宋体" w:cs="宋体"/>
          <w:szCs w:val="21"/>
        </w:rPr>
        <w:t>工程名称：                                                       第   页  共   页</w:t>
      </w:r>
    </w:p>
    <w:tbl>
      <w:tblPr>
        <w:tblStyle w:val="12"/>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0"/>
        <w:gridCol w:w="1755"/>
        <w:gridCol w:w="1592"/>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序号</w:t>
            </w:r>
          </w:p>
        </w:tc>
        <w:tc>
          <w:tcPr>
            <w:tcW w:w="2800"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项目名称</w:t>
            </w:r>
          </w:p>
        </w:tc>
        <w:tc>
          <w:tcPr>
            <w:tcW w:w="1755"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计算基础</w:t>
            </w:r>
          </w:p>
        </w:tc>
        <w:tc>
          <w:tcPr>
            <w:tcW w:w="1592" w:type="dxa"/>
            <w:vMerge w:val="restart"/>
            <w:tcBorders>
              <w:top w:val="single" w:color="auto" w:sz="8"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费率</w:t>
            </w:r>
          </w:p>
          <w:p>
            <w:pPr>
              <w:spacing w:line="400" w:lineRule="exact"/>
              <w:jc w:val="center"/>
              <w:rPr>
                <w:rFonts w:hint="eastAsia" w:ascii="宋体" w:hAnsi="宋体" w:eastAsia="宋体" w:cs="宋体"/>
                <w:szCs w:val="21"/>
              </w:rPr>
            </w:pPr>
            <w:r>
              <w:rPr>
                <w:rFonts w:hint="eastAsia" w:ascii="宋体" w:hAnsi="宋体" w:eastAsia="宋体" w:cs="宋体"/>
                <w:szCs w:val="21"/>
              </w:rPr>
              <w:t>（%）</w:t>
            </w:r>
          </w:p>
        </w:tc>
        <w:tc>
          <w:tcPr>
            <w:tcW w:w="2292"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金额</w:t>
            </w:r>
          </w:p>
          <w:p>
            <w:pPr>
              <w:spacing w:line="400" w:lineRule="exact"/>
              <w:jc w:val="center"/>
              <w:rPr>
                <w:rFonts w:hint="eastAsia" w:ascii="宋体" w:hAnsi="宋体" w:eastAsia="宋体" w:cs="宋体"/>
                <w:szCs w:val="21"/>
              </w:rPr>
            </w:pPr>
            <w:r>
              <w:rPr>
                <w:rFonts w:hint="eastAsia" w:ascii="宋体" w:hAnsi="宋体" w:eastAsia="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741" w:type="dxa"/>
            <w:vMerge w:val="continue"/>
            <w:tcBorders>
              <w:top w:val="single" w:color="auto" w:sz="8" w:space="0"/>
              <w:left w:val="single" w:color="auto" w:sz="8" w:space="0"/>
              <w:bottom w:val="single" w:color="auto" w:sz="4" w:space="0"/>
              <w:right w:val="single" w:color="auto" w:sz="4" w:space="0"/>
            </w:tcBorders>
            <w:vAlign w:val="center"/>
          </w:tcPr>
          <w:p>
            <w:pPr>
              <w:rPr>
                <w:rFonts w:hint="eastAsia" w:ascii="宋体" w:hAnsi="宋体" w:eastAsia="宋体" w:cs="宋体"/>
                <w:sz w:val="20"/>
                <w:szCs w:val="20"/>
              </w:rPr>
            </w:pPr>
          </w:p>
        </w:tc>
        <w:tc>
          <w:tcPr>
            <w:tcW w:w="2800"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1755"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1592" w:type="dxa"/>
            <w:vMerge w:val="continue"/>
            <w:tcBorders>
              <w:top w:val="single" w:color="auto" w:sz="8" w:space="0"/>
              <w:left w:val="single" w:color="auto" w:sz="4" w:space="0"/>
              <w:bottom w:val="single" w:color="auto" w:sz="4" w:space="0"/>
              <w:right w:val="single" w:color="auto" w:sz="4" w:space="0"/>
            </w:tcBorders>
            <w:vAlign w:val="center"/>
          </w:tcPr>
          <w:p>
            <w:pPr>
              <w:rPr>
                <w:rFonts w:hint="eastAsia" w:ascii="宋体" w:hAnsi="宋体" w:eastAsia="宋体" w:cs="宋体"/>
                <w:sz w:val="20"/>
                <w:szCs w:val="20"/>
              </w:rPr>
            </w:pPr>
          </w:p>
        </w:tc>
        <w:tc>
          <w:tcPr>
            <w:tcW w:w="2292" w:type="dxa"/>
            <w:vMerge w:val="continue"/>
            <w:tcBorders>
              <w:top w:val="single" w:color="auto" w:sz="8" w:space="0"/>
              <w:left w:val="single" w:color="auto" w:sz="4" w:space="0"/>
              <w:bottom w:val="single" w:color="auto" w:sz="4" w:space="0"/>
              <w:right w:val="single" w:color="auto" w:sz="8" w:space="0"/>
            </w:tcBorders>
            <w:vAlign w:val="center"/>
          </w:tcPr>
          <w:p>
            <w:pP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r>
              <w:rPr>
                <w:rFonts w:hint="eastAsia" w:ascii="宋体" w:hAnsi="宋体" w:eastAsia="宋体" w:cs="宋体"/>
                <w:szCs w:val="21"/>
              </w:rPr>
              <w:t>规费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安全文明施工费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1.1.1</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其中：1.安全施工费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2.环境保护费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1.1.3</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3.文明施工费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1.1.4</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4.临时设施费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05" w:firstLineChars="98"/>
              <w:jc w:val="left"/>
              <w:rPr>
                <w:rFonts w:hint="eastAsia" w:ascii="宋体" w:hAnsi="宋体" w:eastAsia="宋体" w:cs="宋体"/>
                <w:szCs w:val="21"/>
              </w:rPr>
            </w:pPr>
            <w:r>
              <w:rPr>
                <w:rFonts w:hint="eastAsia" w:ascii="宋体" w:hAnsi="宋体" w:eastAsia="宋体" w:cs="宋体"/>
                <w:szCs w:val="21"/>
              </w:rPr>
              <w:t>社会保险费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1.3</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jc w:val="left"/>
              <w:rPr>
                <w:rFonts w:hint="eastAsia" w:ascii="宋体" w:hAnsi="宋体" w:eastAsia="宋体" w:cs="宋体"/>
                <w:szCs w:val="21"/>
              </w:rPr>
            </w:pPr>
            <w:r>
              <w:rPr>
                <w:rFonts w:hint="eastAsia" w:ascii="宋体" w:hAnsi="宋体" w:eastAsia="宋体" w:cs="宋体"/>
                <w:szCs w:val="21"/>
              </w:rPr>
              <w:t>住房公积金</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1.4</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jc w:val="left"/>
              <w:rPr>
                <w:rFonts w:hint="eastAsia" w:ascii="宋体" w:hAnsi="宋体" w:eastAsia="宋体" w:cs="宋体"/>
                <w:szCs w:val="21"/>
              </w:rPr>
            </w:pPr>
            <w:r>
              <w:rPr>
                <w:rFonts w:hint="eastAsia" w:ascii="宋体" w:hAnsi="宋体" w:eastAsia="宋体" w:cs="宋体"/>
                <w:szCs w:val="21"/>
              </w:rPr>
              <w:t>工程排污费</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1.5</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80"/>
              <w:jc w:val="left"/>
              <w:rPr>
                <w:rFonts w:hint="eastAsia" w:ascii="宋体" w:hAnsi="宋体" w:eastAsia="宋体" w:cs="宋体"/>
                <w:szCs w:val="21"/>
              </w:rPr>
            </w:pPr>
            <w:r>
              <w:rPr>
                <w:rFonts w:hint="eastAsia" w:ascii="宋体" w:hAnsi="宋体" w:eastAsia="宋体" w:cs="宋体"/>
                <w:szCs w:val="21"/>
              </w:rPr>
              <w:t>建设项目工伤保险</w:t>
            </w: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2</w:t>
            </w: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eastAsia="宋体" w:cs="宋体"/>
                <w:szCs w:val="21"/>
              </w:rPr>
            </w:pPr>
            <w:r>
              <w:rPr>
                <w:rFonts w:hint="eastAsia" w:ascii="宋体" w:hAnsi="宋体" w:eastAsia="宋体" w:cs="宋体"/>
                <w:szCs w:val="21"/>
              </w:rPr>
              <w:t>税金</w:t>
            </w:r>
          </w:p>
        </w:tc>
        <w:tc>
          <w:tcPr>
            <w:tcW w:w="1755"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eastAsia" w:ascii="宋体" w:hAnsi="宋体" w:eastAsia="宋体" w:cs="宋体"/>
                <w:szCs w:val="21"/>
              </w:rPr>
            </w:pPr>
          </w:p>
        </w:tc>
        <w:tc>
          <w:tcPr>
            <w:tcW w:w="2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75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15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szCs w:val="21"/>
              </w:rPr>
            </w:pPr>
          </w:p>
        </w:tc>
        <w:tc>
          <w:tcPr>
            <w:tcW w:w="2292" w:type="dxa"/>
            <w:tcBorders>
              <w:top w:val="single" w:color="auto" w:sz="4" w:space="0"/>
              <w:left w:val="single" w:color="auto" w:sz="4" w:space="0"/>
              <w:bottom w:val="single" w:color="auto" w:sz="4" w:space="0"/>
              <w:right w:val="single" w:color="auto" w:sz="8" w:space="0"/>
            </w:tcBorders>
            <w:vAlign w:val="center"/>
          </w:tcPr>
          <w:p>
            <w:pPr>
              <w:spacing w:line="4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6888" w:type="dxa"/>
            <w:gridSpan w:val="4"/>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hint="eastAsia" w:ascii="宋体" w:hAnsi="宋体" w:eastAsia="宋体" w:cs="宋体"/>
                <w:szCs w:val="21"/>
              </w:rPr>
            </w:pPr>
            <w:r>
              <w:rPr>
                <w:rFonts w:hint="eastAsia" w:ascii="宋体" w:hAnsi="宋体" w:eastAsia="宋体" w:cs="宋体"/>
                <w:szCs w:val="21"/>
              </w:rPr>
              <w:t>合     计</w:t>
            </w:r>
          </w:p>
        </w:tc>
        <w:tc>
          <w:tcPr>
            <w:tcW w:w="2292" w:type="dxa"/>
            <w:tcBorders>
              <w:top w:val="single" w:color="auto" w:sz="4" w:space="0"/>
              <w:left w:val="single" w:color="auto" w:sz="4" w:space="0"/>
              <w:bottom w:val="single" w:color="auto" w:sz="8" w:space="0"/>
              <w:right w:val="single" w:color="auto" w:sz="8" w:space="0"/>
            </w:tcBorders>
            <w:vAlign w:val="center"/>
          </w:tcPr>
          <w:p>
            <w:pPr>
              <w:spacing w:line="400" w:lineRule="exact"/>
              <w:rPr>
                <w:rFonts w:hint="eastAsia" w:ascii="宋体" w:hAnsi="宋体" w:eastAsia="宋体" w:cs="宋体"/>
                <w:szCs w:val="21"/>
              </w:rPr>
            </w:pPr>
          </w:p>
        </w:tc>
      </w:tr>
    </w:tbl>
    <w:p>
      <w:pPr>
        <w:spacing w:before="120" w:beforeLines="50"/>
        <w:rPr>
          <w:rFonts w:hint="eastAsia" w:ascii="宋体" w:hAnsi="宋体" w:eastAsia="宋体" w:cs="宋体"/>
        </w:rPr>
        <w:sectPr>
          <w:headerReference r:id="rId9" w:type="default"/>
          <w:footerReference r:id="rId10" w:type="default"/>
          <w:pgSz w:w="11849" w:h="16781"/>
          <w:pgMar w:top="1418" w:right="1418" w:bottom="1418" w:left="1418" w:header="851" w:footer="851" w:gutter="0"/>
          <w:cols w:space="720" w:num="1"/>
          <w:docGrid w:linePitch="312" w:charSpace="0"/>
        </w:sectPr>
      </w:pPr>
      <w:r>
        <w:rPr>
          <w:rFonts w:hint="eastAsia" w:ascii="宋体" w:hAnsi="宋体" w:eastAsia="宋体" w:cs="宋体"/>
          <w:szCs w:val="21"/>
        </w:rPr>
        <w:t>注：表中费用应按规定计算，不可竞争</w:t>
      </w:r>
    </w:p>
    <w:p>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第五部分  合同授予</w:t>
      </w:r>
      <w:bookmarkEnd w:id="14"/>
      <w:bookmarkEnd w:id="15"/>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一、签订合同：</w:t>
      </w:r>
    </w:p>
    <w:p>
      <w:pPr>
        <w:widowControl/>
        <w:spacing w:line="6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采购人和成交供应商按成交通知书约定签订合同，合同签订的内容不能超出磋商文件、成交供应商的磋商响应文件、磋商过程中的补充承诺、最终书面报价的实质性内容。</w:t>
      </w: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二、合同格式：</w:t>
      </w:r>
    </w:p>
    <w:p>
      <w:pPr>
        <w:pStyle w:val="3"/>
        <w:jc w:val="center"/>
        <w:rPr>
          <w:rFonts w:hint="eastAsia" w:ascii="宋体" w:hAnsi="宋体" w:eastAsia="宋体" w:cs="宋体"/>
          <w:b w:val="0"/>
          <w:color w:val="auto"/>
          <w:sz w:val="28"/>
          <w:szCs w:val="28"/>
          <w:highlight w:val="none"/>
        </w:rPr>
      </w:pPr>
      <w:r>
        <w:rPr>
          <w:rFonts w:hint="eastAsia" w:ascii="宋体" w:hAnsi="宋体" w:eastAsia="宋体" w:cs="宋体"/>
          <w:color w:val="auto"/>
          <w:sz w:val="44"/>
          <w:szCs w:val="44"/>
          <w:highlight w:val="none"/>
        </w:rPr>
        <w:br w:type="page"/>
      </w:r>
      <w:bookmarkStart w:id="22" w:name="_Toc196637766"/>
      <w:bookmarkStart w:id="23" w:name="_Toc196637412"/>
      <w:bookmarkStart w:id="24" w:name="_Toc196637648"/>
      <w:bookmarkStart w:id="25" w:name="_Toc184635097"/>
      <w:bookmarkStart w:id="26" w:name="_Toc416701274"/>
      <w:r>
        <w:rPr>
          <w:rFonts w:hint="eastAsia" w:ascii="宋体" w:hAnsi="宋体" w:eastAsia="宋体" w:cs="宋体"/>
          <w:color w:val="auto"/>
          <w:sz w:val="24"/>
          <w:szCs w:val="30"/>
          <w:highlight w:val="none"/>
        </w:rPr>
        <w:t>第一节  合同协议书</w:t>
      </w:r>
    </w:p>
    <w:p>
      <w:pPr>
        <w:spacing w:line="360" w:lineRule="exact"/>
        <w:ind w:firstLine="562" w:firstLineChars="200"/>
        <w:jc w:val="center"/>
        <w:rPr>
          <w:rFonts w:hint="eastAsia" w:ascii="宋体" w:hAnsi="宋体" w:eastAsia="宋体" w:cs="宋体"/>
          <w:b/>
          <w:color w:val="auto"/>
          <w:sz w:val="28"/>
          <w:szCs w:val="28"/>
          <w:highlight w:val="none"/>
        </w:rPr>
      </w:pPr>
    </w:p>
    <w:p>
      <w:pPr>
        <w:wordWrap w:val="0"/>
        <w:spacing w:line="360" w:lineRule="exact"/>
        <w:ind w:right="69" w:rightChars="33" w:firstLine="420" w:firstLineChars="200"/>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编号：</w:t>
      </w:r>
      <w:r>
        <w:rPr>
          <w:rFonts w:hint="eastAsia" w:ascii="宋体" w:hAnsi="宋体" w:eastAsia="宋体" w:cs="宋体"/>
          <w:color w:val="auto"/>
          <w:szCs w:val="21"/>
          <w:highlight w:val="none"/>
          <w:u w:val="single"/>
        </w:rPr>
        <w:t xml:space="preserve">                       </w:t>
      </w:r>
    </w:p>
    <w:p>
      <w:pPr>
        <w:spacing w:line="360" w:lineRule="exact"/>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pacing w:val="10"/>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pacing w:val="10"/>
          <w:szCs w:val="21"/>
          <w:highlight w:val="none"/>
        </w:rPr>
        <w:t>：</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承包人(全称）</w:t>
      </w:r>
      <w:r>
        <w:rPr>
          <w:rFonts w:hint="eastAsia" w:ascii="宋体" w:hAnsi="宋体" w:eastAsia="宋体" w:cs="宋体"/>
          <w:b/>
          <w:color w:val="auto"/>
          <w:szCs w:val="21"/>
          <w:highlight w:val="none"/>
          <w:u w:val="single"/>
        </w:rPr>
        <w:t xml:space="preserve">                                                                   </w:t>
      </w:r>
    </w:p>
    <w:p>
      <w:pPr>
        <w:spacing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30"/>
          <w:szCs w:val="21"/>
          <w:highlight w:val="none"/>
        </w:rPr>
        <w:t>法定代表人：</w:t>
      </w:r>
      <w:r>
        <w:rPr>
          <w:rFonts w:hint="eastAsia" w:ascii="宋体" w:hAnsi="宋体" w:eastAsia="宋体" w:cs="宋体"/>
          <w:b/>
          <w:color w:val="auto"/>
          <w:szCs w:val="21"/>
          <w:highlight w:val="none"/>
          <w:u w:val="single"/>
        </w:rPr>
        <w:t xml:space="preserve">                                                                 </w:t>
      </w:r>
    </w:p>
    <w:p>
      <w:pPr>
        <w:spacing w:after="143" w:afterLines="50" w:line="360" w:lineRule="exact"/>
        <w:rPr>
          <w:rFonts w:hint="eastAsia" w:ascii="宋体" w:hAnsi="宋体" w:eastAsia="宋体" w:cs="宋体"/>
          <w:b/>
          <w:color w:val="auto"/>
          <w:szCs w:val="21"/>
          <w:highlight w:val="none"/>
        </w:rPr>
      </w:pPr>
      <w:r>
        <w:rPr>
          <w:rFonts w:hint="eastAsia" w:ascii="宋体" w:hAnsi="宋体" w:eastAsia="宋体" w:cs="宋体"/>
          <w:b/>
          <w:color w:val="auto"/>
          <w:spacing w:val="10"/>
          <w:szCs w:val="21"/>
          <w:highlight w:val="none"/>
        </w:rPr>
        <w:t>法定注册地址：</w:t>
      </w:r>
      <w:r>
        <w:rPr>
          <w:rFonts w:hint="eastAsia" w:ascii="宋体" w:hAnsi="宋体" w:eastAsia="宋体" w:cs="宋体"/>
          <w:b/>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发包人为建设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(以下简称“本工程”)，已接受承包人提出的承担本工程的施工、竣工、交付并维修其任何缺陷的投标。依照《中华人民共和国招标投标法》、《</w:t>
      </w:r>
      <w:r>
        <w:rPr>
          <w:rFonts w:hint="eastAsia" w:ascii="宋体" w:hAnsi="宋体" w:eastAsia="宋体" w:cs="宋体"/>
          <w:color w:val="auto"/>
          <w:szCs w:val="21"/>
          <w:highlight w:val="none"/>
          <w:lang w:eastAsia="zh-CN"/>
        </w:rPr>
        <w:t>中华人民共和国民法典</w:t>
      </w:r>
      <w:r>
        <w:rPr>
          <w:rFonts w:hint="eastAsia" w:ascii="宋体" w:hAnsi="宋体" w:eastAsia="宋体" w:cs="宋体"/>
          <w:color w:val="auto"/>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一、工程概况</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工程地点：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工程内容：</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工程立项批准文号：</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资金来源：</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二、工程承包范围</w:t>
      </w:r>
    </w:p>
    <w:p>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承包范围：</w:t>
      </w:r>
      <w:r>
        <w:rPr>
          <w:rFonts w:hint="eastAsia" w:ascii="宋体" w:hAnsi="宋体" w:eastAsia="宋体" w:cs="宋体"/>
          <w:color w:val="auto"/>
          <w:szCs w:val="21"/>
          <w:highlight w:val="none"/>
          <w:u w:val="single"/>
        </w:rPr>
        <w:t xml:space="preserve">                                                 </w:t>
      </w:r>
    </w:p>
    <w:p>
      <w:pPr>
        <w:spacing w:line="360" w:lineRule="exact"/>
        <w:ind w:left="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三、合同工期</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计划开工日期：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计划竣工日期：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工期总日历天数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四、质量标准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工程质量标准：</w:t>
      </w:r>
      <w:r>
        <w:rPr>
          <w:rFonts w:hint="eastAsia" w:ascii="宋体" w:hAnsi="宋体" w:eastAsia="宋体" w:cs="宋体"/>
          <w:color w:val="auto"/>
          <w:szCs w:val="21"/>
          <w:highlight w:val="none"/>
          <w:u w:val="single"/>
        </w:rPr>
        <w:t xml:space="preserve">                                               </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五、合同形式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本合同采用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合同形式。</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六、签约合同价</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元(人民币)</w:t>
      </w:r>
    </w:p>
    <w:p>
      <w:pPr>
        <w:spacing w:line="360" w:lineRule="exact"/>
        <w:ind w:firstLine="642" w:firstLineChars="306"/>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其中：安全文明施工费：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元（其中计日工金额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材料和工程设备暂估价：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1050" w:firstLineChars="5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七、承包人项目经理：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职称：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建造师执业资格证书号：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八、合同文件的组成</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下列文件共同构成合同文件：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1、本协议书；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3、磋商响应函；</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7、已标价工程量清单（按最终承诺报价与初次报价的调整比例同比例调整的）；</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九、本协议书中有关词语定义与合同条款中的定义相同。</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十一、发包人承诺按照合同约定的条件、期限和方式向承包人支付合同价款。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十二、本协议书连同其他合同文件正本一式两份，合同双方各执一份；副本一式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份。</w:t>
      </w:r>
    </w:p>
    <w:p>
      <w:pPr>
        <w:numPr>
          <w:ilvl w:val="0"/>
          <w:numId w:val="3"/>
        </w:num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合同未尽事宜，双方另行签订补充协议，但不得背离本协议第八条所约定的合同文件的实质性内容。补充协议是合同文件的组成部分。</w:t>
      </w:r>
    </w:p>
    <w:p>
      <w:pPr>
        <w:widowControl/>
        <w:spacing w:line="360" w:lineRule="auto"/>
        <w:jc w:val="center"/>
        <w:rPr>
          <w:rFonts w:hint="eastAsia" w:ascii="宋体" w:hAnsi="宋体" w:eastAsia="宋体" w:cs="宋体"/>
          <w:color w:val="auto"/>
          <w:szCs w:val="21"/>
          <w:highlight w:val="none"/>
          <w:u w:val="single"/>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发包人：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(盖单位章)        承包人：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(盖单位章)</w:t>
      </w:r>
    </w:p>
    <w:p>
      <w:pPr>
        <w:spacing w:line="360" w:lineRule="auto"/>
        <w:rPr>
          <w:rFonts w:hint="eastAsia" w:ascii="宋体" w:hAnsi="宋体" w:eastAsia="宋体" w:cs="宋体"/>
          <w:color w:val="auto"/>
          <w:sz w:val="21"/>
          <w:szCs w:val="21"/>
        </w:rPr>
      </w:pP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                           法定代表人或其</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(签字)      委托代理人：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(签字)</w:t>
      </w:r>
    </w:p>
    <w:p>
      <w:pPr>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日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spacing w:line="360" w:lineRule="auto"/>
        <w:rPr>
          <w:rFonts w:hint="eastAsia" w:ascii="宋体" w:hAnsi="宋体" w:eastAsia="宋体" w:cs="宋体"/>
          <w:color w:val="auto"/>
          <w:sz w:val="21"/>
          <w:szCs w:val="21"/>
          <w:u w:val="single"/>
        </w:rPr>
      </w:pPr>
      <w:r>
        <w:rPr>
          <w:rFonts w:hint="eastAsia" w:ascii="宋体" w:hAnsi="宋体" w:eastAsia="宋体" w:cs="宋体"/>
          <w:color w:val="auto"/>
          <w:sz w:val="21"/>
          <w:szCs w:val="21"/>
        </w:rPr>
        <w:t>签约地点：</w:t>
      </w:r>
      <w:r>
        <w:rPr>
          <w:rFonts w:hint="eastAsia" w:ascii="宋体" w:hAnsi="宋体" w:eastAsia="宋体" w:cs="宋体"/>
          <w:color w:val="auto"/>
          <w:sz w:val="21"/>
          <w:szCs w:val="21"/>
          <w:u w:val="single"/>
        </w:rPr>
        <w:t xml:space="preserve">                                                                 </w:t>
      </w:r>
    </w:p>
    <w:p>
      <w:pPr>
        <w:spacing w:line="460" w:lineRule="exact"/>
        <w:ind w:firstLine="5670" w:firstLineChars="2700"/>
        <w:rPr>
          <w:rFonts w:hint="eastAsia" w:ascii="宋体" w:hAnsi="宋体" w:eastAsia="宋体" w:cs="宋体"/>
          <w:color w:val="auto"/>
          <w:szCs w:val="21"/>
          <w:highlight w:val="none"/>
        </w:rPr>
      </w:pPr>
    </w:p>
    <w:p>
      <w:pPr>
        <w:widowControl/>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b/>
          <w:color w:val="auto"/>
          <w:kern w:val="0"/>
          <w:sz w:val="24"/>
          <w:highlight w:val="none"/>
        </w:rPr>
        <w:t>第二节  通用合同条款</w:t>
      </w:r>
      <w:bookmarkEnd w:id="22"/>
      <w:bookmarkEnd w:id="23"/>
      <w:bookmarkEnd w:id="24"/>
      <w:bookmarkEnd w:id="25"/>
    </w:p>
    <w:bookmarkEnd w:id="26"/>
    <w:p>
      <w:pPr>
        <w:pStyle w:val="3"/>
        <w:widowControl/>
        <w:jc w:val="center"/>
        <w:rPr>
          <w:rFonts w:hint="eastAsia" w:ascii="宋体" w:hAnsi="宋体" w:eastAsia="宋体" w:cs="宋体"/>
          <w:color w:val="auto"/>
          <w:sz w:val="24"/>
          <w:szCs w:val="30"/>
          <w:highlight w:val="none"/>
        </w:rPr>
      </w:pPr>
      <w:bookmarkStart w:id="27" w:name="_Toc19503"/>
      <w:bookmarkStart w:id="28" w:name="_Toc30012"/>
      <w:bookmarkStart w:id="29" w:name="_Toc27333"/>
      <w:bookmarkStart w:id="30" w:name="_Toc420341474"/>
      <w:bookmarkStart w:id="31" w:name="_Toc885"/>
      <w:bookmarkStart w:id="32" w:name="_Toc13742"/>
      <w:bookmarkStart w:id="33" w:name="_Toc14590"/>
      <w:bookmarkStart w:id="34" w:name="_Toc22187"/>
      <w:bookmarkStart w:id="35" w:name="_Toc11316"/>
      <w:r>
        <w:rPr>
          <w:rFonts w:hint="eastAsia" w:ascii="宋体" w:hAnsi="宋体" w:eastAsia="宋体" w:cs="宋体"/>
          <w:color w:val="auto"/>
          <w:sz w:val="24"/>
          <w:szCs w:val="30"/>
          <w:highlight w:val="none"/>
        </w:rPr>
        <w:t>通用合同条款（见《中华人民共和国标准施工招标文件》2007年版</w:t>
      </w:r>
      <w:r>
        <w:rPr>
          <w:rFonts w:hint="eastAsia" w:ascii="宋体" w:hAnsi="宋体" w:eastAsia="宋体" w:cs="宋体"/>
          <w:color w:val="auto"/>
          <w:sz w:val="24"/>
          <w:szCs w:val="30"/>
          <w:highlight w:val="none"/>
        </w:rPr>
        <w:br w:type="page"/>
      </w:r>
      <w:bookmarkEnd w:id="27"/>
      <w:bookmarkEnd w:id="28"/>
      <w:bookmarkEnd w:id="29"/>
      <w:bookmarkEnd w:id="30"/>
      <w:bookmarkEnd w:id="31"/>
      <w:bookmarkEnd w:id="32"/>
      <w:r>
        <w:rPr>
          <w:rFonts w:hint="eastAsia" w:ascii="宋体" w:hAnsi="宋体" w:eastAsia="宋体" w:cs="宋体"/>
          <w:color w:val="auto"/>
          <w:sz w:val="24"/>
          <w:szCs w:val="30"/>
          <w:highlight w:val="none"/>
        </w:rPr>
        <w:t>第三节  专用合同条款</w:t>
      </w:r>
      <w:bookmarkEnd w:id="33"/>
      <w:bookmarkEnd w:id="34"/>
      <w:bookmarkEnd w:id="35"/>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1.一般约定</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1.1词语定义</w:t>
      </w:r>
    </w:p>
    <w:p>
      <w:pPr>
        <w:spacing w:before="57" w:beforeLines="2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1.1.2合同当事人和人员</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1.1.2.2发包人：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1.1.2.6监理人：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1.1.2.8发包人代表：指发包人指定的派驻施工场地(现场)的全权代表。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1.1.2.9 专业分包人：指根据合同条款第15.8.1项的约定，由发包人和承包人以招标方式选择的分包人。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1.1.2.10 专项供应商：指根据合同条款第15.8.1项的约定，由发包人和承包人以招标方式选择的供应商。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1.1.2.11独立承包人：指与发包人直接订立工程承包合同，负责实施与工程有关的其他工作的当事人。</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1.1.3工程和设备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1.1.3.2永久工程：</w:t>
      </w:r>
      <w:r>
        <w:rPr>
          <w:rFonts w:hint="eastAsia" w:ascii="宋体" w:hAnsi="宋体" w:eastAsia="宋体" w:cs="宋体"/>
          <w:color w:val="auto"/>
          <w:szCs w:val="21"/>
          <w:highlight w:val="none"/>
          <w:u w:val="single"/>
        </w:rPr>
        <w:t xml:space="preserve">按合同约定建造并移交给发包人的工程，包括工程设备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1.1.3.3临时工程：</w:t>
      </w:r>
      <w:r>
        <w:rPr>
          <w:rFonts w:hint="eastAsia" w:ascii="宋体" w:hAnsi="宋体" w:eastAsia="宋体" w:cs="宋体"/>
          <w:color w:val="auto"/>
          <w:szCs w:val="21"/>
          <w:highlight w:val="none"/>
          <w:u w:val="single"/>
        </w:rPr>
        <w:t>为完成合同约定的永久工程所修建的各类临时性工程，不包括施工设备</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1.1.3.10永久占地：</w:t>
      </w:r>
      <w:r>
        <w:rPr>
          <w:rFonts w:hint="eastAsia" w:ascii="宋体" w:hAnsi="宋体" w:eastAsia="宋体" w:cs="宋体"/>
          <w:color w:val="auto"/>
          <w:szCs w:val="21"/>
          <w:highlight w:val="none"/>
          <w:u w:val="single"/>
        </w:rPr>
        <w:t xml:space="preserve">指为实施本合同工程而需要的一切永久占用的土地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1.1.3.11临时占地：</w:t>
      </w:r>
      <w:r>
        <w:rPr>
          <w:rFonts w:hint="eastAsia" w:ascii="宋体" w:hAnsi="宋体" w:eastAsia="宋体" w:cs="宋体"/>
          <w:color w:val="auto"/>
          <w:szCs w:val="21"/>
          <w:highlight w:val="none"/>
          <w:u w:val="single"/>
        </w:rPr>
        <w:t>指为实施本合同工程而需要的一切临时占用的土地</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1.1.4日期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1.1.4.5缺陷责任期期限：</w:t>
      </w:r>
      <w:r>
        <w:rPr>
          <w:rFonts w:hint="eastAsia" w:ascii="宋体" w:hAnsi="宋体" w:eastAsia="宋体" w:cs="宋体"/>
          <w:color w:val="auto"/>
          <w:szCs w:val="21"/>
          <w:highlight w:val="none"/>
          <w:u w:val="single"/>
        </w:rPr>
        <w:t>24个</w:t>
      </w:r>
      <w:r>
        <w:rPr>
          <w:rFonts w:hint="eastAsia" w:ascii="宋体" w:hAnsi="宋体" w:eastAsia="宋体" w:cs="宋体"/>
          <w:color w:val="auto"/>
          <w:szCs w:val="21"/>
          <w:highlight w:val="none"/>
        </w:rPr>
        <w:t>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1.1.6其他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1.1.6.4除另有特别指明外，专用合同条款中使用的措辞“合同条款”指通用合同条款和(或)专用合同条款。</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1.4合同文件的优先顺序</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合同文件的优先解释顺序如下：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(2)成交通知书；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(3)磋商响应函；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(6)图纸；</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(7)已标价工程量清单；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(8)其他合同文件。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图纸与施工组织设计准和要求之间有矛盾或者不一致的，以其中要求较严格的标准为准。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合同双方在合同履行过程中签订的补充协议亦构成合同文件的组成部分，其解释顺序视其内容与其他合同文件的相互关系而定。</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1.5合同协议书</w:t>
      </w:r>
    </w:p>
    <w:p>
      <w:pPr>
        <w:spacing w:before="143" w:beforeLines="50" w:after="143" w:after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合同生效的条件：</w:t>
      </w:r>
      <w:r>
        <w:rPr>
          <w:rFonts w:hint="eastAsia" w:ascii="宋体" w:hAnsi="宋体" w:eastAsia="宋体" w:cs="宋体"/>
          <w:color w:val="auto"/>
          <w:szCs w:val="21"/>
          <w:highlight w:val="none"/>
          <w:u w:val="single"/>
        </w:rPr>
        <w:t>发包人和承包人的法定代表人或其委托代理人在合同协议书上签字并盖单位章后，合同生效</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1.6图纸和承包人文件</w:t>
      </w:r>
    </w:p>
    <w:p>
      <w:pPr>
        <w:spacing w:before="143" w:beforeLines="50" w:after="143" w:afterLines="50"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1.6.1图纸的提供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(3)发包人提供图纸的期限：</w:t>
      </w:r>
      <w:r>
        <w:rPr>
          <w:rFonts w:hint="eastAsia" w:ascii="宋体" w:hAnsi="宋体" w:eastAsia="宋体" w:cs="宋体"/>
          <w:color w:val="auto"/>
          <w:szCs w:val="21"/>
          <w:highlight w:val="none"/>
          <w:u w:val="single"/>
        </w:rPr>
        <w:t>开工前三天</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(4)发包人提供图纸的数量：</w:t>
      </w:r>
      <w:r>
        <w:rPr>
          <w:rFonts w:hint="eastAsia" w:ascii="宋体" w:hAnsi="宋体" w:eastAsia="宋体" w:cs="宋体"/>
          <w:color w:val="auto"/>
          <w:szCs w:val="21"/>
          <w:highlight w:val="none"/>
          <w:u w:val="single"/>
        </w:rPr>
        <w:t xml:space="preserve">   三套   </w:t>
      </w:r>
      <w:r>
        <w:rPr>
          <w:rFonts w:hint="eastAsia" w:ascii="宋体" w:hAnsi="宋体" w:eastAsia="宋体" w:cs="宋体"/>
          <w:color w:val="auto"/>
          <w:szCs w:val="21"/>
          <w:highlight w:val="none"/>
        </w:rPr>
        <w:t>。</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1.6.2承包人提供的文件</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Cs w:val="21"/>
          <w:highlight w:val="none"/>
          <w:u w:val="single"/>
        </w:rPr>
        <w:t xml:space="preserve">   需要时按发包人及监理人要求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(2)承包人提供文件的期限：</w:t>
      </w:r>
      <w:r>
        <w:rPr>
          <w:rFonts w:hint="eastAsia" w:ascii="宋体" w:hAnsi="宋体" w:eastAsia="宋体" w:cs="宋体"/>
          <w:color w:val="auto"/>
          <w:szCs w:val="21"/>
          <w:highlight w:val="none"/>
          <w:u w:val="single"/>
        </w:rPr>
        <w:t xml:space="preserve">  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(3)承包人提供文件的数量：</w:t>
      </w:r>
      <w:r>
        <w:rPr>
          <w:rFonts w:hint="eastAsia" w:ascii="宋体" w:hAnsi="宋体" w:eastAsia="宋体" w:cs="宋体"/>
          <w:color w:val="auto"/>
          <w:szCs w:val="21"/>
          <w:highlight w:val="none"/>
          <w:u w:val="single"/>
        </w:rPr>
        <w:t xml:space="preserve">  按发包人及监理人要求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(4)监理人批复承包人提供文件的期限：</w:t>
      </w:r>
      <w:r>
        <w:rPr>
          <w:rFonts w:hint="eastAsia" w:ascii="宋体" w:hAnsi="宋体" w:eastAsia="宋体" w:cs="宋体"/>
          <w:color w:val="auto"/>
          <w:szCs w:val="21"/>
          <w:highlight w:val="none"/>
          <w:u w:val="single"/>
        </w:rPr>
        <w:t xml:space="preserve">  收到承包人提供的文件后7天内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 xml:space="preserve"> (5)其他约定：</w:t>
      </w:r>
      <w:r>
        <w:rPr>
          <w:rFonts w:hint="eastAsia" w:ascii="宋体" w:hAnsi="宋体" w:eastAsia="宋体" w:cs="宋体"/>
          <w:color w:val="auto"/>
          <w:szCs w:val="21"/>
          <w:highlight w:val="none"/>
          <w:u w:val="single"/>
        </w:rPr>
        <w:t xml:space="preserve">                  /                                             </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1.6.3图纸的修改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监理人应当按照合同条款第1.6.1(2)目约定的有合同约束力的图纸供应计划，签发图纸修改图给承包人。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1.7联络</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1.7.2联络来往函件的送达和接收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(2)发包人指定的接收地点：</w:t>
      </w:r>
      <w:r>
        <w:rPr>
          <w:rFonts w:hint="eastAsia" w:ascii="宋体" w:hAnsi="宋体" w:eastAsia="宋体" w:cs="宋体"/>
          <w:color w:val="auto"/>
          <w:szCs w:val="21"/>
          <w:highlight w:val="none"/>
          <w:u w:val="single"/>
        </w:rPr>
        <w:t xml:space="preserve">  本工程现场发包人代表办公室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(3)发包人指定的接收人为：</w:t>
      </w:r>
      <w:r>
        <w:rPr>
          <w:rFonts w:hint="eastAsia" w:ascii="宋体" w:hAnsi="宋体" w:eastAsia="宋体" w:cs="宋体"/>
          <w:color w:val="auto"/>
          <w:szCs w:val="21"/>
          <w:highlight w:val="none"/>
          <w:u w:val="single"/>
        </w:rPr>
        <w:t xml:space="preserve">  发包人代表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(4)监理人指定的接收地点：</w:t>
      </w:r>
      <w:r>
        <w:rPr>
          <w:rFonts w:hint="eastAsia" w:ascii="宋体" w:hAnsi="宋体" w:eastAsia="宋体" w:cs="宋体"/>
          <w:color w:val="auto"/>
          <w:szCs w:val="21"/>
          <w:highlight w:val="none"/>
          <w:u w:val="single"/>
        </w:rPr>
        <w:t xml:space="preserve">  本工程现场总监代表办公室                          </w:t>
      </w:r>
      <w:r>
        <w:rPr>
          <w:rFonts w:hint="eastAsia" w:ascii="宋体" w:hAnsi="宋体" w:eastAsia="宋体" w:cs="宋体"/>
          <w:color w:val="auto"/>
          <w:szCs w:val="21"/>
          <w:highlight w:val="none"/>
        </w:rPr>
        <w:t>。</w:t>
      </w:r>
    </w:p>
    <w:p>
      <w:pPr>
        <w:spacing w:line="40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(5)监理人指定的接收人为：</w:t>
      </w:r>
      <w:r>
        <w:rPr>
          <w:rFonts w:hint="eastAsia" w:ascii="宋体" w:hAnsi="宋体" w:eastAsia="宋体" w:cs="宋体"/>
          <w:color w:val="auto"/>
          <w:szCs w:val="21"/>
          <w:highlight w:val="none"/>
          <w:u w:val="single"/>
        </w:rPr>
        <w:t xml:space="preserve">  总监或总监代表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2.发包人义务</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2.3提供施工场地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施工场地应当在监理人发出的开工通知中载明的开工日期前</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2.5组织设计交底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2.8其他义务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(1)按有关规定及时办理工程质量监督手续。</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(4)发包人应当履行合同约定的其他义务以及下述义务：</w:t>
      </w:r>
      <w:r>
        <w:rPr>
          <w:rFonts w:hint="eastAsia" w:ascii="宋体" w:hAnsi="宋体" w:eastAsia="宋体" w:cs="宋体"/>
          <w:color w:val="auto"/>
          <w:szCs w:val="21"/>
          <w:highlight w:val="none"/>
          <w:u w:val="single"/>
        </w:rPr>
        <w:t xml:space="preserve">            /               </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3.监理人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3.1监理人的职责和权力</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3.1.1须经发包人批准行使的权力：</w:t>
      </w:r>
      <w:r>
        <w:rPr>
          <w:rFonts w:hint="eastAsia" w:ascii="宋体" w:hAnsi="宋体" w:eastAsia="宋体" w:cs="宋体"/>
          <w:color w:val="auto"/>
          <w:szCs w:val="21"/>
          <w:highlight w:val="none"/>
          <w:u w:val="single"/>
        </w:rPr>
        <w:t xml:space="preserve"> 涉及本工程分包、变更、费用、质量、工期的事项及监理合同中须发包人批准才能行使的监理人的权力。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不管通用合同条款第3.1.1项如何约定，监理人履行须经发包人批准行使的权力时，应当向承包人出示其行使该权力已经取得发包人批准的文件或者其他合法有效的证明。</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3.3监理人员</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3.3.4总监理工程师不应将第3.5款约定应由总监理工程师作出确定的权力授权或者委托给其他监理人员。</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3.4监理人的指示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3.4.4除通用合同条款已有的专门约定外，承包人只能从总监理工程师或按第3.3.1项授权的监理人员处取得指示，发包人应当通过监理人向承包人发出指示。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3.6监理人的宽恕</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4.承包人</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4.1承包人的一般义务</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4.1.8为他人提供方便</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Cs w:val="21"/>
          <w:highlight w:val="none"/>
          <w:u w:val="single"/>
        </w:rPr>
        <w:t xml:space="preserve">根据施工过程中实际情况由发包人和监理人指派并审批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4.1.10其他义务</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Cs w:val="21"/>
          <w:highlight w:val="none"/>
          <w:u w:val="single"/>
        </w:rPr>
        <w:t xml:space="preserve">需要时发包人与承包人另行约定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(2)承包人应履行合同约定的其他义务以及下述义务：</w:t>
      </w:r>
      <w:r>
        <w:rPr>
          <w:rFonts w:hint="eastAsia" w:ascii="宋体" w:hAnsi="宋体" w:eastAsia="宋体" w:cs="宋体"/>
          <w:color w:val="auto"/>
          <w:szCs w:val="21"/>
          <w:highlight w:val="none"/>
          <w:u w:val="single"/>
        </w:rPr>
        <w:t xml:space="preserve">需要时发包人与承包人另行约定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4.2履约担保</w:t>
      </w:r>
      <w:r>
        <w:rPr>
          <w:rFonts w:hint="eastAsia" w:ascii="宋体" w:hAnsi="宋体" w:eastAsia="宋体" w:cs="宋体"/>
          <w:color w:val="auto"/>
          <w:sz w:val="21"/>
          <w:highlight w:val="none"/>
          <w:lang w:val="en-US" w:eastAsia="zh-CN"/>
        </w:rPr>
        <w:t xml:space="preserve">  无</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4.3分包</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本工程不允许分包。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4.5承包人项目经理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eastAsia="宋体" w:cs="宋体"/>
          <w:b/>
          <w:bCs/>
          <w:color w:val="auto"/>
          <w:szCs w:val="21"/>
          <w:highlight w:val="none"/>
          <w:u w:val="single"/>
        </w:rPr>
      </w:pPr>
      <w:r>
        <w:rPr>
          <w:rFonts w:hint="eastAsia" w:ascii="宋体" w:hAnsi="宋体" w:eastAsia="宋体" w:cs="宋体"/>
          <w:b/>
          <w:color w:val="auto"/>
          <w:highlight w:val="none"/>
        </w:rPr>
        <w:t>4.5.2</w:t>
      </w:r>
      <w:r>
        <w:rPr>
          <w:rFonts w:hint="eastAsia" w:ascii="宋体" w:hAnsi="宋体" w:eastAsia="宋体" w:cs="宋体"/>
          <w:b/>
          <w:color w:val="auto"/>
          <w:szCs w:val="21"/>
          <w:highlight w:val="none"/>
          <w:u w:val="single"/>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本条未提到的项目经理其它权利和义务执行合同通用条款</w:t>
      </w:r>
      <w:r>
        <w:rPr>
          <w:rFonts w:hint="eastAsia" w:ascii="宋体" w:hAnsi="宋体" w:eastAsia="宋体" w:cs="宋体"/>
          <w:b/>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4.6不利物质条件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4.6.1不利物质条件的范围：</w:t>
      </w:r>
      <w:r>
        <w:rPr>
          <w:rFonts w:hint="eastAsia" w:ascii="宋体" w:hAnsi="宋体" w:eastAsia="宋体" w:cs="宋体"/>
          <w:color w:val="auto"/>
          <w:szCs w:val="21"/>
          <w:highlight w:val="none"/>
          <w:u w:val="single"/>
        </w:rPr>
        <w:t>不利物质条件指承包人在施工场地遇到的不可预见的自然物质条件、非自然的物质障碍和污染物，包括地下和水文条件，但不包括气候条件。</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4.11.3</w:t>
      </w:r>
      <w:r>
        <w:rPr>
          <w:rFonts w:hint="eastAsia" w:ascii="宋体" w:hAnsi="宋体" w:eastAsia="宋体" w:cs="宋体"/>
          <w:color w:val="auto"/>
          <w:szCs w:val="21"/>
          <w:highlight w:val="none"/>
          <w:u w:val="single"/>
        </w:rPr>
        <w:t>在不利物质条件发生之前，监理人已经指示承包人有可能发生，但承包人未能及时采取有效措施，而导致的损失和后果均由承包人承担。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5.材料和工程设备</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5.1承包人提供的材料和工程设备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承包人负责提供的材料和工程设备，专用条款中有规定的必须优于或等同于专用条款中的规定。</w:t>
      </w:r>
    </w:p>
    <w:p>
      <w:pPr>
        <w:spacing w:line="440" w:lineRule="exact"/>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5.1.2承包人将由其提供的材料和工程设备的供货人及品种、规格、数量和供货时间等报送监理人审批的期限：</w:t>
      </w:r>
      <w:r>
        <w:rPr>
          <w:rFonts w:hint="eastAsia" w:ascii="宋体" w:hAnsi="宋体" w:eastAsia="宋体" w:cs="宋体"/>
          <w:color w:val="auto"/>
          <w:szCs w:val="21"/>
          <w:highlight w:val="none"/>
          <w:u w:val="single"/>
        </w:rPr>
        <w:t xml:space="preserve">相关分部分项工程开始施工前7天报送监理人审批。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5.2发包人提供的材料和工程设备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5.2.3由发包人提供的材料和工程设备验收后，由承包人负责接收、运输和保管。</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6.施工设备和临时设施</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6.1承包人提供的施工设备和临时设施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6.1.2发包人承担修建临时设施的费用的范围：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需要发包人办理申请手续和承担相关费用的临时占地：</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6.2发包人提供的施工设备和临时设施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发包人提供的施工设备和临时设施的运行、维护、拆除、清运费用的承担人：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6.4施工设备和临时设施专用于合同工程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6.4.1除为专用合同条款第4.1.8项约定的其他独立承包人和监理人指示的他人提供条件外，承包人运入施工场地的所有施工设备以及在施工场地建设的临时设施仅限于用于合同工程。</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7.交通运输</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7.1道路通行权和场外设施</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取得道路通行权、场外设施修建权的办理人：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，其相关费用由承包人承担。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7.2场内施工道路</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7.2.1施工所需的场内临时道路和交通设施的修建、维护、养护和管理人：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，相关费用由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7.2.2发包人和监理人有权无偿使用承包人修建的临时道路和交通设施，不需要交纳任何费用。</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7.4超大件和超重件的运输</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运输超大件或超重件所需的道路和桥梁临时加固改造等费用的承担人：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8.测量放线</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8.1施工控制网</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8.1.1发包人通过监理人提供测量基准点、基准线和水准点及其书面资料的期限：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承包人测设施工控制网的要求：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承包人将施工控制网资料报送监理人审批的期限：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9.施工安全、治安保卫和环境保护</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9.2承包人的施工安全责任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9.2.1承包人向监理人报送施工安全措施计划的期限：</w:t>
      </w:r>
      <w:r>
        <w:rPr>
          <w:rFonts w:hint="eastAsia" w:ascii="宋体" w:hAnsi="宋体" w:eastAsia="宋体" w:cs="宋体"/>
          <w:color w:val="auto"/>
          <w:szCs w:val="21"/>
          <w:highlight w:val="none"/>
          <w:u w:val="single"/>
        </w:rPr>
        <w:t xml:space="preserve"> 签订施工合同后7天内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监理人收到承包人报送的施工安全措施计划后应当在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天内给予批复。</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9.3治安保卫</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9.3.1承包人应当负责统一管理施工场地的治安保卫事项，履行合同工程的治安保卫职责。</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9.3.3施工场地治安管理计划和突发治安事件紧急预案的编制责任人：</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9.4环境保护</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9.4.2施工环保措施计划报送监理人审批的时间：</w:t>
      </w:r>
      <w:r>
        <w:rPr>
          <w:rFonts w:hint="eastAsia" w:ascii="宋体" w:hAnsi="宋体" w:eastAsia="宋体" w:cs="宋体"/>
          <w:color w:val="auto"/>
          <w:szCs w:val="21"/>
          <w:highlight w:val="none"/>
          <w:u w:val="single"/>
        </w:rPr>
        <w:t xml:space="preserve">  签订施工合同后7天内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监理人收到承包人报送的施工环保措施计划后应当在</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天内给予批复。</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10.进度计划</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10.1合同进度计划</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eastAsia="宋体" w:cs="宋体"/>
          <w:color w:val="auto"/>
          <w:szCs w:val="21"/>
          <w:highlight w:val="none"/>
          <w:u w:val="single"/>
        </w:rPr>
        <w:t xml:space="preserve"> 承包人应按投标阶段承诺的总进度计划关键线路目标，以及施工顺序和方法要点，向监理人提交更准确更详细的施工进度计划和施工方案 </w:t>
      </w:r>
      <w:r>
        <w:rPr>
          <w:rFonts w:hint="eastAsia" w:ascii="宋体" w:hAnsi="宋体" w:eastAsia="宋体" w:cs="宋体"/>
          <w:color w:val="auto"/>
          <w:szCs w:val="21"/>
          <w:highlight w:val="none"/>
        </w:rPr>
        <w:t>，施工进度计划中还应载明要求发包人组织设计人进行阶段性工程设计交底的时间。</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(3)承包人编制分阶段或分项施工进度计划和施工方案说明的内容：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承包人报送分阶段或分项施工进度计划和施工方案说明的期限：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10.2合同进度计划的修订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(1)承包人报送修订合同进度计划申请报告和相关资料的期限：</w:t>
      </w:r>
      <w:r>
        <w:rPr>
          <w:rFonts w:hint="eastAsia" w:ascii="宋体" w:hAnsi="宋体" w:eastAsia="宋体" w:cs="宋体"/>
          <w:color w:val="auto"/>
          <w:szCs w:val="21"/>
          <w:highlight w:val="none"/>
          <w:u w:val="single"/>
        </w:rPr>
        <w:t>实际进度发生滞后的当月25日前。</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(2)监理人批复修订合同进度计划申请报告的期限：</w:t>
      </w:r>
      <w:r>
        <w:rPr>
          <w:rFonts w:hint="eastAsia" w:ascii="宋体" w:hAnsi="宋体" w:eastAsia="宋体" w:cs="宋体"/>
          <w:color w:val="auto"/>
          <w:szCs w:val="21"/>
          <w:highlight w:val="none"/>
          <w:u w:val="single"/>
        </w:rPr>
        <w:t xml:space="preserve"> 收到修订合同进度计划申请报告后2天内。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(3)监理人批复修订合同进度计划的期限：</w:t>
      </w:r>
      <w:r>
        <w:rPr>
          <w:rFonts w:hint="eastAsia" w:ascii="宋体" w:hAnsi="宋体" w:eastAsia="宋体" w:cs="宋体"/>
          <w:color w:val="auto"/>
          <w:szCs w:val="21"/>
          <w:highlight w:val="none"/>
          <w:u w:val="single"/>
        </w:rPr>
        <w:t>收到修订合同进度计划后3天内</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11.开工和竣工</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11.3发包人的工期延误</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11.4异常恶劣的气候条件</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异常恶劣的气候条件的范围和标准：</w:t>
      </w:r>
      <w:r>
        <w:rPr>
          <w:rFonts w:hint="eastAsia" w:ascii="宋体" w:hAnsi="宋体" w:eastAsia="宋体" w:cs="宋体"/>
          <w:color w:val="auto"/>
          <w:szCs w:val="21"/>
          <w:highlight w:val="none"/>
          <w:u w:val="single"/>
        </w:rPr>
        <w:t xml:space="preserve">  项目所在地30年以上一遇的罕见气候现象（包括温度、降水、降雪、风等）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11.5承包人的工期延误</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逾期竣工违约金的计算标准：</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工期每误期一天支付违约金</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000元。</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逾期竣工违约金的计算方法：</w:t>
      </w:r>
      <w:r>
        <w:rPr>
          <w:rFonts w:hint="eastAsia" w:ascii="宋体" w:hAnsi="宋体" w:eastAsia="宋体" w:cs="宋体"/>
          <w:b/>
          <w:color w:val="auto"/>
          <w:szCs w:val="21"/>
          <w:highlight w:val="none"/>
          <w:u w:val="single"/>
        </w:rPr>
        <w:t xml:space="preserve"> 工期每误期一天支付违约金</w:t>
      </w:r>
      <w:r>
        <w:rPr>
          <w:rFonts w:hint="eastAsia" w:ascii="宋体" w:hAnsi="宋体" w:eastAsia="宋体" w:cs="宋体"/>
          <w:b/>
          <w:color w:val="auto"/>
          <w:szCs w:val="21"/>
          <w:highlight w:val="none"/>
          <w:u w:val="single"/>
          <w:lang w:val="en-US" w:eastAsia="zh-CN"/>
        </w:rPr>
        <w:t>1</w:t>
      </w:r>
      <w:r>
        <w:rPr>
          <w:rFonts w:hint="eastAsia" w:ascii="宋体" w:hAnsi="宋体" w:eastAsia="宋体" w:cs="宋体"/>
          <w:b/>
          <w:color w:val="auto"/>
          <w:szCs w:val="21"/>
          <w:highlight w:val="none"/>
          <w:u w:val="single"/>
        </w:rPr>
        <w:t>000元。</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逾期竣工违约金的限额：</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最高赔偿金额不超过签约合同价的</w:t>
      </w:r>
      <w:r>
        <w:rPr>
          <w:rFonts w:hint="eastAsia" w:ascii="宋体" w:hAnsi="宋体" w:eastAsia="宋体" w:cs="宋体"/>
          <w:b/>
          <w:color w:val="auto"/>
          <w:szCs w:val="21"/>
          <w:highlight w:val="none"/>
          <w:u w:val="single"/>
          <w:lang w:val="en-US" w:eastAsia="zh-CN"/>
        </w:rPr>
        <w:t>10</w:t>
      </w:r>
      <w:r>
        <w:rPr>
          <w:rFonts w:hint="eastAsia" w:ascii="宋体" w:hAnsi="宋体" w:eastAsia="宋体" w:cs="宋体"/>
          <w:b/>
          <w:color w:val="auto"/>
          <w:szCs w:val="21"/>
          <w:highlight w:val="none"/>
          <w:u w:val="single"/>
        </w:rPr>
        <w:t>%。</w:t>
      </w:r>
      <w:r>
        <w:rPr>
          <w:rFonts w:hint="eastAsia" w:ascii="宋体" w:hAnsi="宋体" w:eastAsia="宋体" w:cs="宋体"/>
          <w:color w:val="auto"/>
          <w:szCs w:val="21"/>
          <w:highlight w:val="none"/>
          <w:u w:val="single"/>
        </w:rPr>
        <w:t xml:space="preserve">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11.6工期提前</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提前竣工的奖励办法：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 xml:space="preserve"> 。</w:t>
      </w:r>
    </w:p>
    <w:p>
      <w:pPr>
        <w:pStyle w:val="4"/>
        <w:widowControl/>
        <w:numPr>
          <w:ilvl w:val="0"/>
          <w:numId w:val="4"/>
        </w:numPr>
        <w:rPr>
          <w:rFonts w:hint="eastAsia" w:ascii="宋体" w:hAnsi="宋体" w:eastAsia="宋体" w:cs="宋体"/>
          <w:color w:val="auto"/>
          <w:sz w:val="21"/>
          <w:highlight w:val="none"/>
        </w:rPr>
      </w:pPr>
      <w:r>
        <w:rPr>
          <w:rFonts w:hint="eastAsia" w:ascii="宋体" w:hAnsi="宋体" w:eastAsia="宋体" w:cs="宋体"/>
          <w:color w:val="auto"/>
          <w:sz w:val="21"/>
          <w:highlight w:val="none"/>
        </w:rPr>
        <w:t>暂停施工</w:t>
      </w:r>
    </w:p>
    <w:p>
      <w:pPr>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执行补充协议条款</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12.1承包人暂停施工的责任</w:t>
      </w:r>
    </w:p>
    <w:p>
      <w:pPr>
        <w:spacing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(5)承包人承担暂停施工责任的其他情形：</w:t>
      </w:r>
      <w:r>
        <w:rPr>
          <w:rFonts w:hint="eastAsia" w:ascii="宋体" w:hAnsi="宋体" w:eastAsia="宋体" w:cs="宋体"/>
          <w:color w:val="auto"/>
          <w:szCs w:val="21"/>
          <w:highlight w:val="none"/>
          <w:u w:val="single"/>
        </w:rPr>
        <w:t xml:space="preserve">     执行补充协议条款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12.4暂停施工后的复工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13.工程质量</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13.1工程质量要求</w:t>
      </w:r>
    </w:p>
    <w:p>
      <w:pPr>
        <w:spacing w:after="85" w:afterLines="30" w:line="400" w:lineRule="exact"/>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13.1.2</w:t>
      </w:r>
      <w:r>
        <w:rPr>
          <w:rFonts w:hint="eastAsia" w:ascii="宋体" w:hAnsi="宋体" w:eastAsia="宋体" w:cs="宋体"/>
          <w:b/>
          <w:color w:val="auto"/>
          <w:szCs w:val="21"/>
          <w:highlight w:val="none"/>
          <w:u w:val="single"/>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13.2承包人的质量管理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13.2.1承包人向监理人提交工程质量保证措施文件的期限：</w:t>
      </w:r>
      <w:r>
        <w:rPr>
          <w:rFonts w:hint="eastAsia" w:ascii="宋体" w:hAnsi="宋体" w:eastAsia="宋体" w:cs="宋体"/>
          <w:color w:val="auto"/>
          <w:szCs w:val="21"/>
          <w:highlight w:val="none"/>
          <w:u w:val="single"/>
        </w:rPr>
        <w:t>签订施工合同后7天内</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监理人审批工程质量保证措施文件的期限：</w:t>
      </w:r>
      <w:r>
        <w:rPr>
          <w:rFonts w:hint="eastAsia" w:ascii="宋体" w:hAnsi="宋体" w:eastAsia="宋体" w:cs="宋体"/>
          <w:color w:val="auto"/>
          <w:szCs w:val="21"/>
          <w:highlight w:val="none"/>
          <w:u w:val="single"/>
        </w:rPr>
        <w:t>收到承包人报送的工程质量保证措施文件后3天内给予批复</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 xml:space="preserve">13.3承包人的质量检查 </w:t>
      </w:r>
    </w:p>
    <w:p>
      <w:pPr>
        <w:spacing w:before="85" w:before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承包人向监理人报送工程质量报表的期限：</w:t>
      </w:r>
      <w:r>
        <w:rPr>
          <w:rFonts w:hint="eastAsia" w:ascii="宋体" w:hAnsi="宋体" w:eastAsia="宋体" w:cs="宋体"/>
          <w:color w:val="auto"/>
          <w:szCs w:val="21"/>
          <w:highlight w:val="none"/>
          <w:u w:val="single"/>
        </w:rPr>
        <w:t xml:space="preserve">每月25日前  </w:t>
      </w:r>
      <w:r>
        <w:rPr>
          <w:rFonts w:hint="eastAsia" w:ascii="宋体" w:hAnsi="宋体" w:eastAsia="宋体" w:cs="宋体"/>
          <w:color w:val="auto"/>
          <w:szCs w:val="21"/>
          <w:highlight w:val="none"/>
        </w:rPr>
        <w:t>。</w:t>
      </w:r>
    </w:p>
    <w:p>
      <w:pPr>
        <w:spacing w:before="143" w:before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承包人向监理人报送工程质量报表的要求：</w:t>
      </w:r>
      <w:r>
        <w:rPr>
          <w:rFonts w:hint="eastAsia" w:ascii="宋体" w:hAnsi="宋体" w:eastAsia="宋体" w:cs="宋体"/>
          <w:color w:val="auto"/>
          <w:szCs w:val="21"/>
          <w:highlight w:val="none"/>
          <w:u w:val="single"/>
        </w:rPr>
        <w:t xml:space="preserve">  按规范及监理人要求  </w:t>
      </w:r>
      <w:r>
        <w:rPr>
          <w:rFonts w:hint="eastAsia" w:ascii="宋体" w:hAnsi="宋体" w:eastAsia="宋体" w:cs="宋体"/>
          <w:color w:val="auto"/>
          <w:szCs w:val="21"/>
          <w:highlight w:val="none"/>
        </w:rPr>
        <w:t>。</w:t>
      </w:r>
    </w:p>
    <w:p>
      <w:pPr>
        <w:spacing w:before="143" w:beforeLines="5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监理人审查工程质量报表的期限：</w:t>
      </w:r>
      <w:r>
        <w:rPr>
          <w:rFonts w:hint="eastAsia" w:ascii="宋体" w:hAnsi="宋体" w:eastAsia="宋体" w:cs="宋体"/>
          <w:color w:val="auto"/>
          <w:szCs w:val="21"/>
          <w:highlight w:val="none"/>
          <w:u w:val="single"/>
        </w:rPr>
        <w:t xml:space="preserve">收到承包人报送的工程质量报表后3天内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13.4监理人的质量检查</w:t>
      </w:r>
    </w:p>
    <w:p>
      <w:pPr>
        <w:spacing w:before="85" w:beforeLines="30"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承包人应当为监理人的检查和检验提供方便，监理人可以进行察看和查阅施工原始记录的其他地方包括：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13.5工程隐蔽部位覆盖前的检查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13.5.1监理人对工程隐蔽部位进行检查的期限：</w:t>
      </w:r>
      <w:r>
        <w:rPr>
          <w:rFonts w:hint="eastAsia" w:ascii="宋体" w:hAnsi="宋体" w:eastAsia="宋体" w:cs="宋体"/>
          <w:color w:val="auto"/>
          <w:szCs w:val="21"/>
          <w:highlight w:val="none"/>
          <w:u w:val="single"/>
        </w:rPr>
        <w:t xml:space="preserve"> 收到承包人的通知后3天内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13.7质量争议</w:t>
      </w:r>
    </w:p>
    <w:p>
      <w:pPr>
        <w:spacing w:before="85" w:before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15.变更</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15.4变更的估价原则</w:t>
      </w:r>
    </w:p>
    <w:p>
      <w:pPr>
        <w:spacing w:line="360" w:lineRule="auto"/>
        <w:ind w:firstLine="420" w:firstLineChars="200"/>
        <w:rPr>
          <w:rFonts w:hint="eastAsia" w:ascii="宋体" w:hAnsi="宋体" w:eastAsia="宋体" w:cs="宋体"/>
          <w:b/>
          <w:color w:val="auto"/>
          <w:highlight w:val="none"/>
          <w:u w:val="single"/>
        </w:rPr>
      </w:pPr>
      <w:r>
        <w:rPr>
          <w:rFonts w:hint="eastAsia" w:ascii="宋体" w:hAnsi="宋体" w:eastAsia="宋体" w:cs="宋体"/>
          <w:color w:val="auto"/>
          <w:highlight w:val="none"/>
        </w:rPr>
        <w:t>15.4.5因变更引起价格调整的其他处理方式：</w:t>
      </w:r>
      <w:r>
        <w:rPr>
          <w:rFonts w:hint="eastAsia" w:ascii="宋体" w:hAnsi="宋体" w:eastAsia="宋体" w:cs="宋体"/>
          <w:b/>
          <w:color w:val="auto"/>
          <w:highlight w:val="none"/>
          <w:u w:val="single"/>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15.5承包人的合理化建议</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15.5.2对承包人提出合理化建议的奖励方法：</w:t>
      </w:r>
      <w:r>
        <w:rPr>
          <w:rFonts w:hint="eastAsia" w:ascii="宋体" w:hAnsi="宋体" w:eastAsia="宋体" w:cs="宋体"/>
          <w:color w:val="auto"/>
          <w:szCs w:val="21"/>
          <w:highlight w:val="none"/>
          <w:u w:val="single"/>
        </w:rPr>
        <w:t xml:space="preserve"> 无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15.8暂估价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(1)在任何招标工作启动前，承包人应当提前至少</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天内给予批准或者提出修改意见。承包人应当严格按照经过发包人批准的招标工作计划开展招标工作。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(2)承包人应当在发出招标公告(或者资格预审公告或者投标邀请书)、资格预审文件和招标文件前至少</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天，分别将相关文件通过监理人报请发包人审批，发包人应当在监理人收到承包人报送的相关文件后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(7)承包人与专业分包人或者专项供应商订立合同前</w:t>
      </w:r>
      <w:r>
        <w:rPr>
          <w:rFonts w:hint="eastAsia" w:ascii="宋体" w:hAnsi="宋体" w:eastAsia="宋体" w:cs="宋体"/>
          <w:color w:val="auto"/>
          <w:szCs w:val="21"/>
          <w:highlight w:val="none"/>
          <w:u w:val="single"/>
        </w:rPr>
        <w:t xml:space="preserve"> 7 </w:t>
      </w:r>
      <w:r>
        <w:rPr>
          <w:rFonts w:hint="eastAsia" w:ascii="宋体" w:hAnsi="宋体" w:eastAsia="宋体" w:cs="宋体"/>
          <w:color w:val="auto"/>
          <w:szCs w:val="21"/>
          <w:highlight w:val="none"/>
        </w:rPr>
        <w:t>天，应当将准备用于正式签订的合同文件通过监理人报发包人审核，发包人应当在监理人收到相关文件后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天内给予批准或者提出修改意见，承包人应当按照发包人批准的合同文件签订相关合同，合同订立后</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天内，承包人应当将其中的两份副本报送监理人，其中一份由监理人报发包人留存。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(8)发包人对承包人报送文件进行审批或提出的修改意见应当合理，并符合现行有关法律法规的规定。</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b/>
          <w:color w:val="auto"/>
          <w:szCs w:val="21"/>
          <w:highlight w:val="none"/>
          <w:u w:val="single"/>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color w:val="auto"/>
          <w:szCs w:val="21"/>
          <w:highlight w:val="none"/>
          <w:u w:val="single"/>
        </w:rPr>
        <w:t>。</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15.8.3发包人在工程量清单中给定暂估价的专业工程不属于依法必须招标的范围或者未达到依法必须招标的规模标准的，其最终价格的估价人为：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或者按照下列约定：</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16.价格调整</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16.1物价波动引起的价格调整</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物价波动引起的价格调整方法：</w:t>
      </w:r>
      <w:r>
        <w:rPr>
          <w:rFonts w:hint="eastAsia" w:ascii="宋体" w:hAnsi="宋体" w:eastAsia="宋体" w:cs="宋体"/>
          <w:b/>
          <w:color w:val="auto"/>
          <w:szCs w:val="21"/>
          <w:highlight w:val="none"/>
          <w:u w:val="single"/>
        </w:rPr>
        <w:t>不调整。</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17.计量与支付</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17.1计量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17.1.2计量方法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工程量计算规则执行国家标准《建设工程工程量清单计价规范》(GB50500—2008)及</w:t>
      </w:r>
      <w:r>
        <w:rPr>
          <w:rFonts w:hint="eastAsia" w:ascii="宋体" w:hAnsi="宋体" w:eastAsia="宋体" w:cs="宋体"/>
          <w:b/>
          <w:color w:val="auto"/>
          <w:szCs w:val="21"/>
          <w:highlight w:val="none"/>
        </w:rPr>
        <w:t>《山东省建设工程工程量清单计价规则》</w:t>
      </w:r>
      <w:r>
        <w:rPr>
          <w:rFonts w:hint="eastAsia" w:ascii="宋体" w:hAnsi="宋体" w:eastAsia="宋体" w:cs="宋体"/>
          <w:color w:val="auto"/>
          <w:szCs w:val="21"/>
          <w:highlight w:val="none"/>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17.1.3计量周期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(1)本合同的计量周期为月，每月</w:t>
      </w:r>
      <w:r>
        <w:rPr>
          <w:rFonts w:hint="eastAsia" w:ascii="宋体" w:hAnsi="宋体" w:eastAsia="宋体" w:cs="宋体"/>
          <w:color w:val="auto"/>
          <w:szCs w:val="21"/>
          <w:highlight w:val="none"/>
          <w:u w:val="single"/>
        </w:rPr>
        <w:t xml:space="preserve"> 26 </w:t>
      </w:r>
      <w:r>
        <w:rPr>
          <w:rFonts w:hint="eastAsia" w:ascii="宋体" w:hAnsi="宋体" w:eastAsia="宋体" w:cs="宋体"/>
          <w:color w:val="auto"/>
          <w:szCs w:val="21"/>
          <w:highlight w:val="none"/>
        </w:rPr>
        <w:t>日为当月计量截止日期(不含当日)和下月计量起始日期(含当日)。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w:t>
      </w:r>
      <w:r>
        <w:rPr>
          <w:rFonts w:hint="eastAsia" w:ascii="宋体" w:hAnsi="宋体" w:eastAsia="宋体" w:cs="宋体"/>
          <w:color w:val="auto"/>
          <w:szCs w:val="21"/>
          <w:highlight w:val="none"/>
          <w:u w:val="single"/>
        </w:rPr>
        <w:t xml:space="preserve"> 执行 </w:t>
      </w:r>
      <w:r>
        <w:rPr>
          <w:rFonts w:hint="eastAsia" w:ascii="宋体" w:hAnsi="宋体" w:eastAsia="宋体" w:cs="宋体"/>
          <w:color w:val="auto"/>
          <w:szCs w:val="21"/>
          <w:highlight w:val="none"/>
        </w:rPr>
        <w:t>通用合同条款本项约定的单价子目计量。总价子目计量方法按专用合同条款第17.1.5项总价子目的计量——</w:t>
      </w:r>
      <w:r>
        <w:rPr>
          <w:rFonts w:hint="eastAsia" w:ascii="宋体" w:hAnsi="宋体" w:eastAsia="宋体" w:cs="宋体"/>
          <w:color w:val="auto"/>
          <w:szCs w:val="21"/>
          <w:highlight w:val="none"/>
          <w:u w:val="single"/>
        </w:rPr>
        <w:t>按实际完成工程量计量</w:t>
      </w:r>
      <w:r>
        <w:rPr>
          <w:rFonts w:hint="eastAsia" w:ascii="宋体" w:hAnsi="宋体" w:eastAsia="宋体" w:cs="宋体"/>
          <w:color w:val="auto"/>
          <w:szCs w:val="21"/>
          <w:highlight w:val="none"/>
        </w:rPr>
        <w:t>。</w:t>
      </w:r>
    </w:p>
    <w:p>
      <w:pPr>
        <w:spacing w:before="57" w:beforeLines="20" w:after="57" w:afterLines="2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17.1.5总价子目的计量一按实际完成工程量计量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(1)总价子目的价格调整方法：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u w:val="single"/>
        </w:rPr>
        <w:t>执行通用条款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(5)除按照第15条约定的变更外，在竣工结算时总价子目的工程量不应当重新计量，签约合同价所基于的工程量即是用于竣工结算的最终工程量。</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17.2预付款</w:t>
      </w:r>
    </w:p>
    <w:p>
      <w:pPr>
        <w:spacing w:before="85" w:beforeLines="30" w:after="85" w:afterLines="30"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17.2.1预付款</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(1)预付款额度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分部分项工程部分的预付款额度：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措施项目部分预付款额度：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其中：安全文明施工费用预付额度：</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(2)预付办法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预付款预付办法：</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预付款的支付时间：</w:t>
      </w:r>
      <w:r>
        <w:rPr>
          <w:rFonts w:hint="eastAsia" w:ascii="宋体" w:hAnsi="宋体" w:eastAsia="宋体" w:cs="宋体"/>
          <w:color w:val="auto"/>
          <w:szCs w:val="21"/>
          <w:highlight w:val="none"/>
          <w:u w:val="single"/>
        </w:rPr>
        <w:t xml:space="preserve">            无                        </w:t>
      </w:r>
      <w:r>
        <w:rPr>
          <w:rFonts w:hint="eastAsia" w:ascii="宋体" w:hAnsi="宋体" w:eastAsia="宋体" w:cs="宋体"/>
          <w:color w:val="auto"/>
          <w:szCs w:val="21"/>
          <w:highlight w:val="none"/>
        </w:rPr>
        <w:t>。</w:t>
      </w:r>
    </w:p>
    <w:p>
      <w:pPr>
        <w:spacing w:before="85" w:beforeLines="30" w:after="85" w:afterLines="30"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17.2.2预付款保函</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预付款保函的金额与预付款金额相同。预付款保函的提交时间：</w:t>
      </w:r>
      <w:r>
        <w:rPr>
          <w:rFonts w:hint="eastAsia" w:ascii="宋体" w:hAnsi="宋体" w:eastAsia="宋体" w:cs="宋体"/>
          <w:color w:val="auto"/>
          <w:szCs w:val="21"/>
          <w:highlight w:val="none"/>
          <w:u w:val="single"/>
        </w:rPr>
        <w:t xml:space="preserve">  无  </w:t>
      </w:r>
    </w:p>
    <w:p>
      <w:pPr>
        <w:pStyle w:val="4"/>
        <w:widowControl/>
        <w:spacing w:line="36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17.3工程进度付款</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17.3.2进度付款申请单</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进度付款申请单的内容：</w:t>
      </w:r>
      <w:r>
        <w:rPr>
          <w:rFonts w:hint="eastAsia" w:ascii="宋体" w:hAnsi="宋体" w:eastAsia="宋体" w:cs="宋体"/>
          <w:color w:val="auto"/>
          <w:szCs w:val="21"/>
          <w:highlight w:val="none"/>
          <w:u w:val="single"/>
        </w:rPr>
        <w:t xml:space="preserve">  按监理人统一要求办理    </w:t>
      </w:r>
      <w:r>
        <w:rPr>
          <w:rFonts w:hint="eastAsia" w:ascii="宋体" w:hAnsi="宋体" w:eastAsia="宋体" w:cs="宋体"/>
          <w:color w:val="auto"/>
          <w:szCs w:val="21"/>
          <w:highlight w:val="none"/>
        </w:rPr>
        <w:t>。</w:t>
      </w:r>
    </w:p>
    <w:p>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17.3.3进度付款证书和支付时间</w:t>
      </w:r>
    </w:p>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逾期付款违约金的计算标准为</w:t>
      </w:r>
      <w:r>
        <w:rPr>
          <w:rFonts w:hint="eastAsia" w:ascii="宋体" w:hAnsi="宋体" w:eastAsia="宋体" w:cs="宋体"/>
          <w:color w:val="auto"/>
          <w:szCs w:val="21"/>
          <w:highlight w:val="none"/>
          <w:u w:val="single"/>
        </w:rPr>
        <w:t xml:space="preserve">            无逾期付款违约金                    </w:t>
      </w:r>
      <w:r>
        <w:rPr>
          <w:rFonts w:hint="eastAsia" w:ascii="宋体" w:hAnsi="宋体" w:eastAsia="宋体" w:cs="宋体"/>
          <w:color w:val="auto"/>
          <w:szCs w:val="21"/>
          <w:highlight w:val="none"/>
        </w:rPr>
        <w:t>。</w:t>
      </w:r>
    </w:p>
    <w:p>
      <w:pPr>
        <w:spacing w:line="3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逾期付款违约金的计算方法为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(4)进度付款涉及政府性资金的支付方法：</w:t>
      </w:r>
    </w:p>
    <w:p>
      <w:pPr>
        <w:spacing w:line="400" w:lineRule="exact"/>
        <w:ind w:firstLine="422" w:firstLineChars="200"/>
        <w:rPr>
          <w:rFonts w:hint="eastAsia" w:ascii="宋体" w:hAnsi="宋体" w:eastAsia="宋体" w:cs="宋体"/>
          <w:b/>
          <w:color w:val="auto"/>
          <w:highlight w:val="none"/>
          <w:u w:val="single"/>
        </w:rPr>
      </w:pPr>
      <w:r>
        <w:rPr>
          <w:rFonts w:hint="eastAsia" w:ascii="宋体" w:hAnsi="宋体" w:eastAsia="宋体" w:cs="宋体"/>
          <w:b/>
          <w:color w:val="auto"/>
          <w:highlight w:val="none"/>
          <w:u w:val="single"/>
          <w:lang w:val="en-US" w:eastAsia="zh-CN"/>
        </w:rPr>
        <w:t>本项目无预付资金，工程竣工验收合格后付至合同价款的60％，审计完成后付至审定额的97％，剩余3%为质保金，缺陷责任期满无质量问题后一次性无息付清。工程最终结算造价以结算审核后造价为准。</w:t>
      </w:r>
    </w:p>
    <w:p>
      <w:pPr>
        <w:pStyle w:val="4"/>
        <w:widowControl/>
        <w:spacing w:line="400" w:lineRule="exact"/>
        <w:ind w:firstLine="413" w:firstLineChars="196"/>
        <w:rPr>
          <w:rFonts w:hint="eastAsia" w:ascii="宋体" w:hAnsi="宋体" w:eastAsia="宋体" w:cs="宋体"/>
          <w:bCs w:val="0"/>
          <w:color w:val="auto"/>
          <w:sz w:val="21"/>
          <w:szCs w:val="24"/>
          <w:highlight w:val="none"/>
          <w:u w:val="single"/>
        </w:rPr>
      </w:pPr>
      <w:r>
        <w:rPr>
          <w:rFonts w:hint="eastAsia" w:ascii="宋体" w:hAnsi="宋体" w:eastAsia="宋体" w:cs="宋体"/>
          <w:bCs w:val="0"/>
          <w:color w:val="auto"/>
          <w:sz w:val="21"/>
          <w:szCs w:val="24"/>
          <w:highlight w:val="none"/>
          <w:u w:val="single"/>
        </w:rPr>
        <w:t>为确保工程保质保量按期完工，本项目工程款承包人必须专款专用，拨款前提供农民工发放工资支付凭证，如发现承包人挪用工程款及拖欠农民工工资现象，甲方有权拒绝付款，由此造成的一切损失均有承包人承担。</w:t>
      </w:r>
    </w:p>
    <w:p>
      <w:pPr>
        <w:pStyle w:val="4"/>
        <w:widowControl/>
        <w:spacing w:line="400" w:lineRule="exact"/>
        <w:ind w:firstLine="413" w:firstLineChars="196"/>
        <w:rPr>
          <w:rFonts w:hint="eastAsia" w:ascii="宋体" w:hAnsi="宋体" w:eastAsia="宋体" w:cs="宋体"/>
          <w:color w:val="auto"/>
          <w:sz w:val="21"/>
          <w:highlight w:val="none"/>
        </w:rPr>
      </w:pPr>
      <w:r>
        <w:rPr>
          <w:rFonts w:hint="eastAsia" w:ascii="宋体" w:hAnsi="宋体" w:eastAsia="宋体" w:cs="宋体"/>
          <w:color w:val="auto"/>
          <w:sz w:val="21"/>
          <w:highlight w:val="none"/>
        </w:rPr>
        <w:t>17.4质量保证金</w:t>
      </w:r>
    </w:p>
    <w:p>
      <w:pPr>
        <w:spacing w:line="40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质量保证金的金额或比例：  </w:t>
      </w:r>
      <w:r>
        <w:rPr>
          <w:rFonts w:hint="eastAsia" w:ascii="宋体" w:hAnsi="宋体" w:eastAsia="宋体" w:cs="宋体"/>
          <w:b/>
          <w:bCs/>
          <w:color w:val="auto"/>
          <w:szCs w:val="21"/>
          <w:highlight w:val="none"/>
          <w:u w:val="single"/>
        </w:rPr>
        <w:t xml:space="preserve"> 3%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质量保证金的扣留方法：</w:t>
      </w:r>
      <w:r>
        <w:rPr>
          <w:rFonts w:hint="eastAsia" w:ascii="宋体" w:hAnsi="宋体" w:eastAsia="宋体" w:cs="宋体"/>
          <w:color w:val="auto"/>
          <w:szCs w:val="21"/>
          <w:highlight w:val="none"/>
          <w:u w:val="single"/>
        </w:rPr>
        <w:t xml:space="preserve"> /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17.5竣工结算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17.5.1竣工付款申请单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承包人提交竣工付款申请单的期限：</w:t>
      </w:r>
      <w:r>
        <w:rPr>
          <w:rFonts w:hint="eastAsia" w:ascii="宋体" w:hAnsi="宋体" w:eastAsia="宋体" w:cs="宋体"/>
          <w:color w:val="auto"/>
          <w:szCs w:val="21"/>
          <w:highlight w:val="none"/>
          <w:u w:val="single"/>
        </w:rPr>
        <w:t xml:space="preserve">   竣工验收合格后28天内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竣工付款申请单的内容：</w:t>
      </w:r>
      <w:r>
        <w:rPr>
          <w:rFonts w:hint="eastAsia" w:ascii="宋体" w:hAnsi="宋体" w:eastAsia="宋体" w:cs="宋体"/>
          <w:color w:val="auto"/>
          <w:szCs w:val="21"/>
          <w:highlight w:val="none"/>
          <w:u w:val="single"/>
        </w:rPr>
        <w:t>竣工结算合同总价、已支付的工程价款、应扣留的质量保证金、应支付的竣工付款金额等</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17.6最终结清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17.6.1最终结清申请单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 xml:space="preserve">   五份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承包人提交最终结清申请单的期限：</w:t>
      </w:r>
      <w:r>
        <w:rPr>
          <w:rFonts w:hint="eastAsia" w:ascii="宋体" w:hAnsi="宋体" w:eastAsia="宋体" w:cs="宋体"/>
          <w:color w:val="auto"/>
          <w:szCs w:val="21"/>
          <w:highlight w:val="none"/>
          <w:u w:val="single"/>
        </w:rPr>
        <w:t xml:space="preserve">  缺陷责任期终止证书签发后14天内  </w:t>
      </w:r>
      <w:r>
        <w:rPr>
          <w:rFonts w:hint="eastAsia" w:ascii="宋体" w:hAnsi="宋体" w:eastAsia="宋体" w:cs="宋体"/>
          <w:color w:val="auto"/>
          <w:szCs w:val="21"/>
          <w:highlight w:val="none"/>
        </w:rPr>
        <w:t>。</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18.竣工验收</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18.2竣工验收申请报告</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Cs w:val="21"/>
          <w:highlight w:val="none"/>
          <w:u w:val="single"/>
        </w:rPr>
        <w:t xml:space="preserve">  按工程所在地建设行政主管部门和(或)城市建设档案管理机构对竣工验收资料内容的规定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竣工验收资料的份数：</w:t>
      </w:r>
      <w:r>
        <w:rPr>
          <w:rFonts w:hint="eastAsia" w:ascii="宋体" w:hAnsi="宋体" w:eastAsia="宋体" w:cs="宋体"/>
          <w:color w:val="auto"/>
          <w:szCs w:val="21"/>
          <w:highlight w:val="none"/>
          <w:u w:val="single"/>
        </w:rPr>
        <w:t xml:space="preserve">按工程所在地建设行政主管部门和(或)城市建设档案管理机构的规定及发包人要求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竣工验收资料的费用支付方式：</w:t>
      </w:r>
      <w:r>
        <w:rPr>
          <w:rFonts w:hint="eastAsia" w:ascii="宋体" w:hAnsi="宋体" w:eastAsia="宋体" w:cs="宋体"/>
          <w:color w:val="auto"/>
          <w:szCs w:val="21"/>
          <w:highlight w:val="none"/>
          <w:u w:val="single"/>
        </w:rPr>
        <w:t xml:space="preserve">  由承包人自行承担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18.3验收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18.3.5经验收合格的工程，实际竣工日期为承包人按照第18.2款提交竣工验收申请报告或按照本款重新提交竣工验收申请报告的日期(以两者中时间在后者为准)。</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18.5施工期运行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18.5.1需要施工期运行的单位工程或设备安装工程：</w:t>
      </w:r>
      <w:r>
        <w:rPr>
          <w:rFonts w:hint="eastAsia" w:ascii="宋体" w:hAnsi="宋体" w:eastAsia="宋体" w:cs="宋体"/>
          <w:color w:val="auto"/>
          <w:szCs w:val="21"/>
          <w:highlight w:val="none"/>
          <w:u w:val="single"/>
        </w:rPr>
        <w:t xml:space="preserve">   根据实际情况按发包人要求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18.6试运行</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18.6.1工程及工程设备试运行的组织与费用承担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（1）工程设备安装具备单机无负荷试运行条件，由承包人组织试运行，费用由承包人承担。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（2）工程设备安装具备无负荷联动试运行条件，由发包人组织试运行，费用由发包人承担。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（3）投料试运行应在工程竣工验收后由发包人负责，如发包人要求在工程竣工验收前进行或需要承包人配合时，应征得承包人同意，另行签订补充协议。</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18.7竣工清场</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18.7.1监理人颁发(出具)工程接收证书后，承包人负责按照通用合同条款本项约定的要求对施工场地进行清理并承担相关费用，直至监理人检验合格为止。</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18.8施工队伍的撤离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承包人按照通用合同条款第18.8款约定撤离施工场地(现场)时，监理人和承包人应当办理永久工程和施工场地移交手续，移交手续以书面方式出具，并分别经过发包人、监理人和承包人的签认</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18.9中间验收</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本工程需要进行中间验收的部位如下：</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Cs w:val="21"/>
          <w:highlight w:val="none"/>
          <w:u w:val="single"/>
        </w:rPr>
        <w:t xml:space="preserve"> 监理人要求的 </w:t>
      </w:r>
      <w:r>
        <w:rPr>
          <w:rFonts w:hint="eastAsia" w:ascii="宋体" w:hAnsi="宋体" w:eastAsia="宋体" w:cs="宋体"/>
          <w:color w:val="auto"/>
          <w:szCs w:val="21"/>
          <w:highlight w:val="none"/>
        </w:rPr>
        <w:t>期限内进行修改后重新验收。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经监理人验收后工程质量符合约定的验收标准，但验收24小时后监理人仍不在验收记录上签字的，视为监理人已经认可验收记录，承包人可继续施工。</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19.缺陷责任与保修责任</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19.7保修责任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(1)工程质量保修范围：</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(2)工程质量保修期限：</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(3)工程质量保修责任：</w:t>
      </w:r>
      <w:r>
        <w:rPr>
          <w:rFonts w:hint="eastAsia" w:ascii="宋体" w:hAnsi="宋体" w:eastAsia="宋体" w:cs="宋体"/>
          <w:color w:val="auto"/>
          <w:szCs w:val="21"/>
          <w:highlight w:val="none"/>
          <w:u w:val="single"/>
        </w:rPr>
        <w:t xml:space="preserve">      详见质量保修书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20.保险</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20.1工程保险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w:t>
      </w:r>
      <w:r>
        <w:rPr>
          <w:rFonts w:hint="eastAsia" w:ascii="宋体" w:hAnsi="宋体" w:eastAsia="宋体" w:cs="宋体"/>
          <w:color w:val="auto"/>
          <w:szCs w:val="21"/>
          <w:highlight w:val="none"/>
          <w:u w:val="single"/>
        </w:rPr>
        <w:t xml:space="preserve"> 不投保 </w:t>
      </w:r>
      <w:r>
        <w:rPr>
          <w:rFonts w:hint="eastAsia" w:ascii="宋体" w:hAnsi="宋体" w:eastAsia="宋体" w:cs="宋体"/>
          <w:color w:val="auto"/>
          <w:szCs w:val="21"/>
          <w:highlight w:val="none"/>
        </w:rPr>
        <w:t>工程保险。投保工程保险时，险种为：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，并符合以下约定。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(1)投保人：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(2)投保内容：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(3)保险费率：由投保人与合同双方同意的保险人商定。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(4)保险金额：</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(5)保险期限：</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20.4第三者责任险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20.4.2保险金额：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，保险费率由承包人与发包人同意的保险人商定，相关保险费由</w:t>
      </w:r>
      <w:r>
        <w:rPr>
          <w:rFonts w:hint="eastAsia" w:ascii="宋体" w:hAnsi="宋体" w:eastAsia="宋体" w:cs="宋体"/>
          <w:color w:val="auto"/>
          <w:szCs w:val="21"/>
          <w:highlight w:val="none"/>
          <w:u w:val="single"/>
        </w:rPr>
        <w:t xml:space="preserve"> 承包人 </w:t>
      </w:r>
      <w:r>
        <w:rPr>
          <w:rFonts w:hint="eastAsia" w:ascii="宋体" w:hAnsi="宋体" w:eastAsia="宋体" w:cs="宋体"/>
          <w:color w:val="auto"/>
          <w:szCs w:val="21"/>
          <w:highlight w:val="none"/>
        </w:rPr>
        <w:t>承担。</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20.5其他保险</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承包人应为其施工设备、进场材料和工程设备等办理的保险：</w:t>
      </w:r>
      <w:r>
        <w:rPr>
          <w:rFonts w:hint="eastAsia" w:ascii="宋体" w:hAnsi="宋体" w:eastAsia="宋体" w:cs="宋体"/>
          <w:color w:val="auto"/>
          <w:szCs w:val="21"/>
          <w:highlight w:val="none"/>
          <w:u w:val="single"/>
        </w:rPr>
        <w:t xml:space="preserve">  承包人自行确定  </w:t>
      </w:r>
      <w:r>
        <w:rPr>
          <w:rFonts w:hint="eastAsia" w:ascii="宋体" w:hAnsi="宋体" w:eastAsia="宋体" w:cs="宋体"/>
          <w:color w:val="auto"/>
          <w:szCs w:val="21"/>
          <w:highlight w:val="none"/>
        </w:rPr>
        <w:t>。</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20.6对各项保险的一般要求</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20.6.1保险凭证</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承包人向发包人提交各项保险生效的证据和保险单副本的期限：</w:t>
      </w:r>
      <w:r>
        <w:rPr>
          <w:rFonts w:hint="eastAsia" w:ascii="宋体" w:hAnsi="宋体" w:eastAsia="宋体" w:cs="宋体"/>
          <w:color w:val="auto"/>
          <w:szCs w:val="21"/>
          <w:highlight w:val="none"/>
          <w:u w:val="single"/>
        </w:rPr>
        <w:t xml:space="preserve">    承包人提供     </w:t>
      </w:r>
      <w:r>
        <w:rPr>
          <w:rFonts w:hint="eastAsia" w:ascii="宋体" w:hAnsi="宋体" w:eastAsia="宋体" w:cs="宋体"/>
          <w:color w:val="auto"/>
          <w:szCs w:val="21"/>
          <w:highlight w:val="none"/>
        </w:rPr>
        <w:t>。</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20.6.4保险金不足的补偿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保险金不足以补偿损失时，承包人和发包人负责补偿的责任分摊：</w:t>
      </w:r>
      <w:r>
        <w:rPr>
          <w:rFonts w:hint="eastAsia" w:ascii="宋体" w:hAnsi="宋体" w:eastAsia="宋体" w:cs="宋体"/>
          <w:color w:val="auto"/>
          <w:szCs w:val="21"/>
          <w:highlight w:val="none"/>
          <w:u w:val="single"/>
        </w:rPr>
        <w:t xml:space="preserve">   承包人承担    。</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21.不可抗力</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21.1不可抗力的确认</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21.1.1通用合同条款第21.1.1项约定的不可抗力以外的其他情形：</w:t>
      </w:r>
      <w:r>
        <w:rPr>
          <w:rFonts w:hint="eastAsia" w:ascii="宋体" w:hAnsi="宋体" w:eastAsia="宋体" w:cs="宋体"/>
          <w:color w:val="auto"/>
          <w:szCs w:val="21"/>
          <w:highlight w:val="none"/>
          <w:u w:val="single"/>
        </w:rPr>
        <w:t xml:space="preserve">  按国家有关部门认定的标准。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不可抗力的等级范围约定：</w:t>
      </w:r>
      <w:r>
        <w:rPr>
          <w:rFonts w:hint="eastAsia" w:ascii="宋体" w:hAnsi="宋体" w:eastAsia="宋体" w:cs="宋体"/>
          <w:color w:val="auto"/>
          <w:szCs w:val="21"/>
          <w:highlight w:val="none"/>
          <w:u w:val="single"/>
        </w:rPr>
        <w:t xml:space="preserve">  发包人与承包人另行协商约定                             。 </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21.3不可抗力后果及其处理</w:t>
      </w:r>
    </w:p>
    <w:p>
      <w:pPr>
        <w:spacing w:before="85" w:beforeLines="30" w:after="85" w:afterLines="30"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21.3.1不可抗力造成损害的责任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不可抗力导致的人员伤亡、财产损失、费用增加和(或)工期延误等后果，由合同双方按通用合同条款第21.3.1项约定的原则承担。</w:t>
      </w:r>
    </w:p>
    <w:p>
      <w:pPr>
        <w:pStyle w:val="4"/>
        <w:widowControl/>
        <w:rPr>
          <w:rFonts w:hint="eastAsia" w:ascii="宋体" w:hAnsi="宋体" w:eastAsia="宋体" w:cs="宋体"/>
          <w:color w:val="auto"/>
          <w:sz w:val="21"/>
          <w:highlight w:val="none"/>
        </w:rPr>
      </w:pPr>
      <w:r>
        <w:rPr>
          <w:rFonts w:hint="eastAsia" w:ascii="宋体" w:hAnsi="宋体" w:eastAsia="宋体" w:cs="宋体"/>
          <w:color w:val="auto"/>
          <w:sz w:val="21"/>
          <w:highlight w:val="none"/>
        </w:rPr>
        <w:t>24.争议的解决</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24.1争议的解决方式</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因本合同引起的或与本合同有关的任何争议，合同双方友好协商不成、不愿提请争议组评审或者不愿接受争议评审组意见的，选择下列第</w:t>
      </w:r>
      <w:r>
        <w:rPr>
          <w:rFonts w:hint="eastAsia" w:ascii="宋体" w:hAnsi="宋体" w:eastAsia="宋体" w:cs="宋体"/>
          <w:color w:val="auto"/>
          <w:szCs w:val="21"/>
          <w:highlight w:val="none"/>
          <w:u w:val="single"/>
        </w:rPr>
        <w:t xml:space="preserve"> 贰 </w:t>
      </w:r>
      <w:r>
        <w:rPr>
          <w:rFonts w:hint="eastAsia" w:ascii="宋体" w:hAnsi="宋体" w:eastAsia="宋体" w:cs="宋体"/>
          <w:color w:val="auto"/>
          <w:szCs w:val="21"/>
          <w:highlight w:val="none"/>
        </w:rPr>
        <w:t>种方式解决：</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（壹）</w:t>
      </w:r>
      <w:r>
        <w:rPr>
          <w:rFonts w:hint="eastAsia" w:ascii="宋体" w:hAnsi="宋体" w:eastAsia="宋体" w:cs="宋体"/>
          <w:color w:val="auto"/>
          <w:szCs w:val="21"/>
          <w:highlight w:val="none"/>
        </w:rPr>
        <w:t>提请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仲裁委员会按照该会仲裁规则进行仲裁，仲裁裁决是终局的，对合同双方均有约束力。</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向有管辖权的人民法院提起诉讼。</w:t>
      </w:r>
    </w:p>
    <w:p>
      <w:pPr>
        <w:pStyle w:val="4"/>
        <w:widowControl/>
        <w:spacing w:line="400" w:lineRule="exact"/>
        <w:rPr>
          <w:rFonts w:hint="eastAsia" w:ascii="宋体" w:hAnsi="宋体" w:eastAsia="宋体" w:cs="宋体"/>
          <w:color w:val="auto"/>
          <w:sz w:val="21"/>
          <w:highlight w:val="none"/>
        </w:rPr>
      </w:pPr>
      <w:r>
        <w:rPr>
          <w:rFonts w:hint="eastAsia" w:ascii="宋体" w:hAnsi="宋体" w:eastAsia="宋体" w:cs="宋体"/>
          <w:color w:val="auto"/>
          <w:sz w:val="21"/>
          <w:highlight w:val="none"/>
        </w:rPr>
        <w:t>24.3争议评审</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24.3.4争议评审组邀请合同双方代表人和有关人员举行调查会的期限：</w:t>
      </w:r>
      <w:r>
        <w:rPr>
          <w:rFonts w:hint="eastAsia" w:ascii="宋体" w:hAnsi="宋体" w:eastAsia="宋体" w:cs="宋体"/>
          <w:color w:val="auto"/>
          <w:szCs w:val="21"/>
          <w:highlight w:val="none"/>
          <w:u w:val="single"/>
        </w:rPr>
        <w:t>争议评审组在收到合同双方报告后的14天内。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24.3.5争议评审组在调查会后作出争议评审意见的期限：</w:t>
      </w:r>
      <w:r>
        <w:rPr>
          <w:rFonts w:hint="eastAsia" w:ascii="宋体" w:hAnsi="宋体" w:eastAsia="宋体" w:cs="宋体"/>
          <w:color w:val="auto"/>
          <w:szCs w:val="21"/>
          <w:highlight w:val="none"/>
          <w:u w:val="single"/>
        </w:rPr>
        <w:t xml:space="preserve">在调查会结束后的14天内。  </w:t>
      </w:r>
    </w:p>
    <w:p>
      <w:pPr>
        <w:pStyle w:val="4"/>
        <w:widowControl/>
        <w:rPr>
          <w:rFonts w:hint="eastAsia" w:ascii="宋体" w:hAnsi="宋体" w:eastAsia="宋体" w:cs="宋体"/>
          <w:color w:val="auto"/>
          <w:highlight w:val="none"/>
        </w:rPr>
      </w:pPr>
      <w:r>
        <w:rPr>
          <w:rFonts w:hint="eastAsia" w:ascii="宋体" w:hAnsi="宋体" w:eastAsia="宋体" w:cs="宋体"/>
          <w:color w:val="auto"/>
          <w:sz w:val="21"/>
          <w:highlight w:val="none"/>
        </w:rPr>
        <w:t>25. 补充条款</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25.1施工期间的地方关系或个体关系由施工单位自行处理。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25.2</w:t>
      </w:r>
      <w:r>
        <w:rPr>
          <w:rFonts w:hint="eastAsia" w:ascii="宋体" w:hAnsi="宋体" w:eastAsia="宋体" w:cs="宋体"/>
          <w:b/>
          <w:color w:val="auto"/>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4"/>
        <w:rPr>
          <w:rFonts w:hint="eastAsia" w:ascii="宋体" w:hAnsi="宋体" w:eastAsia="宋体" w:cs="宋体"/>
          <w:color w:val="auto"/>
          <w:sz w:val="21"/>
          <w:highlight w:val="none"/>
        </w:rPr>
      </w:pPr>
      <w:r>
        <w:rPr>
          <w:rFonts w:hint="eastAsia" w:ascii="宋体" w:hAnsi="宋体" w:eastAsia="宋体" w:cs="宋体"/>
          <w:b w:val="0"/>
          <w:color w:val="auto"/>
          <w:szCs w:val="21"/>
          <w:highlight w:val="none"/>
        </w:rPr>
        <w:br w:type="page"/>
      </w:r>
      <w:r>
        <w:rPr>
          <w:rFonts w:hint="eastAsia" w:ascii="宋体" w:hAnsi="宋体" w:eastAsia="宋体" w:cs="宋体"/>
          <w:color w:val="auto"/>
          <w:sz w:val="21"/>
          <w:highlight w:val="none"/>
        </w:rPr>
        <w:t>附件一：承包人提供的材料和工程设备一览表</w:t>
      </w:r>
    </w:p>
    <w:p>
      <w:pPr>
        <w:jc w:val="center"/>
        <w:rPr>
          <w:rFonts w:hint="eastAsia" w:ascii="宋体" w:hAnsi="宋体" w:eastAsia="宋体" w:cs="宋体"/>
          <w:b/>
          <w:color w:val="auto"/>
          <w:sz w:val="24"/>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承包人提供的材料和工程设备一览表</w:t>
      </w:r>
    </w:p>
    <w:p>
      <w:pPr>
        <w:rPr>
          <w:rFonts w:hint="eastAsia" w:ascii="宋体" w:hAnsi="宋体" w:eastAsia="宋体" w:cs="宋体"/>
          <w:color w:val="auto"/>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9" w:hRule="atLeast"/>
          <w:jc w:val="center"/>
        </w:trPr>
        <w:tc>
          <w:tcPr>
            <w:tcW w:w="426"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7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bl>
    <w:p>
      <w:pPr>
        <w:spacing w:after="85" w:afterLines="30" w:line="400" w:lineRule="exact"/>
        <w:rPr>
          <w:rFonts w:hint="eastAsia" w:ascii="宋体" w:hAnsi="宋体" w:eastAsia="宋体" w:cs="宋体"/>
          <w:color w:val="auto"/>
          <w:sz w:val="24"/>
          <w:highlight w:val="none"/>
        </w:rPr>
      </w:pPr>
    </w:p>
    <w:p>
      <w:pPr>
        <w:pStyle w:val="4"/>
        <w:rPr>
          <w:rFonts w:hint="eastAsia" w:ascii="宋体" w:hAnsi="宋体" w:eastAsia="宋体" w:cs="宋体"/>
          <w:color w:val="auto"/>
          <w:sz w:val="21"/>
          <w:highlight w:val="none"/>
        </w:rPr>
      </w:pPr>
      <w:r>
        <w:rPr>
          <w:rFonts w:hint="eastAsia" w:ascii="宋体" w:hAnsi="宋体" w:eastAsia="宋体" w:cs="宋体"/>
          <w:color w:val="auto"/>
          <w:highlight w:val="none"/>
        </w:rPr>
        <w:br w:type="page"/>
      </w:r>
      <w:r>
        <w:rPr>
          <w:rFonts w:hint="eastAsia" w:ascii="宋体" w:hAnsi="宋体" w:eastAsia="宋体" w:cs="宋体"/>
          <w:color w:val="auto"/>
          <w:sz w:val="21"/>
          <w:highlight w:val="none"/>
        </w:rPr>
        <w:t>附件二：发包人提供的材料和工程设备一览表</w:t>
      </w:r>
    </w:p>
    <w:p>
      <w:pPr>
        <w:rPr>
          <w:rFonts w:hint="eastAsia" w:ascii="宋体" w:hAnsi="宋体" w:eastAsia="宋体" w:cs="宋体"/>
          <w:color w:val="auto"/>
          <w:highlight w:val="none"/>
        </w:rPr>
      </w:pPr>
    </w:p>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发包人提供的材料和工程设备一览表</w:t>
      </w:r>
    </w:p>
    <w:p>
      <w:pPr>
        <w:jc w:val="center"/>
        <w:rPr>
          <w:rFonts w:hint="eastAsia" w:ascii="宋体" w:hAnsi="宋体" w:eastAsia="宋体" w:cs="宋体"/>
          <w:b/>
          <w:color w:val="auto"/>
          <w:sz w:val="24"/>
          <w:highlight w:val="none"/>
        </w:rPr>
      </w:pPr>
    </w:p>
    <w:tbl>
      <w:tblPr>
        <w:tblStyle w:val="12"/>
        <w:tblW w:w="8072"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jc w:val="center"/>
        </w:trPr>
        <w:tc>
          <w:tcPr>
            <w:tcW w:w="426"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75"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材料设备</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032"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规格</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位</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量</w:t>
            </w:r>
          </w:p>
        </w:tc>
        <w:tc>
          <w:tcPr>
            <w:tcW w:w="613"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w:t>
            </w:r>
          </w:p>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900" w:type="dxa"/>
            <w:vAlign w:val="center"/>
          </w:tcPr>
          <w:p>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426" w:type="dxa"/>
          </w:tcPr>
          <w:p>
            <w:pPr>
              <w:spacing w:line="400" w:lineRule="exact"/>
              <w:rPr>
                <w:rFonts w:hint="eastAsia" w:ascii="宋体" w:hAnsi="宋体" w:eastAsia="宋体" w:cs="宋体"/>
                <w:color w:val="auto"/>
                <w:szCs w:val="21"/>
                <w:highlight w:val="none"/>
              </w:rPr>
            </w:pPr>
          </w:p>
        </w:tc>
        <w:tc>
          <w:tcPr>
            <w:tcW w:w="1175" w:type="dxa"/>
          </w:tcPr>
          <w:p>
            <w:pPr>
              <w:spacing w:line="400" w:lineRule="exact"/>
              <w:rPr>
                <w:rFonts w:hint="eastAsia" w:ascii="宋体" w:hAnsi="宋体" w:eastAsia="宋体" w:cs="宋体"/>
                <w:color w:val="auto"/>
                <w:szCs w:val="21"/>
                <w:highlight w:val="none"/>
              </w:rPr>
            </w:pPr>
          </w:p>
        </w:tc>
        <w:tc>
          <w:tcPr>
            <w:tcW w:w="1032"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613"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c>
          <w:tcPr>
            <w:tcW w:w="900" w:type="dxa"/>
          </w:tcPr>
          <w:p>
            <w:pPr>
              <w:spacing w:line="400" w:lineRule="exact"/>
              <w:rPr>
                <w:rFonts w:hint="eastAsia" w:ascii="宋体" w:hAnsi="宋体" w:eastAsia="宋体" w:cs="宋体"/>
                <w:color w:val="auto"/>
                <w:szCs w:val="21"/>
                <w:highlight w:val="none"/>
              </w:rPr>
            </w:pPr>
          </w:p>
        </w:tc>
      </w:tr>
    </w:tbl>
    <w:p>
      <w:pPr>
        <w:spacing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备注：除合同另有约定外，本表所列发包人供应材料和工程设备的数量不考虑施工损耗，施工损耗被认为已经包括在承包人的投标价格中。</w:t>
      </w:r>
    </w:p>
    <w:p>
      <w:pPr>
        <w:spacing w:line="320" w:lineRule="exact"/>
        <w:rPr>
          <w:rFonts w:hint="eastAsia" w:ascii="宋体" w:hAnsi="宋体" w:eastAsia="宋体" w:cs="宋体"/>
          <w:color w:val="auto"/>
          <w:sz w:val="24"/>
          <w:highlight w:val="none"/>
        </w:rPr>
      </w:pPr>
    </w:p>
    <w:p>
      <w:pPr>
        <w:spacing w:line="320" w:lineRule="exact"/>
        <w:rPr>
          <w:rFonts w:hint="eastAsia" w:ascii="宋体" w:hAnsi="宋体" w:eastAsia="宋体" w:cs="宋体"/>
          <w:color w:val="auto"/>
          <w:sz w:val="24"/>
          <w:highlight w:val="none"/>
        </w:rPr>
      </w:pPr>
    </w:p>
    <w:p>
      <w:pPr>
        <w:pStyle w:val="4"/>
        <w:rPr>
          <w:rFonts w:hint="eastAsia" w:ascii="宋体" w:hAnsi="宋体" w:eastAsia="宋体" w:cs="宋体"/>
          <w:color w:val="auto"/>
          <w:sz w:val="21"/>
          <w:highlight w:val="none"/>
        </w:rPr>
      </w:pPr>
      <w:r>
        <w:rPr>
          <w:rFonts w:hint="eastAsia" w:ascii="宋体" w:hAnsi="宋体" w:eastAsia="宋体" w:cs="宋体"/>
          <w:color w:val="auto"/>
          <w:sz w:val="21"/>
          <w:highlight w:val="none"/>
        </w:rPr>
        <w:t>附件三：质量保修书格式</w:t>
      </w:r>
    </w:p>
    <w:p>
      <w:pPr>
        <w:spacing w:line="320" w:lineRule="exact"/>
        <w:rPr>
          <w:rFonts w:hint="eastAsia" w:ascii="宋体" w:hAnsi="宋体" w:eastAsia="宋体" w:cs="宋体"/>
          <w:color w:val="auto"/>
          <w:sz w:val="24"/>
          <w:highlight w:val="none"/>
        </w:rPr>
      </w:pPr>
    </w:p>
    <w:p>
      <w:pPr>
        <w:spacing w:line="3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工程质量保修书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发包人、承包人根据《中华人民共和国建筑法》、《建设工程质量管理条例》，经协商一致，对</w:t>
      </w:r>
      <w:r>
        <w:rPr>
          <w:rFonts w:hint="eastAsia" w:ascii="宋体" w:hAnsi="宋体" w:eastAsia="宋体" w:cs="宋体"/>
          <w:bCs/>
          <w:color w:val="auto"/>
          <w:szCs w:val="21"/>
          <w:highlight w:val="none"/>
          <w:u w:val="single"/>
        </w:rPr>
        <w:t xml:space="preserve">               </w:t>
      </w:r>
      <w:r>
        <w:rPr>
          <w:rFonts w:hint="eastAsia" w:ascii="宋体" w:hAnsi="宋体" w:eastAsia="宋体" w:cs="宋体"/>
          <w:color w:val="auto"/>
          <w:szCs w:val="21"/>
          <w:highlight w:val="none"/>
          <w:u w:val="single"/>
        </w:rPr>
        <w:t>工程</w:t>
      </w:r>
      <w:r>
        <w:rPr>
          <w:rFonts w:hint="eastAsia" w:ascii="宋体" w:hAnsi="宋体" w:eastAsia="宋体" w:cs="宋体"/>
          <w:color w:val="auto"/>
          <w:szCs w:val="21"/>
          <w:highlight w:val="none"/>
        </w:rPr>
        <w:t>签订保修书。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一、工程保修范围和内容</w:t>
      </w:r>
    </w:p>
    <w:p>
      <w:pPr>
        <w:spacing w:line="4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承包人在保修期（养护期）内，按照有关法律、法规、规章的管理规定和双方约定，承担本工程保修责任。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保修责任范围</w:t>
      </w:r>
      <w:r>
        <w:rPr>
          <w:rFonts w:hint="eastAsia" w:ascii="宋体" w:hAnsi="宋体" w:eastAsia="宋体" w:cs="宋体"/>
          <w:color w:val="auto"/>
          <w:szCs w:val="21"/>
          <w:highlight w:val="none"/>
          <w:u w:val="single"/>
        </w:rPr>
        <w:t>施工图纸及变更范围以内的所有工程内容。</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二、保修期</w:t>
      </w:r>
    </w:p>
    <w:p>
      <w:pPr>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双方根据《建设工程质量管理条例》及有关规定，约定本工程的保修期如下：</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1、地基基础工程和主体结构工程为设计文件规定的该工程合理使用年限；</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2、屋面防水工程、有防水要求的卫生间、房间和外墙面的防渗漏为</w:t>
      </w:r>
      <w:r>
        <w:rPr>
          <w:rFonts w:hint="eastAsia" w:ascii="宋体" w:hAnsi="宋体" w:eastAsia="宋体" w:cs="宋体"/>
          <w:color w:val="auto"/>
          <w:highlight w:val="none"/>
          <w:u w:val="single"/>
        </w:rPr>
        <w:t xml:space="preserve"> 五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3、装修工程为</w:t>
      </w:r>
      <w:r>
        <w:rPr>
          <w:rFonts w:hint="eastAsia" w:ascii="宋体" w:hAnsi="宋体" w:eastAsia="宋体" w:cs="宋体"/>
          <w:color w:val="auto"/>
          <w:highlight w:val="none"/>
          <w:u w:val="single"/>
        </w:rPr>
        <w:t xml:space="preserve"> 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4、电气管线、给排水管道、设备安装工程为</w:t>
      </w:r>
      <w:r>
        <w:rPr>
          <w:rFonts w:hint="eastAsia" w:ascii="宋体" w:hAnsi="宋体" w:eastAsia="宋体" w:cs="宋体"/>
          <w:color w:val="auto"/>
          <w:highlight w:val="none"/>
          <w:u w:val="single"/>
        </w:rPr>
        <w:t xml:space="preserve"> 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5、室外的给排水设施、道路等配套工程为</w:t>
      </w:r>
      <w:r>
        <w:rPr>
          <w:rFonts w:hint="eastAsia" w:ascii="宋体" w:hAnsi="宋体" w:eastAsia="宋体" w:cs="宋体"/>
          <w:color w:val="auto"/>
          <w:highlight w:val="none"/>
          <w:u w:val="single"/>
        </w:rPr>
        <w:t xml:space="preserve">二 </w:t>
      </w:r>
      <w:r>
        <w:rPr>
          <w:rFonts w:hint="eastAsia" w:ascii="宋体" w:hAnsi="宋体" w:eastAsia="宋体" w:cs="宋体"/>
          <w:color w:val="auto"/>
          <w:highlight w:val="none"/>
        </w:rPr>
        <w:t>年；</w:t>
      </w:r>
    </w:p>
    <w:p>
      <w:pPr>
        <w:spacing w:line="400" w:lineRule="exact"/>
        <w:ind w:firstLine="898" w:firstLineChars="428"/>
        <w:rPr>
          <w:rFonts w:hint="eastAsia" w:ascii="宋体" w:hAnsi="宋体" w:eastAsia="宋体" w:cs="宋体"/>
          <w:color w:val="auto"/>
          <w:highlight w:val="none"/>
        </w:rPr>
      </w:pPr>
      <w:r>
        <w:rPr>
          <w:rFonts w:hint="eastAsia" w:ascii="宋体" w:hAnsi="宋体" w:eastAsia="宋体" w:cs="宋体"/>
          <w:color w:val="auto"/>
          <w:highlight w:val="none"/>
        </w:rPr>
        <w:t>6、其他项目保修期限约定如下：</w:t>
      </w:r>
    </w:p>
    <w:p>
      <w:pPr>
        <w:spacing w:line="400" w:lineRule="exact"/>
        <w:ind w:firstLine="898" w:firstLineChars="428"/>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400" w:lineRule="exact"/>
        <w:ind w:firstLine="898" w:firstLineChars="428"/>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pPr>
        <w:spacing w:line="400" w:lineRule="exact"/>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三、保修责任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1、属于责任范围、内容的项目，承包人应当在接到保修通知之日起7天内派人保修。承包人不在约定期限内派人保修的，发包人可以委托他人修理。</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2、发生紧急抢修事故的，承包人在接到事故通知后，应当立即到达事故现场抢修。</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四、保修费用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保修费用由造成质量缺陷的责任方承担。</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双方约定的其他工程保修责任事项：</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                                                                               </w:t>
      </w:r>
    </w:p>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320" w:lineRule="exact"/>
        <w:jc w:val="center"/>
        <w:rPr>
          <w:rFonts w:hint="eastAsia" w:ascii="宋体" w:hAnsi="宋体" w:eastAsia="宋体" w:cs="宋体"/>
          <w:color w:val="auto"/>
          <w:sz w:val="24"/>
          <w:highlight w:val="none"/>
        </w:rPr>
      </w:pPr>
    </w:p>
    <w:p>
      <w:pPr>
        <w:spacing w:line="400" w:lineRule="exact"/>
        <w:ind w:firstLine="420" w:firstLineChars="200"/>
        <w:rPr>
          <w:rFonts w:hint="eastAsia" w:ascii="宋体" w:hAnsi="宋体" w:eastAsia="宋体" w:cs="宋体"/>
          <w:color w:val="auto"/>
          <w:szCs w:val="21"/>
          <w:highlight w:val="none"/>
          <w:u w:val="single"/>
        </w:rPr>
      </w:pPr>
    </w:p>
    <w:p>
      <w:pPr>
        <w:spacing w:line="40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br w:type="page"/>
      </w:r>
    </w:p>
    <w:p>
      <w:pPr>
        <w:pStyle w:val="4"/>
        <w:rPr>
          <w:rFonts w:hint="eastAsia" w:ascii="宋体" w:hAnsi="宋体" w:eastAsia="宋体" w:cs="宋体"/>
          <w:color w:val="auto"/>
          <w:highlight w:val="none"/>
        </w:rPr>
      </w:pPr>
      <w:r>
        <w:rPr>
          <w:rFonts w:hint="eastAsia" w:ascii="宋体" w:hAnsi="宋体" w:eastAsia="宋体" w:cs="宋体"/>
          <w:color w:val="auto"/>
          <w:highlight w:val="none"/>
        </w:rPr>
        <w:t>附件四：廉政责任书格式</w:t>
      </w:r>
    </w:p>
    <w:p>
      <w:pPr>
        <w:spacing w:line="400" w:lineRule="exact"/>
        <w:ind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建设工程廉政责任书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一、双方的责任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1.2严格执行建设工程合同文件，自觉按合同办事。</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二、发包人责任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2.2不得在承包人和相关单位报销任何应由发包人或个人支付的费用。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三、承包人责任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3.2不得以任何理由为发包人和相关单位报销应由对方或个人支付的费用。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四、违约责任</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五、责任书有效期</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本责任书的有效期为双方签署之日起至该工程项目竣工验收合格时止。</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六、责任书份数</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本责任书一式二份，发包人承包人各执一份，具有同等效力。</w:t>
      </w: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(公章)    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(公章)</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法定地址：</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法定代表人或其                         法定代表人或其</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    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(签字)</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传真：</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电子邮箱：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电子邮箱：</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开户银行：</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帐号：</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w:t>
      </w:r>
      <w:r>
        <w:rPr>
          <w:rFonts w:hint="eastAsia" w:ascii="宋体" w:hAnsi="宋体" w:eastAsia="宋体" w:cs="宋体"/>
          <w:color w:val="auto"/>
          <w:szCs w:val="21"/>
          <w:highlight w:val="none"/>
          <w:u w:val="single"/>
        </w:rPr>
        <w:t xml:space="preserve">                   </w:t>
      </w:r>
    </w:p>
    <w:p>
      <w:pPr>
        <w:spacing w:line="400" w:lineRule="exact"/>
        <w:ind w:firstLine="420" w:firstLineChars="200"/>
        <w:rPr>
          <w:rFonts w:hint="eastAsia" w:ascii="宋体" w:hAnsi="宋体" w:eastAsia="宋体" w:cs="宋体"/>
          <w:color w:val="auto"/>
          <w:szCs w:val="21"/>
          <w:highlight w:val="none"/>
          <w:u w:val="single"/>
        </w:rPr>
      </w:pPr>
    </w:p>
    <w:p>
      <w:pPr>
        <w:spacing w:line="360" w:lineRule="auto"/>
        <w:jc w:val="center"/>
        <w:outlineLvl w:val="0"/>
        <w:rPr>
          <w:rFonts w:hint="eastAsia" w:ascii="宋体" w:hAnsi="宋体" w:eastAsia="宋体" w:cs="宋体"/>
          <w:color w:val="auto"/>
          <w:sz w:val="32"/>
          <w:szCs w:val="32"/>
          <w:highlight w:val="none"/>
        </w:rPr>
      </w:pPr>
      <w:r>
        <w:rPr>
          <w:rFonts w:hint="eastAsia" w:ascii="宋体" w:hAnsi="宋体" w:eastAsia="宋体" w:cs="宋体"/>
          <w:color w:val="auto"/>
          <w:sz w:val="20"/>
          <w:szCs w:val="20"/>
          <w:highlight w:val="none"/>
        </w:rPr>
        <w:br w:type="page"/>
      </w:r>
      <w:bookmarkStart w:id="36" w:name="_Toc13610"/>
      <w:bookmarkStart w:id="37" w:name="_Toc15400"/>
      <w:r>
        <w:rPr>
          <w:rFonts w:hint="eastAsia" w:ascii="宋体" w:hAnsi="宋体" w:eastAsia="宋体" w:cs="宋体"/>
          <w:b/>
          <w:color w:val="auto"/>
          <w:sz w:val="32"/>
          <w:szCs w:val="32"/>
          <w:highlight w:val="none"/>
        </w:rPr>
        <w:t>第六部分  响应文件格式</w:t>
      </w:r>
      <w:bookmarkEnd w:id="36"/>
      <w:bookmarkEnd w:id="37"/>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bCs/>
          <w:color w:val="auto"/>
          <w:sz w:val="21"/>
          <w:szCs w:val="21"/>
          <w:highlight w:val="none"/>
        </w:rPr>
      </w:pPr>
    </w:p>
    <w:p>
      <w:pPr>
        <w:rPr>
          <w:rFonts w:hint="eastAsia" w:ascii="宋体" w:hAnsi="宋体" w:eastAsia="宋体" w:cs="宋体"/>
          <w:color w:val="auto"/>
          <w:highlight w:val="none"/>
        </w:rPr>
      </w:pPr>
    </w:p>
    <w:p>
      <w:pPr>
        <w:spacing w:line="360" w:lineRule="auto"/>
        <w:jc w:val="center"/>
        <w:outlineLvl w:val="0"/>
        <w:rPr>
          <w:rFonts w:hint="eastAsia" w:ascii="宋体" w:hAnsi="宋体" w:eastAsia="宋体" w:cs="宋体"/>
          <w:b/>
          <w:color w:val="auto"/>
          <w:w w:val="90"/>
          <w:kern w:val="16"/>
          <w:sz w:val="44"/>
          <w:szCs w:val="44"/>
          <w:highlight w:val="none"/>
        </w:rPr>
      </w:pPr>
      <w:bookmarkStart w:id="38" w:name="_Toc30925"/>
      <w:r>
        <w:rPr>
          <w:rFonts w:hint="eastAsia" w:ascii="宋体" w:hAnsi="宋体" w:eastAsia="宋体" w:cs="宋体"/>
          <w:b/>
          <w:color w:val="auto"/>
          <w:w w:val="90"/>
          <w:kern w:val="16"/>
          <w:sz w:val="44"/>
          <w:szCs w:val="44"/>
          <w:highlight w:val="none"/>
          <w:lang w:eastAsia="zh-CN"/>
        </w:rPr>
        <w:t>邹城市城前镇青邑南岭村基础设施建设项目（路、排水）工程</w:t>
      </w:r>
      <w:r>
        <w:rPr>
          <w:rFonts w:hint="eastAsia" w:ascii="宋体" w:hAnsi="宋体" w:eastAsia="宋体" w:cs="宋体"/>
          <w:b/>
          <w:color w:val="auto"/>
          <w:w w:val="90"/>
          <w:kern w:val="16"/>
          <w:sz w:val="44"/>
          <w:szCs w:val="44"/>
          <w:highlight w:val="none"/>
        </w:rPr>
        <w:t>竞争性磋商</w:t>
      </w:r>
      <w:bookmarkEnd w:id="38"/>
    </w:p>
    <w:p>
      <w:pPr>
        <w:spacing w:line="360" w:lineRule="auto"/>
        <w:jc w:val="center"/>
        <w:rPr>
          <w:rFonts w:hint="eastAsia" w:ascii="宋体" w:hAnsi="宋体" w:eastAsia="宋体" w:cs="宋体"/>
          <w:color w:val="auto"/>
          <w:sz w:val="36"/>
          <w:szCs w:val="36"/>
          <w:highlight w:val="none"/>
        </w:rPr>
      </w:pPr>
    </w:p>
    <w:p>
      <w:pPr>
        <w:spacing w:line="360" w:lineRule="auto"/>
        <w:jc w:val="center"/>
        <w:rPr>
          <w:rFonts w:hint="eastAsia" w:ascii="宋体" w:hAnsi="宋体" w:eastAsia="宋体" w:cs="宋体"/>
          <w:color w:val="auto"/>
          <w:sz w:val="36"/>
          <w:szCs w:val="36"/>
          <w:highlight w:val="none"/>
        </w:rPr>
      </w:pPr>
    </w:p>
    <w:p>
      <w:pPr>
        <w:spacing w:line="360" w:lineRule="auto"/>
        <w:jc w:val="center"/>
        <w:outlineLvl w:val="0"/>
        <w:rPr>
          <w:rFonts w:hint="eastAsia" w:ascii="宋体" w:hAnsi="宋体" w:eastAsia="宋体" w:cs="宋体"/>
          <w:b/>
          <w:bCs/>
          <w:color w:val="auto"/>
          <w:szCs w:val="21"/>
          <w:highlight w:val="none"/>
        </w:rPr>
      </w:pPr>
      <w:bookmarkStart w:id="39" w:name="_Toc16243"/>
      <w:r>
        <w:rPr>
          <w:rFonts w:hint="eastAsia" w:ascii="宋体" w:hAnsi="宋体" w:eastAsia="宋体" w:cs="宋体"/>
          <w:b/>
          <w:bCs/>
          <w:color w:val="auto"/>
          <w:sz w:val="84"/>
          <w:szCs w:val="84"/>
          <w:highlight w:val="none"/>
        </w:rPr>
        <w:t>响 应 文 件</w:t>
      </w:r>
      <w:bookmarkEnd w:id="39"/>
    </w:p>
    <w:p>
      <w:pPr>
        <w:spacing w:line="360" w:lineRule="auto"/>
        <w:jc w:val="center"/>
        <w:rPr>
          <w:rFonts w:hint="eastAsia" w:ascii="宋体" w:hAnsi="宋体" w:eastAsia="宋体" w:cs="宋体"/>
          <w:color w:val="auto"/>
          <w:sz w:val="28"/>
          <w:szCs w:val="28"/>
          <w:highlight w:val="none"/>
        </w:rPr>
      </w:pPr>
    </w:p>
    <w:p>
      <w:pPr>
        <w:spacing w:line="360" w:lineRule="auto"/>
        <w:jc w:val="center"/>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jc w:val="center"/>
        <w:outlineLvl w:val="0"/>
        <w:rPr>
          <w:rFonts w:hint="eastAsia" w:ascii="宋体" w:hAnsi="宋体" w:eastAsia="宋体" w:cs="宋体"/>
          <w:color w:val="auto"/>
          <w:sz w:val="28"/>
          <w:szCs w:val="28"/>
          <w:highlight w:val="none"/>
        </w:rPr>
      </w:pPr>
      <w:bookmarkStart w:id="40" w:name="_Toc7747"/>
      <w:r>
        <w:rPr>
          <w:rFonts w:hint="eastAsia" w:ascii="宋体" w:hAnsi="宋体" w:eastAsia="宋体" w:cs="宋体"/>
          <w:color w:val="auto"/>
          <w:sz w:val="28"/>
          <w:szCs w:val="28"/>
          <w:highlight w:val="none"/>
        </w:rPr>
        <w:t>磋商响应方：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40"/>
    </w:p>
    <w:p>
      <w:pPr>
        <w:spacing w:line="360" w:lineRule="auto"/>
        <w:jc w:val="center"/>
        <w:outlineLvl w:val="0"/>
        <w:rPr>
          <w:rFonts w:hint="eastAsia" w:ascii="宋体" w:hAnsi="宋体" w:eastAsia="宋体" w:cs="宋体"/>
          <w:color w:val="auto"/>
          <w:sz w:val="28"/>
          <w:szCs w:val="28"/>
          <w:highlight w:val="none"/>
        </w:rPr>
      </w:pPr>
      <w:bookmarkStart w:id="41" w:name="_Toc26425"/>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（签字或盖章）</w:t>
      </w:r>
      <w:bookmarkEnd w:id="41"/>
    </w:p>
    <w:p>
      <w:pPr>
        <w:pStyle w:val="11"/>
        <w:snapToGrid w:val="0"/>
        <w:spacing w:line="360" w:lineRule="auto"/>
        <w:ind w:left="126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p>
    <w:p>
      <w:pPr>
        <w:pStyle w:val="11"/>
        <w:snapToGrid w:val="0"/>
        <w:spacing w:line="360" w:lineRule="auto"/>
        <w:ind w:left="578"/>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11"/>
        <w:snapToGrid w:val="0"/>
        <w:spacing w:line="360" w:lineRule="auto"/>
        <w:ind w:left="578"/>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目    录</w:t>
      </w: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rFonts w:hint="eastAsia" w:ascii="宋体" w:hAnsi="宋体" w:eastAsia="宋体" w:cs="宋体"/>
          <w:color w:val="auto"/>
          <w:sz w:val="24"/>
          <w:highlight w:val="none"/>
        </w:rPr>
      </w:pPr>
    </w:p>
    <w:p>
      <w:pPr>
        <w:spacing w:line="480" w:lineRule="auto"/>
        <w:outlineLvl w:val="0"/>
        <w:rPr>
          <w:rFonts w:hint="eastAsia" w:ascii="宋体" w:hAnsi="宋体" w:eastAsia="宋体" w:cs="宋体"/>
          <w:color w:val="auto"/>
          <w:highlight w:val="none"/>
        </w:rPr>
      </w:pPr>
      <w:bookmarkStart w:id="42" w:name="_Toc8984"/>
      <w:r>
        <w:rPr>
          <w:rFonts w:hint="eastAsia" w:ascii="宋体" w:hAnsi="宋体" w:eastAsia="宋体" w:cs="宋体"/>
          <w:color w:val="auto"/>
          <w:highlight w:val="none"/>
        </w:rPr>
        <w:t>一、磋商响应函</w:t>
      </w:r>
      <w:bookmarkEnd w:id="42"/>
    </w:p>
    <w:p>
      <w:pPr>
        <w:spacing w:line="480" w:lineRule="auto"/>
        <w:outlineLvl w:val="0"/>
        <w:rPr>
          <w:rFonts w:hint="eastAsia" w:ascii="宋体" w:hAnsi="宋体" w:eastAsia="宋体" w:cs="宋体"/>
          <w:color w:val="auto"/>
          <w:highlight w:val="none"/>
        </w:rPr>
      </w:pPr>
      <w:bookmarkStart w:id="43" w:name="_Toc5734"/>
      <w:r>
        <w:rPr>
          <w:rFonts w:hint="eastAsia" w:ascii="宋体" w:hAnsi="宋体" w:eastAsia="宋体" w:cs="宋体"/>
          <w:color w:val="auto"/>
          <w:highlight w:val="none"/>
        </w:rPr>
        <w:t>二、法定代表人身份证明</w:t>
      </w:r>
      <w:bookmarkEnd w:id="43"/>
    </w:p>
    <w:p>
      <w:pPr>
        <w:spacing w:line="480" w:lineRule="auto"/>
        <w:outlineLvl w:val="0"/>
        <w:rPr>
          <w:rFonts w:hint="eastAsia" w:ascii="宋体" w:hAnsi="宋体" w:eastAsia="宋体" w:cs="宋体"/>
          <w:color w:val="auto"/>
          <w:highlight w:val="none"/>
        </w:rPr>
      </w:pPr>
      <w:bookmarkStart w:id="44" w:name="_Toc17959"/>
      <w:r>
        <w:rPr>
          <w:rFonts w:hint="eastAsia" w:ascii="宋体" w:hAnsi="宋体" w:eastAsia="宋体" w:cs="宋体"/>
          <w:color w:val="auto"/>
          <w:highlight w:val="none"/>
        </w:rPr>
        <w:t>三、法定代表人授权委托书</w:t>
      </w:r>
      <w:bookmarkEnd w:id="44"/>
    </w:p>
    <w:p>
      <w:pPr>
        <w:spacing w:line="480" w:lineRule="auto"/>
        <w:outlineLvl w:val="0"/>
        <w:rPr>
          <w:rFonts w:hint="eastAsia" w:ascii="宋体" w:hAnsi="宋体" w:eastAsia="宋体" w:cs="宋体"/>
          <w:color w:val="auto"/>
          <w:highlight w:val="none"/>
        </w:rPr>
      </w:pPr>
      <w:bookmarkStart w:id="45" w:name="_Toc24217"/>
      <w:r>
        <w:rPr>
          <w:rFonts w:hint="eastAsia" w:ascii="宋体" w:hAnsi="宋体" w:eastAsia="宋体" w:cs="宋体"/>
          <w:color w:val="auto"/>
          <w:highlight w:val="none"/>
        </w:rPr>
        <w:t>四、初次报价表</w:t>
      </w:r>
      <w:bookmarkEnd w:id="45"/>
    </w:p>
    <w:p>
      <w:pPr>
        <w:spacing w:line="480" w:lineRule="auto"/>
        <w:outlineLvl w:val="0"/>
        <w:rPr>
          <w:rFonts w:hint="eastAsia" w:ascii="宋体" w:hAnsi="宋体" w:eastAsia="宋体" w:cs="宋体"/>
          <w:color w:val="auto"/>
          <w:highlight w:val="none"/>
        </w:rPr>
      </w:pPr>
      <w:bookmarkStart w:id="46" w:name="_Toc4119"/>
      <w:r>
        <w:rPr>
          <w:rFonts w:hint="eastAsia" w:ascii="宋体" w:hAnsi="宋体" w:eastAsia="宋体" w:cs="宋体"/>
          <w:color w:val="auto"/>
          <w:highlight w:val="none"/>
        </w:rPr>
        <w:t>五、初次报价的已标价工程量清单</w:t>
      </w:r>
      <w:bookmarkEnd w:id="46"/>
    </w:p>
    <w:p>
      <w:pPr>
        <w:spacing w:line="480" w:lineRule="auto"/>
        <w:outlineLvl w:val="0"/>
        <w:rPr>
          <w:rFonts w:hint="eastAsia" w:ascii="宋体" w:hAnsi="宋体" w:eastAsia="宋体" w:cs="宋体"/>
          <w:color w:val="auto"/>
          <w:highlight w:val="none"/>
        </w:rPr>
      </w:pPr>
      <w:bookmarkStart w:id="47" w:name="_Toc30030"/>
      <w:r>
        <w:rPr>
          <w:rFonts w:hint="eastAsia" w:ascii="宋体" w:hAnsi="宋体" w:eastAsia="宋体" w:cs="宋体"/>
          <w:color w:val="auto"/>
          <w:highlight w:val="none"/>
        </w:rPr>
        <w:t>六、施工组织设计</w:t>
      </w:r>
      <w:bookmarkEnd w:id="47"/>
    </w:p>
    <w:p>
      <w:pPr>
        <w:spacing w:line="480" w:lineRule="auto"/>
        <w:outlineLvl w:val="0"/>
        <w:rPr>
          <w:rFonts w:hint="eastAsia" w:ascii="宋体" w:hAnsi="宋体" w:eastAsia="宋体" w:cs="宋体"/>
          <w:color w:val="auto"/>
          <w:highlight w:val="none"/>
        </w:rPr>
      </w:pPr>
      <w:bookmarkStart w:id="48" w:name="_Toc23044"/>
      <w:r>
        <w:rPr>
          <w:rFonts w:hint="eastAsia" w:ascii="宋体" w:hAnsi="宋体" w:eastAsia="宋体" w:cs="宋体"/>
          <w:color w:val="auto"/>
          <w:highlight w:val="none"/>
        </w:rPr>
        <w:t>七、</w:t>
      </w:r>
      <w:bookmarkEnd w:id="48"/>
      <w:bookmarkStart w:id="49" w:name="_Toc10881"/>
      <w:r>
        <w:rPr>
          <w:rFonts w:hint="eastAsia" w:ascii="宋体" w:hAnsi="宋体" w:eastAsia="宋体" w:cs="宋体"/>
          <w:color w:val="auto"/>
          <w:highlight w:val="none"/>
        </w:rPr>
        <w:t>建设工程扬尘治理工作承诺书</w:t>
      </w:r>
    </w:p>
    <w:p>
      <w:pPr>
        <w:spacing w:line="480" w:lineRule="auto"/>
        <w:outlineLvl w:val="0"/>
        <w:rPr>
          <w:rFonts w:hint="eastAsia" w:ascii="宋体" w:hAnsi="宋体" w:eastAsia="宋体" w:cs="宋体"/>
          <w:color w:val="auto"/>
          <w:highlight w:val="none"/>
        </w:rPr>
      </w:pPr>
      <w:r>
        <w:rPr>
          <w:rFonts w:hint="eastAsia" w:ascii="宋体" w:hAnsi="宋体" w:eastAsia="宋体" w:cs="宋体"/>
          <w:color w:val="auto"/>
          <w:highlight w:val="none"/>
        </w:rPr>
        <w:t>八、资格审查资料</w:t>
      </w:r>
      <w:bookmarkEnd w:id="49"/>
    </w:p>
    <w:p>
      <w:pPr>
        <w:spacing w:line="480" w:lineRule="auto"/>
        <w:outlineLvl w:val="0"/>
        <w:rPr>
          <w:rFonts w:hint="eastAsia" w:ascii="宋体" w:hAnsi="宋体" w:eastAsia="宋体" w:cs="宋体"/>
          <w:color w:val="auto"/>
          <w:highlight w:val="none"/>
        </w:rPr>
      </w:pPr>
      <w:bookmarkStart w:id="50" w:name="_Toc18974"/>
      <w:r>
        <w:rPr>
          <w:rFonts w:hint="eastAsia" w:ascii="宋体" w:hAnsi="宋体" w:eastAsia="宋体" w:cs="宋体"/>
          <w:color w:val="auto"/>
          <w:highlight w:val="none"/>
        </w:rPr>
        <w:t>九、</w:t>
      </w:r>
      <w:bookmarkEnd w:id="50"/>
      <w:r>
        <w:rPr>
          <w:rFonts w:hint="eastAsia" w:ascii="宋体" w:hAnsi="宋体" w:eastAsia="宋体" w:cs="宋体"/>
          <w:color w:val="auto"/>
          <w:highlight w:val="none"/>
        </w:rPr>
        <w:t>其他资料</w:t>
      </w: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1" w:name="_Toc4502"/>
      <w:r>
        <w:rPr>
          <w:rFonts w:hint="eastAsia" w:ascii="宋体" w:hAnsi="宋体" w:eastAsia="宋体" w:cs="宋体"/>
          <w:color w:val="auto"/>
          <w:sz w:val="24"/>
          <w:highlight w:val="none"/>
        </w:rPr>
        <w:t>一、磋商响应函</w:t>
      </w:r>
      <w:bookmarkEnd w:id="51"/>
    </w:p>
    <w:p>
      <w:pPr>
        <w:spacing w:line="360" w:lineRule="auto"/>
        <w:rPr>
          <w:rFonts w:hint="eastAsia" w:ascii="宋体" w:hAnsi="宋体" w:eastAsia="宋体" w:cs="宋体"/>
          <w:b/>
          <w:bCs/>
          <w:color w:val="auto"/>
          <w:szCs w:val="21"/>
          <w:highlight w:val="none"/>
        </w:rPr>
      </w:pP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经研究，我方决定参加项目编号为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的政府采购活动并提交磋商响应文件。为此，我方郑重声明如下:</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1、我方提交的磋商响应文件，正本一份，副本五份。</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2、如果我方的磋商响应文件被接受，我方将履行磋商文件中规定的每一项要求，并按我方磋商响应文件中的承诺按期、保质、保量完成项目的实施。</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3、我方理解，最低报价不是入选成交候选人的唯一条件。</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4、我方愿按《</w:t>
      </w:r>
      <w:r>
        <w:rPr>
          <w:rFonts w:hint="eastAsia" w:ascii="宋体" w:hAnsi="宋体" w:eastAsia="宋体" w:cs="宋体"/>
          <w:color w:val="auto"/>
          <w:kern w:val="0"/>
          <w:szCs w:val="21"/>
          <w:highlight w:val="none"/>
          <w:lang w:eastAsia="zh-CN"/>
        </w:rPr>
        <w:t>中华人民共和国民法典</w:t>
      </w:r>
      <w:r>
        <w:rPr>
          <w:rFonts w:hint="eastAsia" w:ascii="宋体" w:hAnsi="宋体" w:eastAsia="宋体" w:cs="宋体"/>
          <w:color w:val="auto"/>
          <w:kern w:val="0"/>
          <w:szCs w:val="21"/>
          <w:highlight w:val="none"/>
        </w:rPr>
        <w:t>》履行自己的全部责任。</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5、我方已详细检查所有磋商文件、附件以及所提供的参考文件，因模糊和误解产生的一切后果，由我方自负。</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6、我方的磋商响应文件自递交截止之日起60个日历日内有效。</w:t>
      </w:r>
    </w:p>
    <w:p>
      <w:pPr>
        <w:widowControl/>
        <w:spacing w:line="48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7、我方同意按文件要求，提交与递交磋商响应文件有关的数据和资料。</w:t>
      </w:r>
    </w:p>
    <w:p>
      <w:pPr>
        <w:widowControl/>
        <w:spacing w:line="480" w:lineRule="auto"/>
        <w:ind w:firstLine="420" w:firstLineChars="200"/>
        <w:rPr>
          <w:rFonts w:hint="eastAsia" w:ascii="宋体" w:hAnsi="宋体" w:eastAsia="宋体" w:cs="宋体"/>
          <w:color w:val="auto"/>
          <w:kern w:val="0"/>
          <w:szCs w:val="21"/>
          <w:highlight w:val="none"/>
        </w:rPr>
      </w:pPr>
    </w:p>
    <w:p>
      <w:pPr>
        <w:widowControl/>
        <w:spacing w:line="360" w:lineRule="auto"/>
        <w:ind w:firstLine="420" w:firstLineChars="200"/>
        <w:rPr>
          <w:rFonts w:hint="eastAsia" w:ascii="宋体" w:hAnsi="宋体" w:eastAsia="宋体" w:cs="宋体"/>
          <w:color w:val="auto"/>
          <w:kern w:val="0"/>
          <w:szCs w:val="21"/>
          <w:highlight w:val="none"/>
        </w:rPr>
      </w:pP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spacing w:line="48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法人代表或委托代理人（签字或盖章）：</w:t>
      </w:r>
    </w:p>
    <w:p>
      <w:pPr>
        <w:spacing w:line="48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jc w:val="center"/>
        <w:rPr>
          <w:rFonts w:hint="eastAsia" w:ascii="宋体" w:hAnsi="宋体" w:eastAsia="宋体" w:cs="宋体"/>
          <w:color w:val="auto"/>
          <w:sz w:val="24"/>
          <w:highlight w:val="none"/>
        </w:rPr>
      </w:pPr>
      <w:bookmarkStart w:id="52" w:name="_Toc374107067"/>
      <w:bookmarkStart w:id="53" w:name="_Toc323641999"/>
      <w:bookmarkStart w:id="54" w:name="_Toc300901193"/>
      <w:r>
        <w:rPr>
          <w:rFonts w:hint="eastAsia" w:ascii="宋体" w:hAnsi="宋体" w:eastAsia="宋体" w:cs="宋体"/>
          <w:color w:val="auto"/>
          <w:sz w:val="24"/>
          <w:highlight w:val="none"/>
        </w:rPr>
        <w:br w:type="page"/>
      </w:r>
      <w:bookmarkStart w:id="55" w:name="_Toc8080"/>
      <w:r>
        <w:rPr>
          <w:rFonts w:hint="eastAsia" w:ascii="宋体" w:hAnsi="宋体" w:eastAsia="宋体" w:cs="宋体"/>
          <w:color w:val="auto"/>
          <w:sz w:val="24"/>
          <w:highlight w:val="none"/>
        </w:rPr>
        <w:t>二、法定代表人身份证明</w:t>
      </w:r>
      <w:bookmarkEnd w:id="52"/>
      <w:bookmarkEnd w:id="53"/>
      <w:bookmarkEnd w:id="54"/>
      <w:bookmarkEnd w:id="55"/>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经营期限：</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        别：</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附：法定代表人身份证复印件（正反面）</w:t>
      </w:r>
    </w:p>
    <w:p>
      <w:pPr>
        <w:spacing w:line="500" w:lineRule="exact"/>
        <w:rPr>
          <w:rFonts w:hint="eastAsia" w:ascii="宋体" w:hAnsi="宋体" w:eastAsia="宋体" w:cs="宋体"/>
          <w:color w:val="auto"/>
          <w:szCs w:val="21"/>
          <w:highlight w:val="none"/>
        </w:rPr>
      </w:pP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wordWrap w:val="0"/>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rPr>
          <w:rFonts w:hint="eastAsia" w:ascii="宋体" w:hAnsi="宋体" w:eastAsia="宋体" w:cs="宋体"/>
          <w:bCs/>
          <w:color w:val="auto"/>
          <w:highlight w:val="none"/>
        </w:rPr>
      </w:pP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6" w:name="_Toc6161"/>
      <w:r>
        <w:rPr>
          <w:rFonts w:hint="eastAsia" w:ascii="宋体" w:hAnsi="宋体" w:eastAsia="宋体" w:cs="宋体"/>
          <w:color w:val="auto"/>
          <w:sz w:val="24"/>
          <w:highlight w:val="none"/>
        </w:rPr>
        <w:t>三、法定代表人授权委托书</w:t>
      </w:r>
      <w:bookmarkEnd w:id="56"/>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hint="eastAsia" w:ascii="宋体" w:hAnsi="宋体" w:eastAsia="宋体" w:cs="宋体"/>
          <w:color w:val="auto"/>
          <w:szCs w:val="21"/>
          <w:highlight w:val="none"/>
        </w:rPr>
      </w:pPr>
    </w:p>
    <w:p>
      <w:pPr>
        <w:spacing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（姓名）为我方代理人。代理人根据授权，以我方名义签署、澄清、说明、补正、递交、撤回、修改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标段竞争性磋商响应文件、</w:t>
      </w:r>
      <w:r>
        <w:rPr>
          <w:rFonts w:hint="eastAsia" w:ascii="宋体" w:hAnsi="宋体" w:eastAsia="宋体" w:cs="宋体"/>
          <w:color w:val="auto"/>
          <w:kern w:val="0"/>
          <w:szCs w:val="21"/>
          <w:highlight w:val="none"/>
        </w:rPr>
        <w:t>参加本项目竞争性磋商、全权处理磋商过程中所签署的一切文件和有关的一切事务、</w:t>
      </w:r>
      <w:r>
        <w:rPr>
          <w:rFonts w:hint="eastAsia" w:ascii="宋体" w:hAnsi="宋体" w:eastAsia="宋体" w:cs="宋体"/>
          <w:color w:val="auto"/>
          <w:szCs w:val="21"/>
          <w:highlight w:val="none"/>
        </w:rPr>
        <w:t>签订合同和处理有关事宜，其法律后果由我方承担。</w:t>
      </w:r>
    </w:p>
    <w:p>
      <w:pPr>
        <w:spacing w:before="143" w:beforeLines="5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委托期限：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before="286" w:beforeLines="100" w:after="286" w:afterLines="100" w:line="5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代理人无转委托权。</w:t>
      </w:r>
    </w:p>
    <w:p>
      <w:pPr>
        <w:spacing w:line="5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附：授权委托人身份证复印件（正反面）</w:t>
      </w:r>
    </w:p>
    <w:p>
      <w:pPr>
        <w:pStyle w:val="2"/>
        <w:rPr>
          <w:rFonts w:hint="eastAsia" w:ascii="宋体" w:hAnsi="宋体" w:eastAsia="宋体" w:cs="宋体"/>
          <w:color w:val="auto"/>
          <w:szCs w:val="21"/>
          <w:highlight w:val="none"/>
        </w:rPr>
      </w:pPr>
    </w:p>
    <w:p>
      <w:pPr>
        <w:rPr>
          <w:rFonts w:hint="eastAsia" w:ascii="宋体" w:hAnsi="宋体" w:eastAsia="宋体" w:cs="宋体"/>
          <w:color w:val="auto"/>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  应  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00" w:lineRule="exact"/>
        <w:ind w:firstLine="3570" w:firstLineChars="1700"/>
        <w:rPr>
          <w:rFonts w:hint="eastAsia" w:ascii="宋体" w:hAnsi="宋体" w:eastAsia="宋体" w:cs="宋体"/>
          <w:color w:val="auto"/>
          <w:szCs w:val="21"/>
          <w:highlight w:val="none"/>
          <w:u w:val="singl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（签字或盖章）</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p>
    <w:p>
      <w:pPr>
        <w:spacing w:line="400" w:lineRule="exact"/>
        <w:ind w:firstLine="3570" w:firstLineChars="1700"/>
        <w:rPr>
          <w:rFonts w:hint="eastAsia" w:ascii="宋体" w:hAnsi="宋体" w:eastAsia="宋体" w:cs="宋体"/>
          <w:color w:val="auto"/>
          <w:szCs w:val="21"/>
          <w:highlight w:val="none"/>
        </w:rPr>
      </w:pPr>
    </w:p>
    <w:p>
      <w:pPr>
        <w:spacing w:line="400" w:lineRule="exact"/>
        <w:ind w:firstLine="4830" w:firstLineChars="23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before="286" w:beforeLines="100" w:after="143" w:afterLines="50"/>
        <w:rPr>
          <w:rFonts w:hint="eastAsia" w:ascii="宋体" w:hAnsi="宋体" w:eastAsia="宋体" w:cs="宋体"/>
          <w:color w:val="auto"/>
          <w:szCs w:val="21"/>
          <w:highlight w:val="none"/>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宋体" w:hAnsi="宋体" w:eastAsia="宋体" w:cs="宋体"/>
          <w:color w:val="auto"/>
          <w:szCs w:val="21"/>
          <w:highlight w:val="none"/>
        </w:rPr>
      </w:pPr>
    </w:p>
    <w:p>
      <w:pPr>
        <w:pStyle w:val="2"/>
        <w:tabs>
          <w:tab w:val="left" w:pos="0"/>
          <w:tab w:val="left" w:pos="720"/>
          <w:tab w:val="left" w:pos="1440"/>
          <w:tab w:val="left" w:pos="2160"/>
          <w:tab w:val="left" w:pos="2880"/>
          <w:tab w:val="left" w:pos="3600"/>
          <w:tab w:val="left" w:pos="4320"/>
        </w:tabs>
        <w:autoSpaceDE w:val="0"/>
        <w:autoSpaceDN w:val="0"/>
        <w:adjustRightInd w:val="0"/>
        <w:spacing w:before="0" w:line="360" w:lineRule="auto"/>
        <w:rPr>
          <w:rFonts w:hint="eastAsia" w:ascii="宋体" w:hAnsi="宋体" w:eastAsia="宋体" w:cs="宋体"/>
          <w:color w:val="auto"/>
          <w:sz w:val="21"/>
          <w:szCs w:val="21"/>
          <w:highlight w:val="none"/>
        </w:rPr>
      </w:pP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7" w:name="_Toc7858"/>
      <w:r>
        <w:rPr>
          <w:rFonts w:hint="eastAsia" w:ascii="宋体" w:hAnsi="宋体" w:eastAsia="宋体" w:cs="宋体"/>
          <w:color w:val="auto"/>
          <w:sz w:val="24"/>
          <w:highlight w:val="none"/>
        </w:rPr>
        <w:t>四、初次报价表</w:t>
      </w:r>
      <w:bookmarkEnd w:id="57"/>
    </w:p>
    <w:p>
      <w:pPr>
        <w:pStyle w:val="5"/>
        <w:spacing w:line="360" w:lineRule="auto"/>
        <w:jc w:val="center"/>
        <w:rPr>
          <w:rFonts w:hint="eastAsia" w:ascii="宋体" w:hAnsi="宋体" w:eastAsia="宋体" w:cs="宋体"/>
          <w:b/>
          <w:color w:val="auto"/>
          <w:sz w:val="28"/>
          <w:szCs w:val="28"/>
          <w:highlight w:val="none"/>
        </w:rPr>
      </w:pPr>
    </w:p>
    <w:tbl>
      <w:tblPr>
        <w:tblStyle w:val="12"/>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6"/>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954"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总报价</w:t>
            </w:r>
          </w:p>
        </w:tc>
        <w:tc>
          <w:tcPr>
            <w:tcW w:w="6954" w:type="dxa"/>
            <w:vAlign w:val="center"/>
          </w:tcPr>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工期（日历日）</w:t>
            </w:r>
          </w:p>
        </w:tc>
        <w:tc>
          <w:tcPr>
            <w:tcW w:w="6954" w:type="dxa"/>
            <w:vAlign w:val="center"/>
          </w:tcPr>
          <w:p>
            <w:pPr>
              <w:spacing w:line="360" w:lineRule="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2"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质量标准</w:t>
            </w:r>
          </w:p>
        </w:tc>
        <w:tc>
          <w:tcPr>
            <w:tcW w:w="6954" w:type="dxa"/>
            <w:vAlign w:val="center"/>
          </w:tcPr>
          <w:p>
            <w:pPr>
              <w:spacing w:line="360" w:lineRule="auto"/>
              <w:jc w:val="center"/>
              <w:rPr>
                <w:rFonts w:hint="eastAsia" w:ascii="宋体" w:hAnsi="宋体" w:eastAsia="宋体" w:cs="宋体"/>
                <w:color w:val="auto"/>
                <w:w w:val="1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8" w:hRule="atLeast"/>
          <w:jc w:val="center"/>
        </w:trPr>
        <w:tc>
          <w:tcPr>
            <w:tcW w:w="2906" w:type="dxa"/>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质保期（年）</w:t>
            </w:r>
          </w:p>
        </w:tc>
        <w:tc>
          <w:tcPr>
            <w:tcW w:w="6954" w:type="dxa"/>
            <w:vAlign w:val="center"/>
          </w:tcPr>
          <w:p>
            <w:pPr>
              <w:spacing w:line="360" w:lineRule="auto"/>
              <w:jc w:val="center"/>
              <w:rPr>
                <w:rFonts w:hint="eastAsia" w:ascii="宋体" w:hAnsi="宋体" w:eastAsia="宋体" w:cs="宋体"/>
                <w:color w:val="auto"/>
                <w:w w:val="110"/>
                <w:szCs w:val="21"/>
                <w:highlight w:val="none"/>
              </w:rPr>
            </w:pPr>
          </w:p>
        </w:tc>
      </w:tr>
    </w:tbl>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法人代表或委托代理人（签字或盖章）：</w:t>
      </w:r>
    </w:p>
    <w:p>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before="286" w:beforeLines="100" w:after="143" w:afterLines="50"/>
        <w:rPr>
          <w:rFonts w:hint="eastAsia" w:ascii="宋体" w:hAnsi="宋体" w:eastAsia="宋体" w:cs="宋体"/>
          <w:color w:val="auto"/>
          <w:sz w:val="6"/>
          <w:szCs w:val="6"/>
          <w:highlight w:val="none"/>
        </w:rPr>
      </w:pP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58" w:name="_Toc29718"/>
      <w:r>
        <w:rPr>
          <w:rFonts w:hint="eastAsia" w:ascii="宋体" w:hAnsi="宋体" w:eastAsia="宋体" w:cs="宋体"/>
          <w:color w:val="auto"/>
          <w:sz w:val="24"/>
          <w:highlight w:val="none"/>
        </w:rPr>
        <w:t>五、初次报价的已标价工程量清单</w:t>
      </w:r>
      <w:bookmarkEnd w:id="58"/>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初次报价的已标价工程量清单按第四部分采购内容及要求中“四、工程量清单”中的相关清单表格式填写。构成合同文件的已标价工程量清单包括第四部分采购内容及要求中“四、工程量清单”有关工程量清单、报价以及其他说明的内容。</w:t>
      </w:r>
    </w:p>
    <w:p>
      <w:pPr>
        <w:pStyle w:val="17"/>
        <w:tabs>
          <w:tab w:val="left" w:pos="9638"/>
        </w:tabs>
        <w:spacing w:line="360" w:lineRule="auto"/>
        <w:ind w:right="-82"/>
        <w:jc w:val="center"/>
        <w:outlineLvl w:val="0"/>
        <w:rPr>
          <w:rFonts w:hint="eastAsia" w:ascii="宋体" w:hAnsi="宋体" w:eastAsia="宋体" w:cs="宋体"/>
          <w:b/>
          <w:color w:val="auto"/>
          <w:sz w:val="24"/>
          <w:highlight w:val="none"/>
        </w:rPr>
      </w:pPr>
      <w:r>
        <w:rPr>
          <w:rFonts w:hint="eastAsia" w:ascii="宋体" w:hAnsi="宋体" w:eastAsia="宋体" w:cs="宋体"/>
          <w:color w:val="auto"/>
          <w:sz w:val="28"/>
          <w:szCs w:val="28"/>
          <w:highlight w:val="none"/>
        </w:rPr>
        <w:br w:type="page"/>
      </w:r>
      <w:bookmarkStart w:id="59" w:name="_Toc381880875"/>
      <w:bookmarkStart w:id="60" w:name="_Toc19202"/>
      <w:r>
        <w:rPr>
          <w:rFonts w:hint="eastAsia" w:ascii="宋体" w:hAnsi="宋体" w:eastAsia="宋体" w:cs="宋体"/>
          <w:b/>
          <w:color w:val="auto"/>
          <w:sz w:val="24"/>
          <w:highlight w:val="none"/>
        </w:rPr>
        <w:t>六、</w:t>
      </w:r>
      <w:bookmarkEnd w:id="59"/>
      <w:r>
        <w:rPr>
          <w:rFonts w:hint="eastAsia" w:ascii="宋体" w:hAnsi="宋体" w:eastAsia="宋体" w:cs="宋体"/>
          <w:b/>
          <w:color w:val="auto"/>
          <w:sz w:val="24"/>
          <w:highlight w:val="none"/>
        </w:rPr>
        <w:t>施工组织设计</w:t>
      </w:r>
      <w:bookmarkEnd w:id="60"/>
    </w:p>
    <w:p>
      <w:pPr>
        <w:rPr>
          <w:rFonts w:hint="eastAsia" w:ascii="宋体" w:hAnsi="宋体" w:eastAsia="宋体" w:cs="宋体"/>
          <w:color w:val="auto"/>
          <w:szCs w:val="21"/>
          <w:highlight w:val="none"/>
        </w:rPr>
      </w:pPr>
    </w:p>
    <w:p>
      <w:pPr>
        <w:spacing w:line="420" w:lineRule="exact"/>
        <w:ind w:firstLine="420" w:firstLineChars="200"/>
        <w:rPr>
          <w:rFonts w:hint="eastAsia" w:ascii="宋体" w:hAnsi="宋体"/>
          <w:szCs w:val="21"/>
        </w:rPr>
      </w:pPr>
      <w:r>
        <w:rPr>
          <w:rFonts w:hint="eastAsia" w:ascii="宋体" w:hAnsi="宋体"/>
          <w:szCs w:val="21"/>
        </w:rPr>
        <w:t>供应商应根据竞争性磋商文件和对现场的勘察情况，采用文字并结合图表形式，参考以下要点编制本工程的施工组织设计：</w:t>
      </w:r>
    </w:p>
    <w:p>
      <w:pPr>
        <w:spacing w:line="400" w:lineRule="exact"/>
        <w:ind w:firstLine="420" w:firstLineChars="200"/>
        <w:rPr>
          <w:rFonts w:hint="eastAsia" w:ascii="宋体" w:hAnsi="宋体"/>
          <w:szCs w:val="21"/>
        </w:rPr>
      </w:pPr>
      <w:r>
        <w:rPr>
          <w:rFonts w:hint="eastAsia" w:ascii="宋体" w:hAnsi="宋体"/>
          <w:szCs w:val="21"/>
        </w:rPr>
        <w:t>（1）针对项目特点内容规范完整性和整体编制水平</w:t>
      </w:r>
    </w:p>
    <w:p>
      <w:pPr>
        <w:pStyle w:val="2"/>
        <w:ind w:firstLine="420" w:firstLineChars="200"/>
        <w:rPr>
          <w:rFonts w:hint="eastAsia"/>
        </w:rPr>
      </w:pPr>
      <w:r>
        <w:rPr>
          <w:rFonts w:hint="eastAsia"/>
          <w:sz w:val="21"/>
          <w:szCs w:val="21"/>
        </w:rPr>
        <w:t>（</w:t>
      </w:r>
      <w:r>
        <w:rPr>
          <w:rFonts w:hint="eastAsia" w:ascii="宋体" w:hAnsi="宋体" w:cs="宋体"/>
          <w:sz w:val="21"/>
          <w:szCs w:val="21"/>
        </w:rPr>
        <w:t>2</w:t>
      </w:r>
      <w:r>
        <w:rPr>
          <w:rFonts w:hint="eastAsia"/>
          <w:sz w:val="21"/>
          <w:szCs w:val="21"/>
        </w:rPr>
        <w:t>）施工方案与技术措施</w:t>
      </w:r>
    </w:p>
    <w:p>
      <w:pPr>
        <w:spacing w:line="400" w:lineRule="exact"/>
        <w:ind w:firstLine="420" w:firstLineChars="200"/>
        <w:rPr>
          <w:rFonts w:hint="eastAsia" w:ascii="宋体" w:hAnsi="宋体" w:cs="宋体"/>
          <w:szCs w:val="21"/>
        </w:rPr>
      </w:pPr>
      <w:r>
        <w:rPr>
          <w:rFonts w:hint="eastAsia" w:ascii="宋体" w:hAnsi="宋体"/>
          <w:szCs w:val="21"/>
        </w:rPr>
        <w:t>（3）质量管理体系与措施</w:t>
      </w:r>
    </w:p>
    <w:p>
      <w:pPr>
        <w:spacing w:line="400" w:lineRule="exact"/>
        <w:ind w:firstLine="420" w:firstLineChars="200"/>
        <w:rPr>
          <w:rFonts w:hint="eastAsia" w:ascii="Verdana" w:hAnsi="Verdana"/>
          <w:szCs w:val="21"/>
        </w:rPr>
      </w:pPr>
      <w:r>
        <w:rPr>
          <w:rFonts w:hint="eastAsia" w:ascii="宋体" w:hAnsi="宋体"/>
          <w:szCs w:val="21"/>
        </w:rPr>
        <w:t>（4）安全管理体系与措施</w:t>
      </w:r>
    </w:p>
    <w:p>
      <w:pPr>
        <w:spacing w:line="400" w:lineRule="exact"/>
        <w:ind w:firstLine="420" w:firstLineChars="200"/>
        <w:rPr>
          <w:rFonts w:hint="eastAsia" w:ascii="Verdana" w:hAnsi="Verdana"/>
          <w:szCs w:val="21"/>
        </w:rPr>
      </w:pPr>
      <w:r>
        <w:rPr>
          <w:rFonts w:hint="eastAsia" w:ascii="宋体" w:hAnsi="宋体"/>
          <w:szCs w:val="21"/>
        </w:rPr>
        <w:t>（5）工程进度计划与措施</w:t>
      </w:r>
    </w:p>
    <w:p>
      <w:pPr>
        <w:spacing w:line="400" w:lineRule="exact"/>
        <w:ind w:firstLine="420" w:firstLineChars="200"/>
        <w:rPr>
          <w:rFonts w:hint="eastAsia" w:ascii="Verdana" w:hAnsi="Verdana"/>
          <w:szCs w:val="21"/>
        </w:rPr>
      </w:pPr>
      <w:r>
        <w:rPr>
          <w:rFonts w:hint="eastAsia" w:ascii="宋体" w:hAnsi="宋体"/>
          <w:szCs w:val="21"/>
        </w:rPr>
        <w:t>（6）环保管理体系与措施</w:t>
      </w:r>
    </w:p>
    <w:p>
      <w:pPr>
        <w:spacing w:line="400" w:lineRule="exact"/>
        <w:ind w:firstLine="420" w:firstLineChars="200"/>
        <w:rPr>
          <w:rFonts w:hint="eastAsia" w:ascii="Verdana" w:hAnsi="Verdana"/>
          <w:szCs w:val="21"/>
        </w:rPr>
      </w:pPr>
      <w:r>
        <w:rPr>
          <w:rFonts w:hint="eastAsia" w:ascii="宋体" w:hAnsi="宋体"/>
          <w:szCs w:val="21"/>
        </w:rPr>
        <w:t>（7）文明管理体系与措施</w:t>
      </w:r>
    </w:p>
    <w:p>
      <w:pPr>
        <w:spacing w:line="400" w:lineRule="exact"/>
        <w:ind w:firstLine="420" w:firstLineChars="200"/>
        <w:rPr>
          <w:rFonts w:hint="eastAsia" w:ascii="Verdana" w:hAnsi="Verdana"/>
          <w:szCs w:val="21"/>
        </w:rPr>
      </w:pPr>
      <w:r>
        <w:rPr>
          <w:rFonts w:hint="eastAsia" w:ascii="宋体" w:hAnsi="宋体"/>
          <w:szCs w:val="21"/>
        </w:rPr>
        <w:t>（8）施工管理及措施</w:t>
      </w:r>
    </w:p>
    <w:p>
      <w:pPr>
        <w:spacing w:line="400" w:lineRule="exact"/>
        <w:ind w:firstLine="420" w:firstLineChars="200"/>
        <w:rPr>
          <w:rFonts w:hint="eastAsia" w:ascii="宋体" w:hAnsi="宋体"/>
          <w:szCs w:val="21"/>
        </w:rPr>
      </w:pPr>
      <w:r>
        <w:rPr>
          <w:rFonts w:hint="eastAsia" w:ascii="宋体" w:hAnsi="宋体"/>
          <w:szCs w:val="21"/>
        </w:rPr>
        <w:t>（9）资源配备计划及措施</w:t>
      </w:r>
    </w:p>
    <w:p>
      <w:pPr>
        <w:spacing w:line="400" w:lineRule="exact"/>
        <w:ind w:firstLine="420" w:firstLineChars="200"/>
        <w:rPr>
          <w:rFonts w:ascii="Verdana" w:hAnsi="Verdana"/>
          <w:szCs w:val="21"/>
        </w:rPr>
      </w:pPr>
      <w:r>
        <w:rPr>
          <w:rFonts w:hint="eastAsia" w:ascii="宋体" w:hAnsi="宋体"/>
          <w:szCs w:val="21"/>
        </w:rPr>
        <w:t>（10）施工关键部位、材料采购要点的控制及措施（根据工程特点及磋商文件要求应具有针对性）</w:t>
      </w:r>
    </w:p>
    <w:p>
      <w:pPr>
        <w:pStyle w:val="2"/>
        <w:rPr>
          <w:rFonts w:hint="eastAsia" w:ascii="宋体" w:hAnsi="宋体"/>
          <w:szCs w:val="21"/>
        </w:rPr>
      </w:pPr>
      <w:r>
        <w:rPr>
          <w:rFonts w:hint="eastAsia" w:ascii="Verdana" w:hAnsi="Verdana"/>
          <w:szCs w:val="21"/>
        </w:rPr>
        <w:t xml:space="preserve">   </w:t>
      </w:r>
      <w:r>
        <w:rPr>
          <w:rFonts w:hint="eastAsia" w:ascii="宋体" w:hAnsi="宋体"/>
          <w:szCs w:val="21"/>
        </w:rPr>
        <w:t>2．施工组织设计除采用文字表述外可附下列图表。</w:t>
      </w:r>
    </w:p>
    <w:p>
      <w:pPr>
        <w:spacing w:line="420" w:lineRule="exact"/>
        <w:ind w:firstLine="420" w:firstLineChars="200"/>
        <w:rPr>
          <w:rFonts w:hint="eastAsia" w:ascii="宋体" w:hAnsi="宋体"/>
          <w:szCs w:val="21"/>
        </w:rPr>
      </w:pPr>
      <w:r>
        <w:rPr>
          <w:rFonts w:hint="eastAsia" w:ascii="宋体" w:hAnsi="宋体"/>
          <w:szCs w:val="21"/>
        </w:rPr>
        <w:t>附表一  拟投入本工程的主要施工设备表</w:t>
      </w:r>
    </w:p>
    <w:p>
      <w:pPr>
        <w:spacing w:line="420" w:lineRule="exact"/>
        <w:ind w:firstLine="420" w:firstLineChars="200"/>
        <w:rPr>
          <w:rFonts w:hint="eastAsia" w:ascii="宋体" w:hAnsi="宋体"/>
          <w:szCs w:val="21"/>
        </w:rPr>
      </w:pPr>
      <w:r>
        <w:rPr>
          <w:rFonts w:hint="eastAsia" w:ascii="宋体" w:hAnsi="宋体"/>
          <w:szCs w:val="21"/>
        </w:rPr>
        <w:t>附表二  拟配备本工程的试验和检测仪器设备表</w:t>
      </w:r>
    </w:p>
    <w:p>
      <w:pPr>
        <w:spacing w:line="420" w:lineRule="exact"/>
        <w:ind w:firstLine="420" w:firstLineChars="200"/>
        <w:rPr>
          <w:rFonts w:hint="eastAsia" w:ascii="宋体" w:hAnsi="宋体"/>
          <w:szCs w:val="21"/>
        </w:rPr>
      </w:pPr>
      <w:r>
        <w:rPr>
          <w:rFonts w:hint="eastAsia" w:ascii="宋体" w:hAnsi="宋体"/>
          <w:szCs w:val="21"/>
        </w:rPr>
        <w:t>附表三  劳动力计划表</w:t>
      </w:r>
    </w:p>
    <w:p>
      <w:pPr>
        <w:spacing w:line="420" w:lineRule="exact"/>
        <w:ind w:firstLine="420" w:firstLineChars="200"/>
        <w:rPr>
          <w:rFonts w:hint="eastAsia" w:ascii="宋体" w:hAnsi="宋体"/>
          <w:szCs w:val="21"/>
        </w:rPr>
      </w:pPr>
      <w:r>
        <w:rPr>
          <w:rFonts w:hint="eastAsia" w:ascii="宋体" w:hAnsi="宋体"/>
          <w:szCs w:val="21"/>
        </w:rPr>
        <w:t>附表四  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附表五  施工总平面图</w:t>
      </w:r>
    </w:p>
    <w:p>
      <w:pPr>
        <w:spacing w:line="420" w:lineRule="exact"/>
        <w:ind w:firstLine="420" w:firstLineChars="200"/>
        <w:rPr>
          <w:rFonts w:hint="eastAsia" w:ascii="宋体" w:hAnsi="宋体"/>
          <w:szCs w:val="21"/>
        </w:rPr>
      </w:pPr>
      <w:r>
        <w:rPr>
          <w:rFonts w:hint="eastAsia" w:ascii="宋体" w:hAnsi="宋体"/>
          <w:szCs w:val="21"/>
        </w:rPr>
        <w:t>附表六  临时用地表</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ind w:firstLine="480" w:firstLineChars="200"/>
        <w:rPr>
          <w:rFonts w:hint="eastAsia" w:ascii="黑体" w:hAnsi="宋体" w:eastAsia="黑体"/>
          <w:sz w:val="24"/>
        </w:rPr>
      </w:pPr>
      <w:bookmarkStart w:id="61" w:name="_Toc18469"/>
      <w:bookmarkStart w:id="62" w:name="_Toc374107073"/>
      <w:bookmarkStart w:id="63" w:name="_Toc323642004"/>
      <w:bookmarkStart w:id="64" w:name="_Toc300901199"/>
      <w:r>
        <w:rPr>
          <w:rFonts w:hint="eastAsia" w:ascii="黑体" w:hAnsi="宋体" w:eastAsia="黑体"/>
          <w:sz w:val="24"/>
        </w:rPr>
        <w:t>附表一：拟投入本工程的主要施工设备表</w:t>
      </w:r>
    </w:p>
    <w:tbl>
      <w:tblPr>
        <w:tblStyle w:val="12"/>
        <w:tblW w:w="928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704" w:type="dxa"/>
            <w:vAlign w:val="center"/>
          </w:tcPr>
          <w:p>
            <w:pPr>
              <w:spacing w:line="360" w:lineRule="auto"/>
              <w:jc w:val="center"/>
              <w:rPr>
                <w:rFonts w:hint="eastAsia" w:ascii="宋体" w:hAnsi="宋体"/>
                <w:szCs w:val="21"/>
              </w:rPr>
            </w:pPr>
            <w:r>
              <w:rPr>
                <w:rFonts w:hint="eastAsia" w:ascii="宋体" w:hAnsi="宋体"/>
                <w:szCs w:val="21"/>
              </w:rPr>
              <w:t>序号</w:t>
            </w:r>
          </w:p>
        </w:tc>
        <w:tc>
          <w:tcPr>
            <w:tcW w:w="1163" w:type="dxa"/>
            <w:vAlign w:val="center"/>
          </w:tcPr>
          <w:p>
            <w:pPr>
              <w:spacing w:line="360" w:lineRule="auto"/>
              <w:jc w:val="center"/>
              <w:rPr>
                <w:rFonts w:hint="eastAsia" w:ascii="宋体" w:hAnsi="宋体"/>
                <w:szCs w:val="21"/>
              </w:rPr>
            </w:pPr>
            <w:r>
              <w:rPr>
                <w:rFonts w:hint="eastAsia" w:ascii="宋体" w:hAnsi="宋体"/>
                <w:szCs w:val="21"/>
              </w:rPr>
              <w:t>设备名称</w:t>
            </w:r>
          </w:p>
        </w:tc>
        <w:tc>
          <w:tcPr>
            <w:tcW w:w="734" w:type="dxa"/>
            <w:vAlign w:val="center"/>
          </w:tcPr>
          <w:p>
            <w:pPr>
              <w:spacing w:line="360" w:lineRule="auto"/>
              <w:jc w:val="center"/>
              <w:rPr>
                <w:rFonts w:hint="eastAsia" w:ascii="宋体" w:hAnsi="宋体"/>
                <w:szCs w:val="21"/>
              </w:rPr>
            </w:pPr>
            <w:r>
              <w:rPr>
                <w:rFonts w:hint="eastAsia" w:ascii="宋体" w:hAnsi="宋体"/>
                <w:szCs w:val="21"/>
              </w:rPr>
              <w:t>型号</w:t>
            </w:r>
          </w:p>
          <w:p>
            <w:pPr>
              <w:spacing w:line="360" w:lineRule="auto"/>
              <w:jc w:val="center"/>
              <w:rPr>
                <w:rFonts w:hint="eastAsia" w:ascii="宋体" w:hAnsi="宋体"/>
                <w:szCs w:val="21"/>
              </w:rPr>
            </w:pPr>
            <w:r>
              <w:rPr>
                <w:rFonts w:hint="eastAsia" w:ascii="宋体" w:hAnsi="宋体"/>
                <w:szCs w:val="21"/>
              </w:rPr>
              <w:t>规格</w:t>
            </w:r>
          </w:p>
        </w:tc>
        <w:tc>
          <w:tcPr>
            <w:tcW w:w="1116" w:type="dxa"/>
            <w:vAlign w:val="center"/>
          </w:tcPr>
          <w:p>
            <w:pPr>
              <w:spacing w:line="360" w:lineRule="auto"/>
              <w:jc w:val="center"/>
              <w:rPr>
                <w:rFonts w:hint="eastAsia" w:ascii="宋体" w:hAnsi="宋体"/>
                <w:szCs w:val="21"/>
              </w:rPr>
            </w:pPr>
            <w:r>
              <w:rPr>
                <w:rFonts w:hint="eastAsia" w:ascii="宋体" w:hAnsi="宋体"/>
                <w:szCs w:val="21"/>
              </w:rPr>
              <w:t>数  量</w:t>
            </w:r>
          </w:p>
        </w:tc>
        <w:tc>
          <w:tcPr>
            <w:tcW w:w="774" w:type="dxa"/>
            <w:vAlign w:val="center"/>
          </w:tcPr>
          <w:p>
            <w:pPr>
              <w:spacing w:line="360" w:lineRule="auto"/>
              <w:jc w:val="center"/>
              <w:rPr>
                <w:rFonts w:hint="eastAsia" w:ascii="宋体" w:hAnsi="宋体"/>
                <w:szCs w:val="21"/>
              </w:rPr>
            </w:pPr>
            <w:r>
              <w:rPr>
                <w:rFonts w:hint="eastAsia" w:ascii="宋体" w:hAnsi="宋体"/>
                <w:szCs w:val="21"/>
              </w:rPr>
              <w:t>国别</w:t>
            </w:r>
          </w:p>
          <w:p>
            <w:pPr>
              <w:spacing w:line="360" w:lineRule="auto"/>
              <w:jc w:val="center"/>
              <w:rPr>
                <w:rFonts w:hint="eastAsia" w:ascii="宋体" w:hAnsi="宋体"/>
                <w:szCs w:val="21"/>
              </w:rPr>
            </w:pPr>
            <w:r>
              <w:rPr>
                <w:rFonts w:hint="eastAsia" w:ascii="宋体" w:hAnsi="宋体"/>
                <w:szCs w:val="21"/>
              </w:rPr>
              <w:t>产地</w:t>
            </w:r>
          </w:p>
        </w:tc>
        <w:tc>
          <w:tcPr>
            <w:tcW w:w="774" w:type="dxa"/>
            <w:vAlign w:val="center"/>
          </w:tcPr>
          <w:p>
            <w:pPr>
              <w:spacing w:line="360" w:lineRule="auto"/>
              <w:jc w:val="center"/>
              <w:rPr>
                <w:rFonts w:hint="eastAsia" w:ascii="宋体" w:hAnsi="宋体"/>
                <w:szCs w:val="21"/>
              </w:rPr>
            </w:pPr>
            <w:r>
              <w:rPr>
                <w:rFonts w:hint="eastAsia" w:ascii="宋体" w:hAnsi="宋体"/>
                <w:szCs w:val="21"/>
              </w:rPr>
              <w:t>制造</w:t>
            </w:r>
          </w:p>
          <w:p>
            <w:pPr>
              <w:spacing w:line="360" w:lineRule="auto"/>
              <w:jc w:val="center"/>
              <w:rPr>
                <w:rFonts w:hint="eastAsia" w:ascii="宋体" w:hAnsi="宋体"/>
                <w:szCs w:val="21"/>
              </w:rPr>
            </w:pPr>
            <w:r>
              <w:rPr>
                <w:rFonts w:hint="eastAsia" w:ascii="宋体" w:hAnsi="宋体"/>
                <w:szCs w:val="21"/>
              </w:rPr>
              <w:t>年份</w:t>
            </w:r>
          </w:p>
        </w:tc>
        <w:tc>
          <w:tcPr>
            <w:tcW w:w="1283" w:type="dxa"/>
            <w:vAlign w:val="center"/>
          </w:tcPr>
          <w:p>
            <w:pPr>
              <w:spacing w:line="360" w:lineRule="auto"/>
              <w:jc w:val="center"/>
              <w:rPr>
                <w:rFonts w:hint="eastAsia" w:ascii="宋体" w:hAnsi="宋体"/>
                <w:szCs w:val="21"/>
              </w:rPr>
            </w:pPr>
            <w:r>
              <w:rPr>
                <w:rFonts w:hint="eastAsia" w:ascii="宋体" w:hAnsi="宋体"/>
                <w:szCs w:val="21"/>
              </w:rPr>
              <w:t>额定功率</w:t>
            </w:r>
          </w:p>
          <w:p>
            <w:pPr>
              <w:spacing w:line="360" w:lineRule="auto"/>
              <w:jc w:val="center"/>
              <w:rPr>
                <w:rFonts w:hint="eastAsia" w:ascii="宋体" w:hAnsi="宋体"/>
                <w:szCs w:val="21"/>
              </w:rPr>
            </w:pPr>
            <w:r>
              <w:rPr>
                <w:rFonts w:hint="eastAsia" w:ascii="宋体" w:hAnsi="宋体"/>
                <w:szCs w:val="21"/>
              </w:rPr>
              <w:t>（KW）</w:t>
            </w:r>
          </w:p>
        </w:tc>
        <w:tc>
          <w:tcPr>
            <w:tcW w:w="953" w:type="dxa"/>
            <w:vAlign w:val="center"/>
          </w:tcPr>
          <w:p>
            <w:pPr>
              <w:spacing w:line="360" w:lineRule="auto"/>
              <w:jc w:val="center"/>
              <w:rPr>
                <w:rFonts w:hint="eastAsia" w:ascii="宋体" w:hAnsi="宋体"/>
                <w:szCs w:val="21"/>
              </w:rPr>
            </w:pPr>
            <w:r>
              <w:rPr>
                <w:rFonts w:hint="eastAsia" w:ascii="宋体" w:hAnsi="宋体"/>
                <w:szCs w:val="21"/>
              </w:rPr>
              <w:t>生产</w:t>
            </w:r>
          </w:p>
          <w:p>
            <w:pPr>
              <w:spacing w:line="360" w:lineRule="auto"/>
              <w:jc w:val="center"/>
              <w:rPr>
                <w:rFonts w:hint="eastAsia" w:ascii="宋体" w:hAnsi="宋体"/>
                <w:szCs w:val="21"/>
              </w:rPr>
            </w:pPr>
            <w:r>
              <w:rPr>
                <w:rFonts w:hint="eastAsia" w:ascii="宋体" w:hAnsi="宋体"/>
                <w:szCs w:val="21"/>
              </w:rPr>
              <w:t>能力</w:t>
            </w:r>
          </w:p>
        </w:tc>
        <w:tc>
          <w:tcPr>
            <w:tcW w:w="953" w:type="dxa"/>
            <w:vAlign w:val="center"/>
          </w:tcPr>
          <w:p>
            <w:pPr>
              <w:spacing w:line="360" w:lineRule="auto"/>
              <w:jc w:val="center"/>
              <w:rPr>
                <w:rFonts w:hint="eastAsia" w:ascii="宋体" w:hAnsi="宋体"/>
                <w:szCs w:val="21"/>
              </w:rPr>
            </w:pPr>
            <w:r>
              <w:rPr>
                <w:rFonts w:hint="eastAsia" w:ascii="宋体" w:hAnsi="宋体"/>
                <w:szCs w:val="21"/>
              </w:rPr>
              <w:t>用于施</w:t>
            </w:r>
          </w:p>
          <w:p>
            <w:pPr>
              <w:spacing w:line="360" w:lineRule="auto"/>
              <w:jc w:val="center"/>
              <w:rPr>
                <w:rFonts w:hint="eastAsia" w:ascii="宋体" w:hAnsi="宋体"/>
                <w:szCs w:val="21"/>
              </w:rPr>
            </w:pPr>
            <w:r>
              <w:rPr>
                <w:rFonts w:hint="eastAsia" w:ascii="宋体" w:hAnsi="宋体"/>
                <w:szCs w:val="21"/>
              </w:rPr>
              <w:t>工部位</w:t>
            </w:r>
          </w:p>
        </w:tc>
        <w:tc>
          <w:tcPr>
            <w:tcW w:w="832" w:type="dxa"/>
            <w:vAlign w:val="center"/>
          </w:tcPr>
          <w:p>
            <w:pPr>
              <w:spacing w:line="360" w:lineRule="auto"/>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704" w:type="dxa"/>
            <w:vAlign w:val="center"/>
          </w:tcPr>
          <w:p>
            <w:pPr>
              <w:jc w:val="center"/>
              <w:rPr>
                <w:rFonts w:hint="eastAsia" w:ascii="宋体" w:hAnsi="宋体"/>
                <w:szCs w:val="21"/>
              </w:rPr>
            </w:pPr>
          </w:p>
        </w:tc>
        <w:tc>
          <w:tcPr>
            <w:tcW w:w="1163" w:type="dxa"/>
            <w:vAlign w:val="center"/>
          </w:tcPr>
          <w:p>
            <w:pPr>
              <w:jc w:val="center"/>
              <w:rPr>
                <w:rFonts w:hint="eastAsia" w:ascii="宋体" w:hAnsi="宋体"/>
                <w:szCs w:val="21"/>
              </w:rPr>
            </w:pPr>
          </w:p>
        </w:tc>
        <w:tc>
          <w:tcPr>
            <w:tcW w:w="734"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p>
        </w:tc>
        <w:tc>
          <w:tcPr>
            <w:tcW w:w="128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953" w:type="dxa"/>
            <w:vAlign w:val="center"/>
          </w:tcPr>
          <w:p>
            <w:pPr>
              <w:jc w:val="center"/>
              <w:rPr>
                <w:rFonts w:hint="eastAsia" w:ascii="宋体" w:hAnsi="宋体"/>
                <w:szCs w:val="21"/>
              </w:rPr>
            </w:pPr>
          </w:p>
        </w:tc>
        <w:tc>
          <w:tcPr>
            <w:tcW w:w="832"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宋体" w:hAnsi="宋体"/>
          <w:szCs w:val="21"/>
        </w:rPr>
      </w:pPr>
    </w:p>
    <w:p>
      <w:pPr>
        <w:spacing w:before="143" w:beforeLines="50" w:after="286" w:afterLines="100" w:line="420" w:lineRule="exact"/>
        <w:rPr>
          <w:rFonts w:hint="eastAsia" w:ascii="黑体" w:hAnsi="宋体" w:eastAsia="黑体"/>
          <w:sz w:val="24"/>
        </w:rPr>
      </w:pPr>
      <w:r>
        <w:rPr>
          <w:rFonts w:hint="eastAsia" w:ascii="黑体" w:hAnsi="宋体" w:eastAsia="黑体"/>
          <w:sz w:val="24"/>
        </w:rPr>
        <w:t>附表二：拟配备本工程的试验和检测仪器设备表</w:t>
      </w:r>
    </w:p>
    <w:tbl>
      <w:tblPr>
        <w:tblStyle w:val="12"/>
        <w:tblW w:w="928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46" w:type="dxa"/>
            <w:vAlign w:val="center"/>
          </w:tcPr>
          <w:p>
            <w:pPr>
              <w:jc w:val="center"/>
              <w:rPr>
                <w:rFonts w:hint="eastAsia" w:ascii="宋体" w:hAnsi="宋体"/>
                <w:szCs w:val="21"/>
              </w:rPr>
            </w:pPr>
            <w:r>
              <w:rPr>
                <w:rFonts w:hint="eastAsia" w:ascii="宋体" w:hAnsi="宋体"/>
                <w:szCs w:val="21"/>
              </w:rPr>
              <w:t>序号</w:t>
            </w:r>
          </w:p>
        </w:tc>
        <w:tc>
          <w:tcPr>
            <w:tcW w:w="1405" w:type="dxa"/>
            <w:vAlign w:val="center"/>
          </w:tcPr>
          <w:p>
            <w:pPr>
              <w:jc w:val="center"/>
              <w:rPr>
                <w:rFonts w:hint="eastAsia" w:ascii="宋体" w:hAnsi="宋体"/>
                <w:szCs w:val="21"/>
              </w:rPr>
            </w:pPr>
            <w:r>
              <w:rPr>
                <w:rFonts w:hint="eastAsia" w:ascii="宋体" w:hAnsi="宋体"/>
                <w:szCs w:val="21"/>
              </w:rPr>
              <w:t>仪器设备</w:t>
            </w:r>
          </w:p>
          <w:p>
            <w:pPr>
              <w:jc w:val="center"/>
              <w:rPr>
                <w:rFonts w:hint="eastAsia" w:ascii="宋体" w:hAnsi="宋体"/>
                <w:szCs w:val="21"/>
              </w:rPr>
            </w:pPr>
            <w:r>
              <w:rPr>
                <w:rFonts w:hint="eastAsia" w:ascii="宋体" w:hAnsi="宋体"/>
                <w:szCs w:val="21"/>
              </w:rPr>
              <w:t>名    称</w:t>
            </w:r>
          </w:p>
        </w:tc>
        <w:tc>
          <w:tcPr>
            <w:tcW w:w="846" w:type="dxa"/>
            <w:vAlign w:val="center"/>
          </w:tcPr>
          <w:p>
            <w:pPr>
              <w:jc w:val="center"/>
              <w:rPr>
                <w:rFonts w:hint="eastAsia" w:ascii="宋体" w:hAnsi="宋体"/>
                <w:szCs w:val="21"/>
              </w:rPr>
            </w:pPr>
            <w:r>
              <w:rPr>
                <w:rFonts w:hint="eastAsia" w:ascii="宋体" w:hAnsi="宋体"/>
                <w:szCs w:val="21"/>
              </w:rPr>
              <w:t>型号</w:t>
            </w:r>
          </w:p>
          <w:p>
            <w:pPr>
              <w:jc w:val="center"/>
              <w:rPr>
                <w:rFonts w:hint="eastAsia" w:ascii="宋体" w:hAnsi="宋体"/>
                <w:szCs w:val="21"/>
              </w:rPr>
            </w:pPr>
            <w:r>
              <w:rPr>
                <w:rFonts w:hint="eastAsia" w:ascii="宋体" w:hAnsi="宋体"/>
                <w:szCs w:val="21"/>
              </w:rPr>
              <w:t>规格</w:t>
            </w:r>
          </w:p>
        </w:tc>
        <w:tc>
          <w:tcPr>
            <w:tcW w:w="1125" w:type="dxa"/>
            <w:vAlign w:val="center"/>
          </w:tcPr>
          <w:p>
            <w:pPr>
              <w:jc w:val="center"/>
              <w:rPr>
                <w:rFonts w:hint="eastAsia" w:ascii="宋体" w:hAnsi="宋体"/>
                <w:szCs w:val="21"/>
              </w:rPr>
            </w:pPr>
            <w:r>
              <w:rPr>
                <w:rFonts w:hint="eastAsia" w:ascii="宋体" w:hAnsi="宋体"/>
                <w:szCs w:val="21"/>
              </w:rPr>
              <w:t>数  量</w:t>
            </w:r>
          </w:p>
        </w:tc>
        <w:tc>
          <w:tcPr>
            <w:tcW w:w="845" w:type="dxa"/>
            <w:vAlign w:val="center"/>
          </w:tcPr>
          <w:p>
            <w:pPr>
              <w:jc w:val="center"/>
              <w:rPr>
                <w:rFonts w:hint="eastAsia" w:ascii="宋体" w:hAnsi="宋体"/>
                <w:szCs w:val="21"/>
              </w:rPr>
            </w:pPr>
            <w:r>
              <w:rPr>
                <w:rFonts w:hint="eastAsia" w:ascii="宋体" w:hAnsi="宋体"/>
                <w:szCs w:val="21"/>
              </w:rPr>
              <w:t>国别</w:t>
            </w:r>
          </w:p>
          <w:p>
            <w:pPr>
              <w:jc w:val="center"/>
              <w:rPr>
                <w:rFonts w:hint="eastAsia" w:ascii="宋体" w:hAnsi="宋体"/>
                <w:szCs w:val="21"/>
              </w:rPr>
            </w:pPr>
            <w:r>
              <w:rPr>
                <w:rFonts w:hint="eastAsia" w:ascii="宋体" w:hAnsi="宋体"/>
                <w:szCs w:val="21"/>
              </w:rPr>
              <w:t>产地</w:t>
            </w:r>
          </w:p>
        </w:tc>
        <w:tc>
          <w:tcPr>
            <w:tcW w:w="845" w:type="dxa"/>
            <w:vAlign w:val="center"/>
          </w:tcPr>
          <w:p>
            <w:pPr>
              <w:jc w:val="center"/>
              <w:rPr>
                <w:rFonts w:hint="eastAsia" w:ascii="宋体" w:hAnsi="宋体"/>
                <w:szCs w:val="21"/>
              </w:rPr>
            </w:pPr>
            <w:r>
              <w:rPr>
                <w:rFonts w:hint="eastAsia" w:ascii="宋体" w:hAnsi="宋体"/>
                <w:szCs w:val="21"/>
              </w:rPr>
              <w:t>制造</w:t>
            </w:r>
          </w:p>
          <w:p>
            <w:pPr>
              <w:jc w:val="center"/>
              <w:rPr>
                <w:rFonts w:hint="eastAsia" w:ascii="宋体" w:hAnsi="宋体"/>
                <w:szCs w:val="21"/>
              </w:rPr>
            </w:pPr>
            <w:r>
              <w:rPr>
                <w:rFonts w:hint="eastAsia" w:ascii="宋体" w:hAnsi="宋体"/>
                <w:szCs w:val="21"/>
              </w:rPr>
              <w:t>年份</w:t>
            </w:r>
          </w:p>
        </w:tc>
        <w:tc>
          <w:tcPr>
            <w:tcW w:w="1404" w:type="dxa"/>
            <w:vAlign w:val="center"/>
          </w:tcPr>
          <w:p>
            <w:pPr>
              <w:jc w:val="center"/>
              <w:rPr>
                <w:rFonts w:hint="eastAsia" w:ascii="宋体" w:hAnsi="宋体"/>
                <w:szCs w:val="21"/>
              </w:rPr>
            </w:pPr>
            <w:r>
              <w:rPr>
                <w:rFonts w:hint="eastAsia" w:ascii="宋体" w:hAnsi="宋体"/>
                <w:szCs w:val="21"/>
              </w:rPr>
              <w:t>已使用</w:t>
            </w:r>
          </w:p>
          <w:p>
            <w:pPr>
              <w:jc w:val="center"/>
              <w:rPr>
                <w:rFonts w:hint="eastAsia" w:ascii="宋体" w:hAnsi="宋体"/>
                <w:szCs w:val="21"/>
              </w:rPr>
            </w:pPr>
            <w:r>
              <w:rPr>
                <w:rFonts w:hint="eastAsia" w:ascii="宋体" w:hAnsi="宋体"/>
                <w:szCs w:val="21"/>
              </w:rPr>
              <w:t>台时数</w:t>
            </w:r>
          </w:p>
        </w:tc>
        <w:tc>
          <w:tcPr>
            <w:tcW w:w="1125" w:type="dxa"/>
            <w:vAlign w:val="center"/>
          </w:tcPr>
          <w:p>
            <w:pPr>
              <w:jc w:val="center"/>
              <w:rPr>
                <w:rFonts w:hint="eastAsia" w:ascii="宋体" w:hAnsi="宋体"/>
                <w:szCs w:val="21"/>
              </w:rPr>
            </w:pPr>
            <w:r>
              <w:rPr>
                <w:rFonts w:hint="eastAsia" w:ascii="宋体" w:hAnsi="宋体"/>
                <w:szCs w:val="21"/>
              </w:rPr>
              <w:t>用  途</w:t>
            </w:r>
          </w:p>
        </w:tc>
        <w:tc>
          <w:tcPr>
            <w:tcW w:w="845" w:type="dxa"/>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846" w:type="dxa"/>
            <w:vAlign w:val="center"/>
          </w:tcPr>
          <w:p>
            <w:pPr>
              <w:jc w:val="center"/>
              <w:rPr>
                <w:rFonts w:hint="eastAsia" w:ascii="宋体" w:hAnsi="宋体"/>
                <w:szCs w:val="21"/>
              </w:rPr>
            </w:pPr>
          </w:p>
        </w:tc>
        <w:tc>
          <w:tcPr>
            <w:tcW w:w="1405" w:type="dxa"/>
            <w:vAlign w:val="center"/>
          </w:tcPr>
          <w:p>
            <w:pPr>
              <w:jc w:val="center"/>
              <w:rPr>
                <w:rFonts w:hint="eastAsia" w:ascii="宋体" w:hAnsi="宋体"/>
                <w:szCs w:val="21"/>
              </w:rPr>
            </w:pPr>
          </w:p>
        </w:tc>
        <w:tc>
          <w:tcPr>
            <w:tcW w:w="846"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c>
          <w:tcPr>
            <w:tcW w:w="1404" w:type="dxa"/>
            <w:vAlign w:val="center"/>
          </w:tcPr>
          <w:p>
            <w:pPr>
              <w:jc w:val="center"/>
              <w:rPr>
                <w:rFonts w:hint="eastAsia" w:ascii="宋体" w:hAnsi="宋体"/>
                <w:szCs w:val="21"/>
              </w:rPr>
            </w:pPr>
          </w:p>
        </w:tc>
        <w:tc>
          <w:tcPr>
            <w:tcW w:w="1125" w:type="dxa"/>
            <w:vAlign w:val="center"/>
          </w:tcPr>
          <w:p>
            <w:pPr>
              <w:jc w:val="center"/>
              <w:rPr>
                <w:rFonts w:hint="eastAsia" w:ascii="宋体" w:hAnsi="宋体"/>
                <w:szCs w:val="21"/>
              </w:rPr>
            </w:pPr>
          </w:p>
        </w:tc>
        <w:tc>
          <w:tcPr>
            <w:tcW w:w="845"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143" w:afterLines="5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附表三：劳动力计划表</w:t>
      </w:r>
    </w:p>
    <w:p>
      <w:pPr>
        <w:wordWrap w:val="0"/>
        <w:spacing w:line="420" w:lineRule="exact"/>
        <w:jc w:val="right"/>
        <w:rPr>
          <w:rFonts w:hint="eastAsia" w:ascii="黑体" w:hAnsi="宋体" w:eastAsia="黑体"/>
          <w:szCs w:val="21"/>
        </w:rPr>
      </w:pPr>
      <w:r>
        <w:rPr>
          <w:rFonts w:hint="eastAsia" w:ascii="黑体" w:hAnsi="宋体" w:eastAsia="黑体"/>
          <w:szCs w:val="21"/>
        </w:rPr>
        <w:t xml:space="preserve">单位：人   </w:t>
      </w:r>
    </w:p>
    <w:tbl>
      <w:tblPr>
        <w:tblStyle w:val="12"/>
        <w:tblW w:w="921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134" w:type="dxa"/>
            <w:vAlign w:val="center"/>
          </w:tcPr>
          <w:p>
            <w:pPr>
              <w:jc w:val="center"/>
              <w:rPr>
                <w:rFonts w:hint="eastAsia" w:ascii="宋体" w:hAnsi="宋体"/>
                <w:szCs w:val="21"/>
              </w:rPr>
            </w:pPr>
            <w:r>
              <w:rPr>
                <w:rFonts w:hint="eastAsia" w:ascii="宋体" w:hAnsi="宋体"/>
                <w:szCs w:val="21"/>
              </w:rPr>
              <w:t>工种</w:t>
            </w:r>
          </w:p>
        </w:tc>
        <w:tc>
          <w:tcPr>
            <w:tcW w:w="8080" w:type="dxa"/>
            <w:gridSpan w:val="7"/>
            <w:vAlign w:val="center"/>
          </w:tcPr>
          <w:p>
            <w:pPr>
              <w:jc w:val="center"/>
              <w:rPr>
                <w:rFonts w:hint="eastAsia"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34" w:type="dxa"/>
            <w:vAlign w:val="center"/>
          </w:tcPr>
          <w:p>
            <w:pPr>
              <w:jc w:val="center"/>
              <w:rPr>
                <w:rFonts w:hint="eastAsia" w:ascii="宋体" w:hAnsi="宋体"/>
                <w:szCs w:val="21"/>
              </w:rPr>
            </w:pPr>
          </w:p>
        </w:tc>
        <w:tc>
          <w:tcPr>
            <w:tcW w:w="938"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161" w:type="dxa"/>
            <w:vAlign w:val="center"/>
          </w:tcPr>
          <w:p>
            <w:pPr>
              <w:jc w:val="center"/>
              <w:rPr>
                <w:rFonts w:hint="eastAsia" w:ascii="宋体" w:hAnsi="宋体"/>
                <w:szCs w:val="21"/>
              </w:rPr>
            </w:pPr>
          </w:p>
        </w:tc>
        <w:tc>
          <w:tcPr>
            <w:tcW w:w="1337" w:type="dxa"/>
            <w:vAlign w:val="center"/>
          </w:tcPr>
          <w:p>
            <w:pPr>
              <w:jc w:val="center"/>
              <w:rPr>
                <w:rFonts w:hint="eastAsia" w:ascii="宋体" w:hAnsi="宋体"/>
                <w:szCs w:val="21"/>
              </w:rPr>
            </w:pPr>
          </w:p>
        </w:tc>
      </w:tr>
    </w:tbl>
    <w:p>
      <w:pPr>
        <w:spacing w:line="420" w:lineRule="exact"/>
        <w:rPr>
          <w:rFonts w:ascii="宋体" w:hAnsi="宋体"/>
          <w:szCs w:val="21"/>
        </w:rPr>
      </w:pP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附表四：计划开、竣工日期和施工进度网络图</w:t>
      </w:r>
    </w:p>
    <w:p>
      <w:pPr>
        <w:spacing w:line="420" w:lineRule="exact"/>
        <w:ind w:firstLine="420" w:firstLineChars="200"/>
        <w:rPr>
          <w:rFonts w:hint="eastAsia" w:ascii="宋体" w:hAnsi="宋体"/>
          <w:szCs w:val="21"/>
        </w:rPr>
      </w:pPr>
      <w:r>
        <w:rPr>
          <w:rFonts w:hint="eastAsia" w:ascii="宋体" w:hAnsi="宋体"/>
          <w:szCs w:val="21"/>
        </w:rPr>
        <w:t>1．供应商应递交施工进度网络图或施工进度表，说明按磋商文件要求的计划工期进行施工的各个关键日期。</w:t>
      </w:r>
    </w:p>
    <w:p>
      <w:pPr>
        <w:spacing w:line="420" w:lineRule="exact"/>
        <w:ind w:firstLine="420" w:firstLineChars="200"/>
        <w:rPr>
          <w:rFonts w:hint="eastAsia" w:ascii="宋体" w:hAnsi="宋体"/>
          <w:szCs w:val="21"/>
        </w:rPr>
      </w:pPr>
      <w:r>
        <w:rPr>
          <w:rFonts w:hint="eastAsia" w:ascii="宋体" w:hAnsi="宋体"/>
          <w:szCs w:val="21"/>
        </w:rPr>
        <w:t>2．施工进度表可采用网络图和（或）横道图表示。</w:t>
      </w:r>
    </w:p>
    <w:p>
      <w:pPr>
        <w:spacing w:before="143" w:beforeLines="50" w:after="286" w:afterLines="100" w:line="420" w:lineRule="exact"/>
        <w:rPr>
          <w:rFonts w:hint="eastAsia" w:ascii="宋体" w:hAnsi="宋体"/>
          <w:szCs w:val="21"/>
        </w:rPr>
      </w:pPr>
      <w:r>
        <w:rPr>
          <w:rFonts w:ascii="宋体" w:hAnsi="宋体"/>
          <w:szCs w:val="21"/>
        </w:rPr>
        <w:br w:type="page"/>
      </w:r>
      <w:r>
        <w:rPr>
          <w:rFonts w:hint="eastAsia" w:ascii="黑体" w:hAnsi="宋体" w:eastAsia="黑体"/>
          <w:sz w:val="24"/>
        </w:rPr>
        <w:t>附表五：施工总平面图</w:t>
      </w:r>
    </w:p>
    <w:p>
      <w:pPr>
        <w:spacing w:line="420" w:lineRule="exact"/>
        <w:ind w:firstLine="420" w:firstLineChars="200"/>
        <w:rPr>
          <w:rFonts w:hint="eastAsia" w:ascii="宋体" w:hAnsi="宋体"/>
          <w:szCs w:val="21"/>
        </w:rPr>
      </w:pPr>
      <w:r>
        <w:rPr>
          <w:rFonts w:hint="eastAsia" w:ascii="宋体" w:hAnsi="宋体"/>
          <w:szCs w:val="21"/>
        </w:rPr>
        <w:t>供应商应递交一份施工总平面图，绘出现场临时设施布置图表并附文字说明，说明临时设施、加工车间、现场办公、设备及仓储、供电、供水、卫生、生活、道路、消防等设施的情况和布置。</w:t>
      </w:r>
    </w:p>
    <w:p>
      <w:pPr>
        <w:spacing w:before="143" w:beforeLines="50" w:after="286" w:afterLines="100" w:line="420" w:lineRule="exact"/>
        <w:rPr>
          <w:rFonts w:hint="eastAsia" w:ascii="黑体" w:hAnsi="宋体" w:eastAsia="黑体"/>
          <w:sz w:val="24"/>
        </w:rPr>
      </w:pPr>
      <w:r>
        <w:rPr>
          <w:rFonts w:ascii="宋体" w:hAnsi="宋体"/>
          <w:szCs w:val="21"/>
        </w:rPr>
        <w:br w:type="page"/>
      </w:r>
      <w:r>
        <w:rPr>
          <w:rFonts w:hint="eastAsia" w:ascii="黑体" w:hAnsi="宋体" w:eastAsia="黑体"/>
          <w:sz w:val="24"/>
        </w:rPr>
        <w:t>附表六：临时用地表</w:t>
      </w: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70"/>
        <w:gridCol w:w="227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vAlign w:val="center"/>
          </w:tcPr>
          <w:p>
            <w:pPr>
              <w:jc w:val="center"/>
              <w:rPr>
                <w:rFonts w:hint="eastAsia" w:ascii="宋体" w:hAnsi="宋体"/>
                <w:szCs w:val="21"/>
              </w:rPr>
            </w:pPr>
            <w:r>
              <w:rPr>
                <w:rFonts w:hint="eastAsia" w:ascii="宋体" w:hAnsi="宋体"/>
                <w:szCs w:val="21"/>
              </w:rPr>
              <w:t>用  途</w:t>
            </w:r>
          </w:p>
        </w:tc>
        <w:tc>
          <w:tcPr>
            <w:tcW w:w="2270" w:type="dxa"/>
            <w:vAlign w:val="center"/>
          </w:tcPr>
          <w:p>
            <w:pPr>
              <w:jc w:val="center"/>
              <w:rPr>
                <w:rFonts w:hint="eastAsia" w:ascii="宋体" w:hAnsi="宋体"/>
                <w:szCs w:val="21"/>
              </w:rPr>
            </w:pPr>
            <w:r>
              <w:rPr>
                <w:rFonts w:hint="eastAsia" w:ascii="宋体" w:hAnsi="宋体"/>
                <w:szCs w:val="21"/>
              </w:rPr>
              <w:t>面 积（平方米）</w:t>
            </w:r>
          </w:p>
        </w:tc>
        <w:tc>
          <w:tcPr>
            <w:tcW w:w="2270" w:type="dxa"/>
            <w:vAlign w:val="center"/>
          </w:tcPr>
          <w:p>
            <w:pPr>
              <w:jc w:val="center"/>
              <w:rPr>
                <w:rFonts w:hint="eastAsia" w:ascii="宋体" w:hAnsi="宋体"/>
                <w:szCs w:val="21"/>
              </w:rPr>
            </w:pPr>
            <w:r>
              <w:rPr>
                <w:rFonts w:hint="eastAsia" w:ascii="宋体" w:hAnsi="宋体"/>
                <w:szCs w:val="21"/>
              </w:rPr>
              <w:t>位  置</w:t>
            </w:r>
          </w:p>
        </w:tc>
        <w:tc>
          <w:tcPr>
            <w:tcW w:w="2269" w:type="dxa"/>
            <w:vAlign w:val="center"/>
          </w:tcPr>
          <w:p>
            <w:pPr>
              <w:jc w:val="center"/>
              <w:rPr>
                <w:rFonts w:hint="eastAsia"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477" w:type="dxa"/>
          </w:tcPr>
          <w:p>
            <w:pPr>
              <w:rPr>
                <w:rFonts w:hint="eastAsia" w:ascii="宋体" w:hAnsi="宋体"/>
                <w:szCs w:val="21"/>
              </w:rPr>
            </w:pPr>
          </w:p>
        </w:tc>
        <w:tc>
          <w:tcPr>
            <w:tcW w:w="2270" w:type="dxa"/>
          </w:tcPr>
          <w:p>
            <w:pPr>
              <w:rPr>
                <w:rFonts w:hint="eastAsia" w:ascii="宋体" w:hAnsi="宋体"/>
                <w:szCs w:val="21"/>
              </w:rPr>
            </w:pPr>
          </w:p>
        </w:tc>
        <w:tc>
          <w:tcPr>
            <w:tcW w:w="2270" w:type="dxa"/>
          </w:tcPr>
          <w:p>
            <w:pPr>
              <w:rPr>
                <w:rFonts w:hint="eastAsia" w:ascii="宋体" w:hAnsi="宋体"/>
                <w:szCs w:val="21"/>
              </w:rPr>
            </w:pPr>
          </w:p>
        </w:tc>
        <w:tc>
          <w:tcPr>
            <w:tcW w:w="2269" w:type="dxa"/>
          </w:tcPr>
          <w:p>
            <w:pPr>
              <w:rPr>
                <w:rFonts w:hint="eastAsia" w:ascii="宋体" w:hAnsi="宋体"/>
                <w:szCs w:val="21"/>
              </w:rPr>
            </w:pPr>
          </w:p>
        </w:tc>
      </w:tr>
    </w:tbl>
    <w:p>
      <w:pPr>
        <w:spacing w:line="420" w:lineRule="exact"/>
        <w:rPr>
          <w:rFonts w:hint="eastAsia" w:ascii="宋体" w:hAnsi="宋体"/>
          <w:szCs w:val="21"/>
        </w:rPr>
      </w:pPr>
    </w:p>
    <w:p>
      <w:pPr>
        <w:spacing w:line="420" w:lineRule="exact"/>
        <w:rPr>
          <w:rFonts w:hint="eastAsia" w:ascii="宋体" w:hAnsi="宋体"/>
          <w:szCs w:val="21"/>
        </w:rPr>
      </w:pPr>
    </w:p>
    <w:p>
      <w:pPr>
        <w:spacing w:line="420" w:lineRule="exact"/>
        <w:rPr>
          <w:rFonts w:ascii="宋体" w:hAnsi="宋体"/>
          <w:szCs w:val="21"/>
        </w:rPr>
      </w:pPr>
    </w:p>
    <w:bookmarkEnd w:id="61"/>
    <w:bookmarkEnd w:id="62"/>
    <w:bookmarkEnd w:id="63"/>
    <w:bookmarkEnd w:id="64"/>
    <w:p>
      <w:pPr>
        <w:pStyle w:val="3"/>
        <w:jc w:val="center"/>
        <w:rPr>
          <w:rFonts w:hint="eastAsia" w:ascii="宋体" w:hAnsi="宋体" w:eastAsia="宋体"/>
          <w:sz w:val="24"/>
        </w:rPr>
      </w:pPr>
      <w:bookmarkStart w:id="65" w:name="_Toc16398"/>
      <w:bookmarkStart w:id="66" w:name="_Toc374107074"/>
      <w:bookmarkStart w:id="67" w:name="_Toc323642005"/>
      <w:bookmarkStart w:id="68" w:name="_Toc300901200"/>
      <w:r>
        <w:rPr>
          <w:rFonts w:hint="eastAsia" w:ascii="宋体" w:hAnsi="宋体" w:eastAsia="宋体"/>
          <w:sz w:val="24"/>
          <w:szCs w:val="28"/>
        </w:rPr>
        <w:t>七、</w:t>
      </w:r>
      <w:r>
        <w:rPr>
          <w:rFonts w:hint="eastAsia" w:ascii="宋体" w:hAnsi="宋体" w:eastAsia="宋体"/>
          <w:sz w:val="24"/>
        </w:rPr>
        <w:t>建设工程扬尘治理工作承诺书</w:t>
      </w:r>
    </w:p>
    <w:p>
      <w:pPr>
        <w:spacing w:line="360" w:lineRule="auto"/>
        <w:ind w:firstLine="420" w:firstLineChars="200"/>
        <w:rPr>
          <w:rFonts w:hint="eastAsia" w:ascii="宋体" w:hAnsi="宋体" w:cs="宋体"/>
          <w:szCs w:val="21"/>
        </w:rPr>
      </w:pPr>
      <w:r>
        <w:rPr>
          <w:rFonts w:hint="eastAsia" w:ascii="宋体" w:hAnsi="宋体" w:cs="宋体"/>
          <w:szCs w:val="21"/>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20" w:firstLineChars="200"/>
        <w:rPr>
          <w:rFonts w:hint="eastAsia" w:ascii="宋体" w:hAnsi="宋体" w:cs="宋体"/>
          <w:szCs w:val="21"/>
        </w:rPr>
      </w:pPr>
      <w:r>
        <w:rPr>
          <w:rFonts w:hint="eastAsia" w:ascii="宋体" w:hAnsi="宋体" w:cs="宋体"/>
          <w:szCs w:val="21"/>
        </w:rPr>
        <w:t>一、工作目标</w:t>
      </w:r>
    </w:p>
    <w:p>
      <w:pPr>
        <w:spacing w:line="360" w:lineRule="auto"/>
        <w:ind w:firstLine="420" w:firstLineChars="200"/>
        <w:rPr>
          <w:rFonts w:hint="eastAsia" w:ascii="宋体" w:hAnsi="宋体" w:cs="宋体"/>
          <w:szCs w:val="21"/>
        </w:rPr>
      </w:pPr>
      <w:r>
        <w:rPr>
          <w:rFonts w:hint="eastAsia" w:ascii="宋体" w:hAnsi="宋体" w:cs="宋体"/>
          <w:szCs w:val="21"/>
        </w:rPr>
        <w:t>实现“施工现场100%围挡；路面100%硬化；驶出车辆100%冲洗；运输车辆100%密闭；裸露物料100%覆盖；特殊作业及扬尘地块100%喷淋洒水；出入口路段100%清扫洒水”。</w:t>
      </w:r>
    </w:p>
    <w:p>
      <w:pPr>
        <w:spacing w:line="360" w:lineRule="auto"/>
        <w:ind w:firstLine="420" w:firstLineChars="200"/>
        <w:rPr>
          <w:rFonts w:hint="eastAsia" w:ascii="宋体" w:hAnsi="宋体" w:cs="宋体"/>
          <w:szCs w:val="21"/>
        </w:rPr>
      </w:pPr>
      <w:r>
        <w:rPr>
          <w:rFonts w:hint="eastAsia" w:ascii="宋体" w:hAnsi="宋体" w:cs="宋体"/>
          <w:szCs w:val="21"/>
        </w:rPr>
        <w:t>承诺事项</w:t>
      </w:r>
    </w:p>
    <w:p>
      <w:pPr>
        <w:spacing w:line="360" w:lineRule="auto"/>
        <w:ind w:firstLine="420" w:firstLineChars="200"/>
        <w:rPr>
          <w:rFonts w:hint="eastAsia" w:ascii="宋体" w:hAnsi="宋体" w:cs="宋体"/>
          <w:szCs w:val="21"/>
        </w:rPr>
      </w:pPr>
      <w:r>
        <w:rPr>
          <w:rFonts w:hint="eastAsia" w:ascii="宋体" w:hAnsi="宋体" w:cs="宋体"/>
          <w:szCs w:val="21"/>
        </w:rPr>
        <w:t>1、坚决贯彻执行《济宁市建筑工地扬尘治理工作导则（试行）》，切实做好生产现场及周边环境的扬尘整治工作。</w:t>
      </w:r>
    </w:p>
    <w:p>
      <w:pPr>
        <w:spacing w:line="360" w:lineRule="auto"/>
        <w:ind w:firstLine="420" w:firstLineChars="200"/>
        <w:rPr>
          <w:rFonts w:hint="eastAsia" w:ascii="宋体" w:hAnsi="宋体" w:cs="宋体"/>
          <w:szCs w:val="21"/>
        </w:rPr>
      </w:pPr>
      <w:r>
        <w:rPr>
          <w:rFonts w:hint="eastAsia" w:ascii="宋体" w:hAnsi="宋体" w:cs="宋体"/>
          <w:szCs w:val="21"/>
        </w:rPr>
        <w:t>2、建立健全公司扬尘整治专项检查组织机构，夯实扬尘治理工作责任，针对不同施工阶段，制定具体防治措施。</w:t>
      </w:r>
    </w:p>
    <w:p>
      <w:pPr>
        <w:spacing w:line="360" w:lineRule="auto"/>
        <w:ind w:firstLine="420" w:firstLineChars="200"/>
        <w:rPr>
          <w:rFonts w:hint="eastAsia" w:ascii="宋体" w:hAnsi="宋体" w:cs="宋体"/>
          <w:szCs w:val="21"/>
        </w:rPr>
      </w:pPr>
      <w:r>
        <w:rPr>
          <w:rFonts w:hint="eastAsia" w:ascii="宋体" w:hAnsi="宋体" w:cs="宋体"/>
          <w:szCs w:val="21"/>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20" w:firstLineChars="200"/>
        <w:rPr>
          <w:rFonts w:hint="eastAsia" w:ascii="宋体" w:hAnsi="宋体" w:cs="宋体"/>
          <w:szCs w:val="21"/>
        </w:rPr>
      </w:pPr>
      <w:r>
        <w:rPr>
          <w:rFonts w:hint="eastAsia" w:ascii="宋体" w:hAnsi="宋体" w:cs="宋体"/>
          <w:szCs w:val="21"/>
        </w:rPr>
        <w:t>4、认真开展施工现场扬尘污染综合整治活动，对施工现场，每月组织不少于两次的专项检查，对发现的问题及时监督整改。</w:t>
      </w:r>
    </w:p>
    <w:p>
      <w:pPr>
        <w:spacing w:line="360" w:lineRule="auto"/>
        <w:ind w:firstLine="420" w:firstLineChars="200"/>
        <w:rPr>
          <w:rFonts w:hint="eastAsia" w:ascii="宋体" w:hAnsi="宋体" w:cs="宋体"/>
          <w:szCs w:val="21"/>
        </w:rPr>
      </w:pPr>
      <w:r>
        <w:rPr>
          <w:rFonts w:hint="eastAsia" w:ascii="宋体" w:hAnsi="宋体" w:cs="宋体"/>
          <w:szCs w:val="21"/>
        </w:rPr>
        <w:t>5、完善施工扬尘处置应急预案，在气象部门发布空气质量预警时，坚决停止室外生产及其他易产生扬尘作业，并采取有效措施进行降尘。</w:t>
      </w:r>
    </w:p>
    <w:p>
      <w:pPr>
        <w:spacing w:line="360" w:lineRule="auto"/>
        <w:ind w:firstLine="420" w:firstLineChars="200"/>
        <w:rPr>
          <w:rFonts w:hint="eastAsia" w:ascii="宋体" w:hAnsi="宋体" w:cs="宋体"/>
          <w:szCs w:val="21"/>
        </w:rPr>
      </w:pPr>
      <w:r>
        <w:rPr>
          <w:rFonts w:hint="eastAsia" w:ascii="宋体" w:hAnsi="宋体" w:cs="宋体"/>
          <w:szCs w:val="21"/>
        </w:rPr>
        <w:t>三、责任追究</w:t>
      </w:r>
    </w:p>
    <w:p>
      <w:pPr>
        <w:spacing w:line="360" w:lineRule="auto"/>
        <w:ind w:firstLine="420" w:firstLineChars="200"/>
        <w:rPr>
          <w:rFonts w:hint="eastAsia" w:ascii="宋体" w:hAnsi="宋体" w:cs="宋体"/>
          <w:szCs w:val="21"/>
        </w:rPr>
      </w:pPr>
      <w:r>
        <w:rPr>
          <w:rFonts w:hint="eastAsia" w:ascii="宋体" w:hAnsi="宋体" w:cs="宋体"/>
          <w:szCs w:val="21"/>
        </w:rPr>
        <w:t>1、坚决落实“三不”惩治措施。对扬尘治理不达标的工程不予验收、不予拨付安全文明施工费、不予评选优质工程，并在创建安全文明工地活动中实行一票否决。</w:t>
      </w:r>
    </w:p>
    <w:p>
      <w:pPr>
        <w:spacing w:line="360" w:lineRule="auto"/>
        <w:ind w:firstLine="420" w:firstLineChars="200"/>
        <w:rPr>
          <w:rFonts w:hint="eastAsia" w:ascii="宋体" w:hAnsi="宋体" w:cs="宋体"/>
          <w:szCs w:val="21"/>
        </w:rPr>
      </w:pPr>
      <w:r>
        <w:rPr>
          <w:rFonts w:hint="eastAsia" w:ascii="宋体" w:hAnsi="宋体" w:cs="宋体"/>
          <w:szCs w:val="21"/>
        </w:rPr>
        <w:t>2、对达不到扬尘治理标准的、要求停工整改拒不整改的项目，提请上级主管部门取消该项目负责人建造师执业资格（或项目经理证）。</w:t>
      </w:r>
    </w:p>
    <w:p>
      <w:pPr>
        <w:spacing w:line="360" w:lineRule="auto"/>
        <w:ind w:firstLine="420" w:firstLineChars="200"/>
        <w:rPr>
          <w:rFonts w:hint="eastAsia" w:ascii="宋体" w:hAnsi="宋体" w:cs="宋体"/>
          <w:szCs w:val="21"/>
        </w:rPr>
      </w:pPr>
      <w:r>
        <w:rPr>
          <w:rFonts w:hint="eastAsia" w:ascii="宋体" w:hAnsi="宋体" w:cs="宋体"/>
          <w:szCs w:val="21"/>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20" w:firstLineChars="200"/>
        <w:rPr>
          <w:rFonts w:hint="eastAsia" w:ascii="宋体" w:hAnsi="宋体" w:cs="宋体"/>
          <w:szCs w:val="21"/>
        </w:rPr>
      </w:pPr>
      <w:r>
        <w:rPr>
          <w:rFonts w:hint="eastAsia" w:ascii="宋体" w:hAnsi="宋体" w:cs="宋体"/>
          <w:szCs w:val="21"/>
        </w:rPr>
        <w:t>本项目采取一切有效措施，确保完成承诺事项，否则，自愿接受主管部门做出的一切处罚。</w:t>
      </w:r>
    </w:p>
    <w:p>
      <w:pPr>
        <w:spacing w:line="360" w:lineRule="auto"/>
        <w:ind w:firstLine="420" w:firstLineChars="200"/>
        <w:rPr>
          <w:rFonts w:hint="eastAsia" w:ascii="宋体" w:hAnsi="宋体" w:cs="宋体"/>
          <w:szCs w:val="21"/>
        </w:rPr>
      </w:pPr>
    </w:p>
    <w:p>
      <w:pPr>
        <w:spacing w:line="360" w:lineRule="auto"/>
        <w:ind w:firstLine="420" w:firstLineChars="200"/>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420" w:firstLineChars="200"/>
        <w:rPr>
          <w:rFonts w:hint="eastAsia" w:ascii="宋体" w:hAnsi="宋体" w:cs="宋体"/>
          <w:szCs w:val="21"/>
        </w:rPr>
        <w:sectPr>
          <w:headerReference r:id="rId12" w:type="first"/>
          <w:footerReference r:id="rId14" w:type="first"/>
          <w:headerReference r:id="rId11" w:type="default"/>
          <w:footerReference r:id="rId13" w:type="default"/>
          <w:pgSz w:w="11906" w:h="16838"/>
          <w:pgMar w:top="1418" w:right="1418" w:bottom="1418" w:left="1418" w:header="851" w:footer="992" w:gutter="0"/>
          <w:pgNumType w:fmt="numberInDash"/>
          <w:cols w:space="720" w:num="1"/>
          <w:titlePg/>
          <w:docGrid w:type="lines" w:linePitch="286" w:charSpace="0"/>
        </w:sect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（签字或盖章)</w:t>
      </w:r>
    </w:p>
    <w:p>
      <w:pPr>
        <w:pStyle w:val="3"/>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八、资格审查资料</w:t>
      </w:r>
      <w:bookmarkEnd w:id="65"/>
      <w:bookmarkEnd w:id="66"/>
      <w:bookmarkEnd w:id="67"/>
      <w:bookmarkEnd w:id="68"/>
    </w:p>
    <w:p>
      <w:pPr>
        <w:spacing w:before="143" w:beforeLines="50" w:after="286" w:afterLines="100" w:line="440" w:lineRule="exact"/>
        <w:jc w:val="center"/>
        <w:rPr>
          <w:rFonts w:hint="eastAsia" w:ascii="黑体" w:hAnsi="宋体" w:eastAsia="黑体"/>
          <w:sz w:val="24"/>
        </w:rPr>
      </w:pPr>
      <w:r>
        <w:rPr>
          <w:rFonts w:hint="eastAsia" w:ascii="黑体" w:hAnsi="宋体" w:eastAsia="黑体"/>
          <w:sz w:val="24"/>
        </w:rPr>
        <w:t>供应商基本情况表</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供应商名称</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注册地址</w:t>
            </w:r>
          </w:p>
        </w:tc>
        <w:tc>
          <w:tcPr>
            <w:tcW w:w="3700" w:type="dxa"/>
            <w:gridSpan w:val="5"/>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邮政编码</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restart"/>
            <w:vAlign w:val="center"/>
          </w:tcPr>
          <w:p>
            <w:pPr>
              <w:jc w:val="center"/>
              <w:rPr>
                <w:rFonts w:hint="eastAsia" w:ascii="宋体" w:hAnsi="宋体"/>
                <w:szCs w:val="21"/>
              </w:rPr>
            </w:pPr>
            <w:r>
              <w:rPr>
                <w:rFonts w:hint="eastAsia" w:ascii="宋体" w:hAnsi="宋体"/>
                <w:szCs w:val="21"/>
              </w:rPr>
              <w:t>联系方式</w:t>
            </w:r>
          </w:p>
        </w:tc>
        <w:tc>
          <w:tcPr>
            <w:tcW w:w="979" w:type="dxa"/>
            <w:vAlign w:val="center"/>
          </w:tcPr>
          <w:p>
            <w:pPr>
              <w:jc w:val="center"/>
              <w:rPr>
                <w:rFonts w:hint="eastAsia" w:ascii="宋体" w:hAnsi="宋体"/>
                <w:szCs w:val="21"/>
              </w:rPr>
            </w:pPr>
            <w:r>
              <w:rPr>
                <w:rFonts w:hint="eastAsia" w:ascii="宋体" w:hAnsi="宋体"/>
                <w:szCs w:val="21"/>
              </w:rPr>
              <w:t>联系人</w:t>
            </w:r>
          </w:p>
        </w:tc>
        <w:tc>
          <w:tcPr>
            <w:tcW w:w="2721" w:type="dxa"/>
            <w:gridSpan w:val="4"/>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电  话</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Merge w:val="continue"/>
            <w:vAlign w:val="center"/>
          </w:tcPr>
          <w:p>
            <w:pPr>
              <w:jc w:val="center"/>
              <w:rPr>
                <w:rFonts w:hint="eastAsia" w:ascii="宋体" w:hAnsi="宋体"/>
                <w:szCs w:val="21"/>
              </w:rPr>
            </w:pPr>
          </w:p>
        </w:tc>
        <w:tc>
          <w:tcPr>
            <w:tcW w:w="979" w:type="dxa"/>
            <w:vAlign w:val="center"/>
          </w:tcPr>
          <w:p>
            <w:pPr>
              <w:jc w:val="center"/>
              <w:rPr>
                <w:rFonts w:hint="eastAsia" w:ascii="宋体" w:hAnsi="宋体"/>
                <w:szCs w:val="21"/>
              </w:rPr>
            </w:pPr>
            <w:r>
              <w:rPr>
                <w:rFonts w:hint="eastAsia" w:ascii="宋体" w:hAnsi="宋体"/>
                <w:szCs w:val="21"/>
              </w:rPr>
              <w:t>传  真</w:t>
            </w:r>
          </w:p>
        </w:tc>
        <w:tc>
          <w:tcPr>
            <w:tcW w:w="2721" w:type="dxa"/>
            <w:gridSpan w:val="4"/>
            <w:vAlign w:val="center"/>
          </w:tcPr>
          <w:p>
            <w:pPr>
              <w:jc w:val="center"/>
              <w:rPr>
                <w:rFonts w:hint="eastAsia" w:ascii="宋体" w:hAnsi="宋体"/>
                <w:szCs w:val="21"/>
              </w:rPr>
            </w:pPr>
          </w:p>
        </w:tc>
        <w:tc>
          <w:tcPr>
            <w:tcW w:w="1361" w:type="dxa"/>
            <w:vAlign w:val="center"/>
          </w:tcPr>
          <w:p>
            <w:pPr>
              <w:jc w:val="center"/>
              <w:rPr>
                <w:rFonts w:hint="eastAsia" w:ascii="宋体" w:hAnsi="宋体"/>
                <w:szCs w:val="21"/>
              </w:rPr>
            </w:pPr>
            <w:r>
              <w:rPr>
                <w:rFonts w:hint="eastAsia" w:ascii="宋体" w:hAnsi="宋体"/>
                <w:szCs w:val="21"/>
              </w:rPr>
              <w:t>网  址</w:t>
            </w:r>
          </w:p>
        </w:tc>
        <w:tc>
          <w:tcPr>
            <w:tcW w:w="2603" w:type="dxa"/>
            <w:gridSpan w:val="3"/>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组织结构</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法定代表人</w:t>
            </w:r>
          </w:p>
        </w:tc>
        <w:tc>
          <w:tcPr>
            <w:tcW w:w="979" w:type="dxa"/>
            <w:vAlign w:val="center"/>
          </w:tcPr>
          <w:p>
            <w:pPr>
              <w:jc w:val="center"/>
              <w:rPr>
                <w:rFonts w:hint="eastAsia" w:ascii="宋体" w:hAnsi="宋体"/>
                <w:szCs w:val="21"/>
              </w:rPr>
            </w:pPr>
            <w:r>
              <w:rPr>
                <w:rFonts w:hint="eastAsia" w:ascii="宋体" w:hAnsi="宋体"/>
                <w:szCs w:val="21"/>
              </w:rPr>
              <w:t>姓名</w:t>
            </w:r>
          </w:p>
        </w:tc>
        <w:tc>
          <w:tcPr>
            <w:tcW w:w="1116" w:type="dxa"/>
            <w:vAlign w:val="center"/>
          </w:tcPr>
          <w:p>
            <w:pPr>
              <w:jc w:val="center"/>
              <w:rPr>
                <w:rFonts w:hint="eastAsia" w:ascii="宋体" w:hAnsi="宋体"/>
                <w:szCs w:val="21"/>
              </w:rPr>
            </w:pPr>
          </w:p>
        </w:tc>
        <w:tc>
          <w:tcPr>
            <w:tcW w:w="1393" w:type="dxa"/>
            <w:gridSpan w:val="2"/>
            <w:vAlign w:val="center"/>
          </w:tcPr>
          <w:p>
            <w:pPr>
              <w:jc w:val="center"/>
              <w:rPr>
                <w:rFonts w:hint="eastAsia" w:ascii="宋体" w:hAnsi="宋体"/>
                <w:szCs w:val="21"/>
              </w:rPr>
            </w:pPr>
            <w:r>
              <w:rPr>
                <w:rFonts w:hint="eastAsia" w:ascii="宋体" w:hAnsi="宋体"/>
                <w:szCs w:val="21"/>
              </w:rPr>
              <w:t>技术职称</w:t>
            </w:r>
          </w:p>
        </w:tc>
        <w:tc>
          <w:tcPr>
            <w:tcW w:w="1857" w:type="dxa"/>
            <w:gridSpan w:val="3"/>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r>
              <w:rPr>
                <w:rFonts w:hint="eastAsia" w:ascii="宋体" w:hAnsi="宋体"/>
                <w:szCs w:val="21"/>
              </w:rPr>
              <w:t>电话</w:t>
            </w:r>
          </w:p>
        </w:tc>
        <w:tc>
          <w:tcPr>
            <w:tcW w:w="15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技术负责人</w:t>
            </w:r>
          </w:p>
        </w:tc>
        <w:tc>
          <w:tcPr>
            <w:tcW w:w="979" w:type="dxa"/>
            <w:vAlign w:val="center"/>
          </w:tcPr>
          <w:p>
            <w:pPr>
              <w:jc w:val="center"/>
              <w:rPr>
                <w:rFonts w:hint="eastAsia" w:ascii="宋体" w:hAnsi="宋体"/>
                <w:szCs w:val="21"/>
              </w:rPr>
            </w:pPr>
            <w:r>
              <w:rPr>
                <w:rFonts w:hint="eastAsia" w:ascii="宋体" w:hAnsi="宋体"/>
                <w:szCs w:val="21"/>
              </w:rPr>
              <w:t>姓名</w:t>
            </w:r>
          </w:p>
        </w:tc>
        <w:tc>
          <w:tcPr>
            <w:tcW w:w="1116" w:type="dxa"/>
            <w:vAlign w:val="center"/>
          </w:tcPr>
          <w:p>
            <w:pPr>
              <w:jc w:val="center"/>
              <w:rPr>
                <w:rFonts w:hint="eastAsia" w:ascii="宋体" w:hAnsi="宋体"/>
                <w:szCs w:val="21"/>
              </w:rPr>
            </w:pPr>
          </w:p>
        </w:tc>
        <w:tc>
          <w:tcPr>
            <w:tcW w:w="1393" w:type="dxa"/>
            <w:gridSpan w:val="2"/>
            <w:vAlign w:val="center"/>
          </w:tcPr>
          <w:p>
            <w:pPr>
              <w:jc w:val="center"/>
              <w:rPr>
                <w:rFonts w:hint="eastAsia" w:ascii="宋体" w:hAnsi="宋体"/>
                <w:szCs w:val="21"/>
              </w:rPr>
            </w:pPr>
            <w:r>
              <w:rPr>
                <w:rFonts w:hint="eastAsia" w:ascii="宋体" w:hAnsi="宋体"/>
                <w:szCs w:val="21"/>
              </w:rPr>
              <w:t>技术职称</w:t>
            </w:r>
          </w:p>
        </w:tc>
        <w:tc>
          <w:tcPr>
            <w:tcW w:w="1857" w:type="dxa"/>
            <w:gridSpan w:val="3"/>
            <w:vAlign w:val="center"/>
          </w:tcPr>
          <w:p>
            <w:pPr>
              <w:jc w:val="center"/>
              <w:rPr>
                <w:rFonts w:hint="eastAsia" w:ascii="宋体" w:hAnsi="宋体"/>
                <w:szCs w:val="21"/>
              </w:rPr>
            </w:pPr>
          </w:p>
        </w:tc>
        <w:tc>
          <w:tcPr>
            <w:tcW w:w="774" w:type="dxa"/>
            <w:vAlign w:val="center"/>
          </w:tcPr>
          <w:p>
            <w:pPr>
              <w:jc w:val="center"/>
              <w:rPr>
                <w:rFonts w:hint="eastAsia" w:ascii="宋体" w:hAnsi="宋体"/>
                <w:szCs w:val="21"/>
              </w:rPr>
            </w:pPr>
            <w:r>
              <w:rPr>
                <w:rFonts w:hint="eastAsia" w:ascii="宋体" w:hAnsi="宋体"/>
                <w:szCs w:val="21"/>
              </w:rPr>
              <w:t>电话</w:t>
            </w:r>
          </w:p>
        </w:tc>
        <w:tc>
          <w:tcPr>
            <w:tcW w:w="1545" w:type="dxa"/>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成立时间</w:t>
            </w:r>
          </w:p>
        </w:tc>
        <w:tc>
          <w:tcPr>
            <w:tcW w:w="2095" w:type="dxa"/>
            <w:gridSpan w:val="2"/>
            <w:vAlign w:val="center"/>
          </w:tcPr>
          <w:p>
            <w:pPr>
              <w:jc w:val="center"/>
              <w:rPr>
                <w:rFonts w:hint="eastAsia" w:ascii="宋体" w:hAnsi="宋体"/>
                <w:szCs w:val="21"/>
              </w:rPr>
            </w:pPr>
          </w:p>
        </w:tc>
        <w:tc>
          <w:tcPr>
            <w:tcW w:w="5569" w:type="dxa"/>
            <w:gridSpan w:val="7"/>
            <w:vAlign w:val="center"/>
          </w:tcPr>
          <w:p>
            <w:pPr>
              <w:jc w:val="center"/>
              <w:rPr>
                <w:rFonts w:hint="eastAsia" w:ascii="宋体" w:hAnsi="宋体"/>
                <w:szCs w:val="21"/>
              </w:rPr>
            </w:pPr>
            <w:r>
              <w:rPr>
                <w:rFonts w:hint="eastAsia" w:ascii="宋体" w:hAnsi="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企业资质等级</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restart"/>
            <w:vAlign w:val="center"/>
          </w:tcPr>
          <w:p>
            <w:pPr>
              <w:jc w:val="center"/>
              <w:rPr>
                <w:rFonts w:hint="eastAsia" w:ascii="宋体" w:hAnsi="宋体"/>
                <w:szCs w:val="21"/>
              </w:rPr>
            </w:pPr>
            <w:r>
              <w:rPr>
                <w:rFonts w:hint="eastAsia" w:ascii="宋体" w:hAnsi="宋体"/>
                <w:szCs w:val="21"/>
              </w:rPr>
              <w:t>其中</w:t>
            </w:r>
          </w:p>
        </w:tc>
        <w:tc>
          <w:tcPr>
            <w:tcW w:w="2165" w:type="dxa"/>
            <w:gridSpan w:val="4"/>
            <w:vAlign w:val="center"/>
          </w:tcPr>
          <w:p>
            <w:pPr>
              <w:jc w:val="center"/>
              <w:rPr>
                <w:rFonts w:hint="eastAsia" w:ascii="宋体" w:hAnsi="宋体"/>
                <w:szCs w:val="21"/>
              </w:rPr>
            </w:pPr>
            <w:r>
              <w:rPr>
                <w:rFonts w:hint="eastAsia" w:ascii="宋体" w:hAnsi="宋体"/>
                <w:szCs w:val="21"/>
              </w:rPr>
              <w:t>项目经理</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营业执照号</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高级职称人员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注册资金</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中级职称人员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开户银行</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初级职称人员</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账号</w:t>
            </w:r>
          </w:p>
        </w:tc>
        <w:tc>
          <w:tcPr>
            <w:tcW w:w="979" w:type="dxa"/>
            <w:vAlign w:val="center"/>
          </w:tcPr>
          <w:p>
            <w:pPr>
              <w:jc w:val="center"/>
              <w:rPr>
                <w:rFonts w:hint="eastAsia" w:ascii="宋体" w:hAnsi="宋体"/>
                <w:szCs w:val="21"/>
              </w:rPr>
            </w:pPr>
          </w:p>
        </w:tc>
        <w:tc>
          <w:tcPr>
            <w:tcW w:w="1116" w:type="dxa"/>
            <w:vAlign w:val="center"/>
          </w:tcPr>
          <w:p>
            <w:pPr>
              <w:jc w:val="center"/>
              <w:rPr>
                <w:rFonts w:hint="eastAsia" w:ascii="宋体" w:hAnsi="宋体"/>
                <w:szCs w:val="21"/>
              </w:rPr>
            </w:pPr>
          </w:p>
        </w:tc>
        <w:tc>
          <w:tcPr>
            <w:tcW w:w="1085" w:type="dxa"/>
            <w:vMerge w:val="continue"/>
            <w:vAlign w:val="center"/>
          </w:tcPr>
          <w:p>
            <w:pPr>
              <w:jc w:val="center"/>
              <w:rPr>
                <w:rFonts w:hint="eastAsia" w:ascii="宋体" w:hAnsi="宋体"/>
                <w:szCs w:val="21"/>
              </w:rPr>
            </w:pPr>
          </w:p>
        </w:tc>
        <w:tc>
          <w:tcPr>
            <w:tcW w:w="2165" w:type="dxa"/>
            <w:gridSpan w:val="4"/>
            <w:vAlign w:val="center"/>
          </w:tcPr>
          <w:p>
            <w:pPr>
              <w:jc w:val="center"/>
              <w:rPr>
                <w:rFonts w:hint="eastAsia" w:ascii="宋体" w:hAnsi="宋体"/>
                <w:szCs w:val="21"/>
              </w:rPr>
            </w:pPr>
            <w:r>
              <w:rPr>
                <w:rFonts w:hint="eastAsia" w:ascii="宋体" w:hAnsi="宋体"/>
                <w:szCs w:val="21"/>
              </w:rPr>
              <w:t>技  工</w:t>
            </w:r>
          </w:p>
        </w:tc>
        <w:tc>
          <w:tcPr>
            <w:tcW w:w="2319" w:type="dxa"/>
            <w:gridSpan w:val="2"/>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622" w:type="dxa"/>
            <w:vAlign w:val="center"/>
          </w:tcPr>
          <w:p>
            <w:pPr>
              <w:jc w:val="center"/>
              <w:rPr>
                <w:rFonts w:hint="eastAsia" w:ascii="宋体" w:hAnsi="宋体"/>
                <w:szCs w:val="21"/>
              </w:rPr>
            </w:pPr>
            <w:r>
              <w:rPr>
                <w:rFonts w:hint="eastAsia" w:ascii="宋体" w:hAnsi="宋体"/>
                <w:szCs w:val="21"/>
              </w:rPr>
              <w:t>经营范围</w:t>
            </w:r>
          </w:p>
        </w:tc>
        <w:tc>
          <w:tcPr>
            <w:tcW w:w="7664" w:type="dxa"/>
            <w:gridSpan w:val="9"/>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622" w:type="dxa"/>
            <w:vAlign w:val="center"/>
          </w:tcPr>
          <w:p>
            <w:pPr>
              <w:jc w:val="center"/>
              <w:rPr>
                <w:rFonts w:hint="eastAsia" w:ascii="宋体" w:hAnsi="宋体"/>
                <w:szCs w:val="21"/>
              </w:rPr>
            </w:pPr>
            <w:r>
              <w:rPr>
                <w:rFonts w:hint="eastAsia" w:ascii="宋体" w:hAnsi="宋体"/>
                <w:szCs w:val="21"/>
              </w:rPr>
              <w:t>备注</w:t>
            </w:r>
          </w:p>
        </w:tc>
        <w:tc>
          <w:tcPr>
            <w:tcW w:w="7664" w:type="dxa"/>
            <w:gridSpan w:val="9"/>
            <w:vAlign w:val="center"/>
          </w:tcPr>
          <w:p>
            <w:pPr>
              <w:jc w:val="center"/>
              <w:rPr>
                <w:rFonts w:hint="eastAsia" w:ascii="宋体" w:hAnsi="宋体"/>
                <w:szCs w:val="21"/>
              </w:rPr>
            </w:pPr>
          </w:p>
        </w:tc>
      </w:tr>
    </w:tbl>
    <w:p>
      <w:pPr>
        <w:spacing w:line="440" w:lineRule="exact"/>
        <w:rPr>
          <w:rFonts w:hint="eastAsia" w:ascii="宋体" w:hAnsi="宋体" w:eastAsia="宋体" w:cs="宋体"/>
          <w:color w:val="auto"/>
          <w:sz w:val="24"/>
          <w:highlight w:val="none"/>
        </w:rPr>
      </w:pPr>
      <w:r>
        <w:rPr>
          <w:rFonts w:hint="eastAsia" w:ascii="黑体" w:hAnsi="宋体" w:eastAsia="黑体"/>
          <w:b/>
          <w:bCs/>
          <w:szCs w:val="21"/>
        </w:rPr>
        <w:t>备注：</w:t>
      </w:r>
      <w:r>
        <w:rPr>
          <w:rFonts w:hint="eastAsia" w:ascii="宋体" w:hAnsi="宋体"/>
          <w:b/>
          <w:bCs/>
          <w:szCs w:val="21"/>
        </w:rPr>
        <w:t>本表后应附企业营业执照原件的复印件或扫描件。</w:t>
      </w:r>
      <w:bookmarkStart w:id="69" w:name="_Toc15323"/>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lang w:val="en-US" w:eastAsia="zh-CN"/>
        </w:rPr>
        <w:t xml:space="preserve">                           九</w:t>
      </w:r>
      <w:r>
        <w:rPr>
          <w:rFonts w:hint="eastAsia" w:ascii="宋体" w:hAnsi="宋体" w:eastAsia="宋体" w:cs="宋体"/>
          <w:color w:val="auto"/>
          <w:sz w:val="24"/>
          <w:highlight w:val="none"/>
        </w:rPr>
        <w:t>、其他资料</w:t>
      </w:r>
      <w:bookmarkEnd w:id="69"/>
    </w:p>
    <w:p>
      <w:pPr>
        <w:pStyle w:val="17"/>
        <w:tabs>
          <w:tab w:val="left" w:pos="9638"/>
        </w:tabs>
        <w:spacing w:line="360" w:lineRule="auto"/>
        <w:ind w:right="-82" w:firstLine="413" w:firstLineChars="196"/>
        <w:rPr>
          <w:rFonts w:hint="eastAsia"/>
          <w:b/>
        </w:rPr>
      </w:pPr>
      <w:r>
        <w:rPr>
          <w:rFonts w:hint="eastAsia"/>
          <w:b/>
        </w:rPr>
        <w:t>供应商认为需要加以说明的其他内容和需要提供的证明文件</w:t>
      </w:r>
    </w:p>
    <w:p>
      <w:pPr>
        <w:pStyle w:val="17"/>
        <w:tabs>
          <w:tab w:val="left" w:pos="9638"/>
        </w:tabs>
        <w:spacing w:line="360" w:lineRule="auto"/>
        <w:ind w:right="-82" w:firstLine="413" w:firstLineChars="196"/>
        <w:rPr>
          <w:rFonts w:hint="eastAsia" w:ascii="宋体" w:hAnsi="宋体"/>
          <w:b/>
        </w:rPr>
      </w:pPr>
      <w:r>
        <w:rPr>
          <w:rFonts w:hint="eastAsia"/>
          <w:b/>
        </w:rPr>
        <w:t>1、</w:t>
      </w:r>
      <w:r>
        <w:rPr>
          <w:rFonts w:ascii="宋体" w:hAnsi="宋体"/>
          <w:b/>
        </w:rPr>
        <w:t>……</w:t>
      </w:r>
    </w:p>
    <w:p>
      <w:pPr>
        <w:pStyle w:val="17"/>
        <w:tabs>
          <w:tab w:val="left" w:pos="9638"/>
        </w:tabs>
        <w:spacing w:line="360" w:lineRule="auto"/>
        <w:ind w:right="-82" w:firstLine="413" w:firstLineChars="196"/>
        <w:rPr>
          <w:rFonts w:hint="eastAsia" w:ascii="宋体" w:hAnsi="宋体"/>
          <w:b/>
        </w:rPr>
      </w:pPr>
      <w:r>
        <w:rPr>
          <w:rFonts w:hint="eastAsia" w:ascii="宋体" w:hAnsi="宋体"/>
          <w:b/>
        </w:rPr>
        <w:t>2、</w:t>
      </w:r>
      <w:r>
        <w:rPr>
          <w:rFonts w:ascii="宋体" w:hAnsi="宋体"/>
          <w:b/>
        </w:rPr>
        <w:t>……</w:t>
      </w:r>
    </w:p>
    <w:p>
      <w:pPr>
        <w:pStyle w:val="17"/>
        <w:tabs>
          <w:tab w:val="left" w:pos="9638"/>
        </w:tabs>
        <w:spacing w:line="360" w:lineRule="auto"/>
        <w:ind w:right="-82" w:firstLine="413" w:firstLineChars="196"/>
        <w:rPr>
          <w:rFonts w:hint="eastAsia" w:ascii="宋体" w:hAnsi="宋体"/>
        </w:rPr>
      </w:pPr>
      <w:r>
        <w:rPr>
          <w:rFonts w:hint="eastAsia" w:ascii="宋体" w:hAnsi="宋体"/>
          <w:b/>
        </w:rPr>
        <w:t>3、</w:t>
      </w:r>
      <w:r>
        <w:rPr>
          <w:rFonts w:ascii="宋体" w:hAnsi="宋体"/>
          <w:b/>
        </w:rPr>
        <w:t>……</w:t>
      </w:r>
    </w:p>
    <w:p>
      <w:pPr>
        <w:spacing w:line="360" w:lineRule="auto"/>
        <w:rPr>
          <w:rFonts w:hint="eastAsia" w:ascii="宋体" w:hAnsi="宋体"/>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br w:type="page"/>
      </w:r>
      <w:r>
        <w:rPr>
          <w:rFonts w:hint="eastAsia" w:ascii="宋体" w:hAnsi="宋体" w:eastAsia="宋体" w:cs="宋体"/>
          <w:b/>
          <w:bCs/>
          <w:color w:val="auto"/>
          <w:sz w:val="24"/>
          <w:szCs w:val="32"/>
          <w:highlight w:val="none"/>
        </w:rPr>
        <w:t>附件</w:t>
      </w:r>
    </w:p>
    <w:p>
      <w:pPr>
        <w:pStyle w:val="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磋商响应文件密封信封正面格式</w:t>
      </w:r>
    </w:p>
    <w:p>
      <w:pPr>
        <w:spacing w:line="360" w:lineRule="auto"/>
        <w:jc w:val="center"/>
        <w:rPr>
          <w:rFonts w:hint="eastAsia" w:ascii="宋体" w:hAnsi="宋体" w:eastAsia="宋体" w:cs="宋体"/>
          <w:color w:val="auto"/>
          <w:szCs w:val="21"/>
          <w:highlight w:val="none"/>
        </w:rPr>
      </w:pPr>
    </w:p>
    <w:tbl>
      <w:tblPr>
        <w:tblStyle w:val="12"/>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正（副）本</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包</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供应商名称：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tc>
      </w:tr>
    </w:tbl>
    <w:p>
      <w:pPr>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szCs w:val="21"/>
          <w:highlight w:val="none"/>
        </w:rPr>
        <w:t>备注：</w:t>
      </w:r>
      <w:r>
        <w:rPr>
          <w:rFonts w:hint="eastAsia" w:ascii="宋体" w:hAnsi="宋体" w:eastAsia="宋体" w:cs="宋体"/>
          <w:b/>
          <w:bCs/>
          <w:color w:val="auto"/>
          <w:kern w:val="0"/>
          <w:szCs w:val="21"/>
          <w:highlight w:val="none"/>
        </w:rPr>
        <w:t xml:space="preserve"> </w:t>
      </w:r>
      <w:r>
        <w:rPr>
          <w:rFonts w:hint="eastAsia" w:ascii="宋体" w:hAnsi="宋体" w:eastAsia="宋体" w:cs="宋体"/>
          <w:color w:val="auto"/>
          <w:szCs w:val="21"/>
          <w:highlight w:val="none"/>
        </w:rPr>
        <w:t>正副本分开包装密封的应标记“正本”或“副本”，正副本一起包装密封的可标记“正（副）本”或不用标记。</w:t>
      </w:r>
    </w:p>
    <w:p>
      <w:pPr>
        <w:spacing w:line="360" w:lineRule="auto"/>
        <w:ind w:left="630" w:leftChars="300"/>
        <w:rPr>
          <w:rFonts w:hint="eastAsia" w:ascii="宋体" w:hAnsi="宋体" w:eastAsia="宋体" w:cs="宋体"/>
          <w:color w:val="auto"/>
          <w:szCs w:val="21"/>
          <w:highlight w:val="none"/>
        </w:rPr>
      </w:pPr>
    </w:p>
    <w:p>
      <w:pPr>
        <w:spacing w:line="360" w:lineRule="auto"/>
        <w:jc w:val="center"/>
        <w:outlineLvl w:val="0"/>
        <w:rPr>
          <w:rFonts w:hint="eastAsia" w:ascii="宋体" w:hAnsi="宋体" w:eastAsia="宋体" w:cs="宋体"/>
          <w:bCs/>
          <w:color w:val="auto"/>
          <w:szCs w:val="21"/>
          <w:highlight w:val="none"/>
        </w:rPr>
      </w:pPr>
      <w:bookmarkStart w:id="70" w:name="_Toc1195"/>
      <w:r>
        <w:rPr>
          <w:rFonts w:hint="eastAsia" w:ascii="宋体" w:hAnsi="宋体" w:eastAsia="宋体" w:cs="宋体"/>
          <w:color w:val="auto"/>
          <w:kern w:val="0"/>
          <w:szCs w:val="21"/>
          <w:highlight w:val="none"/>
        </w:rPr>
        <w:t>磋商</w:t>
      </w:r>
      <w:r>
        <w:rPr>
          <w:rFonts w:hint="eastAsia" w:ascii="宋体" w:hAnsi="宋体" w:eastAsia="宋体" w:cs="宋体"/>
          <w:bCs/>
          <w:color w:val="auto"/>
          <w:szCs w:val="21"/>
          <w:highlight w:val="none"/>
        </w:rPr>
        <w:t>响应文件密封信封封口格式</w:t>
      </w:r>
      <w:bookmarkEnd w:id="70"/>
    </w:p>
    <w:p>
      <w:pPr>
        <w:pStyle w:val="6"/>
        <w:spacing w:line="360" w:lineRule="auto"/>
        <w:rPr>
          <w:rFonts w:hint="eastAsia" w:ascii="宋体" w:hAnsi="宋体" w:eastAsia="宋体" w:cs="宋体"/>
          <w:bCs/>
          <w:color w:val="auto"/>
          <w:szCs w:val="21"/>
          <w:highlight w:val="none"/>
        </w:rPr>
      </w:pPr>
    </w:p>
    <w:tbl>
      <w:tblPr>
        <w:tblStyle w:val="12"/>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4" w:hRule="atLeast"/>
          <w:jc w:val="center"/>
        </w:trPr>
        <w:tc>
          <w:tcPr>
            <w:tcW w:w="9570" w:type="dxa"/>
          </w:tcPr>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于</w:t>
            </w:r>
            <w:r>
              <w:rPr>
                <w:rFonts w:hint="eastAsia" w:ascii="宋体" w:hAnsi="宋体" w:eastAsia="宋体" w:cs="宋体"/>
                <w:bCs/>
                <w:color w:val="auto"/>
                <w:szCs w:val="21"/>
                <w:highlight w:val="none"/>
                <w:lang w:eastAsia="zh-CN"/>
              </w:rPr>
              <w:t>2023</w:t>
            </w:r>
            <w:r>
              <w:rPr>
                <w:rFonts w:hint="eastAsia" w:ascii="宋体" w:hAnsi="宋体" w:eastAsia="宋体" w:cs="宋体"/>
                <w:bCs/>
                <w:color w:val="auto"/>
                <w:szCs w:val="21"/>
                <w:highlight w:val="none"/>
              </w:rPr>
              <w:t>年  月  日  时  分（北京时间）前不准启封</w:t>
            </w:r>
          </w:p>
          <w:p>
            <w:p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mc:AlternateContent>
                <mc:Choice Requires="wps">
                  <w:drawing>
                    <wp:anchor distT="0" distB="0" distL="0" distR="0" simplePos="0" relativeHeight="102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027" name="直接连接符 5"/>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round/>
                                <a:headEnd type="none" w="med" len="med"/>
                                <a:tailEnd type="triangle" w="med" len="med"/>
                              </a:ln>
                            </wps:spPr>
                            <wps:bodyPr/>
                          </wps:wsp>
                        </a:graphicData>
                      </a:graphic>
                    </wp:anchor>
                  </w:drawing>
                </mc:Choice>
                <mc:Fallback>
                  <w:pict>
                    <v:line id="直接连接符 5" o:spid="_x0000_s1026" o:spt="20" style="position:absolute;left:0pt;flip:y;margin-left:207.1pt;margin-top:5.9pt;height:54.6pt;width:0.05pt;z-index:102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i5o&#10;3NcAAAAKAQAADwAAAAAAAAABACAAAAAiAAAAZHJzL2Rvd25yZXYueG1sUEsBAhQAFAAAAAgAh07i&#10;QDi+YYfqAQAApgMAAA4AAAAAAAAAAQAgAAAAJgEAAGRycy9lMm9Eb2MueG1sUEsFBgAAAAAGAAYA&#10;WQEAAIIFAAAAAA==&#10;">
                      <v:fill on="f" focussize="0,0"/>
                      <v:stroke color="#000000" joinstyle="round" endarrow="block"/>
                      <v:imagedata o:title=""/>
                      <o:lock v:ext="edit" aspectratio="f"/>
                    </v:line>
                  </w:pict>
                </mc:Fallback>
              </mc:AlternateContent>
            </w:r>
          </w:p>
          <w:p>
            <w:pPr>
              <w:pStyle w:val="6"/>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spacing w:line="360" w:lineRule="auto"/>
              <w:rPr>
                <w:rFonts w:hint="eastAsia" w:ascii="宋体" w:hAnsi="宋体" w:eastAsia="宋体" w:cs="宋体"/>
                <w:bCs/>
                <w:color w:val="auto"/>
                <w:szCs w:val="21"/>
                <w:highlight w:val="none"/>
              </w:rPr>
            </w:pPr>
          </w:p>
          <w:p>
            <w:pPr>
              <w:pStyle w:val="18"/>
              <w:widowControl w:val="0"/>
              <w:spacing w:before="0" w:beforeAutospacing="0" w:after="0" w:afterAutospacing="0" w:line="360" w:lineRule="auto"/>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（封口处）</w:t>
            </w:r>
          </w:p>
        </w:tc>
      </w:tr>
    </w:tbl>
    <w:p>
      <w:pPr>
        <w:spacing w:line="360" w:lineRule="auto"/>
        <w:rPr>
          <w:rFonts w:hint="eastAsia" w:ascii="宋体" w:hAnsi="宋体" w:eastAsia="宋体" w:cs="宋体"/>
          <w:color w:val="auto"/>
          <w:szCs w:val="21"/>
          <w:highlight w:val="none"/>
        </w:rPr>
      </w:pPr>
    </w:p>
    <w:p>
      <w:pPr>
        <w:pStyle w:val="17"/>
        <w:spacing w:line="360" w:lineRule="auto"/>
        <w:ind w:right="480"/>
        <w:rPr>
          <w:rFonts w:hint="eastAsia" w:ascii="宋体" w:hAnsi="宋体" w:eastAsia="宋体" w:cs="宋体"/>
          <w:color w:val="auto"/>
          <w:highlight w:val="none"/>
        </w:rPr>
      </w:pPr>
    </w:p>
    <w:p>
      <w:pPr>
        <w:pStyle w:val="17"/>
        <w:spacing w:line="360" w:lineRule="auto"/>
        <w:ind w:right="480"/>
        <w:rPr>
          <w:rFonts w:hint="eastAsia" w:ascii="宋体" w:hAnsi="宋体" w:eastAsia="宋体" w:cs="宋体"/>
          <w:color w:val="auto"/>
          <w:highlight w:val="none"/>
        </w:rPr>
      </w:pPr>
    </w:p>
    <w:p>
      <w:pPr>
        <w:rPr>
          <w:rFonts w:hint="eastAsia" w:ascii="宋体" w:hAnsi="宋体" w:eastAsia="宋体" w:cs="宋体"/>
        </w:rPr>
      </w:pPr>
    </w:p>
    <w:sectPr>
      <w:headerReference r:id="rId15" w:type="default"/>
      <w:footerReference r:id="rId16" w:type="default"/>
      <w:footerReference r:id="rId17" w:type="even"/>
      <w:pgSz w:w="11906" w:h="16838"/>
      <w:pgMar w:top="1417" w:right="1417" w:bottom="1417" w:left="1417" w:header="851" w:footer="992" w:gutter="0"/>
      <w:pgNumType w:fmt="decimal"/>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0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rSTv3K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YazD6n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tnqPu3Lc4pbO37+df/w6//xKVlmhPsQaC5/DE0xRRDfTHRTY/EUiZCiq&#10;ni6qyiERgY/L9Wq9rlB8gbk5QBz28nuAmD5Ib0l2Ggq4tqImPz7GNJbOJbmbcdk6f6+NGbP5heUx&#10;x8Gyl4bdME278+0JWfa45oY6vENKzINDFfNFzA7Mzm52DgH0visnk/vFcHtI2LMMlDuMsFNj3E+h&#10;NN1SPoA/41L1cvH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l1uVLQAAAABQEAAA8AAAAAAAAA&#10;AQAgAAAAIgAAAGRycy9kb3ducmV2LnhtbFBLAQIUABQAAAAIAIdO4kDGGsw+pwEAADkDAAAOAAAA&#10;AAAAAAEAIAAAAB8BAABkcnMvZTJvRG9jLnhtbFBLBQYAAAAABgAGAFkBAAA4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GTahf6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14935" cy="131445"/>
              <wp:effectExtent l="0" t="0" r="0" b="0"/>
              <wp:wrapNone/>
              <wp:docPr id="4100" name="文本框 4"/>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rPr>
                              <w:rFonts w:hint="eastAsia"/>
                            </w:rPr>
                          </w:pPr>
                        </w:p>
                      </w:txbxContent>
                    </wps:txbx>
                    <wps:bodyPr wrap="none" lIns="0" tIns="0" rIns="0" bIns="0" upright="0">
                      <a:spAutoFit/>
                    </wps:bodyPr>
                  </wps:wsp>
                </a:graphicData>
              </a:graphic>
            </wp:anchor>
          </w:drawing>
        </mc:Choice>
        <mc:Fallback>
          <w:pict>
            <v:rect id="文本框 4" o:spid="_x0000_s1026" o:spt="1" style="position:absolute;left:0pt;margin-top:0pt;height:10.35pt;width:9.05pt;mso-position-horizontal:center;mso-position-horizontal-relative:margin;mso-wrap-style:none;z-index:102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S/0sLQAAAAAwEAAA8AAAAA&#10;AAAAAQAgAAAAIgAAAGRycy9kb3ducmV2LnhtbFBLAQIUABQAAAAIAIdO4kBRl1T8qgEAADcDAAAO&#10;AAAAAAAAAAEAIAAAAB8BAABkcnMvZTJvRG9jLnhtbFBLBQYAAAAABgAGAFkBAAA7BQ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426085" cy="139700"/>
              <wp:effectExtent l="0" t="0" r="0" b="0"/>
              <wp:wrapNone/>
              <wp:docPr id="4101" name="文本框 8"/>
              <wp:cNvGraphicFramePr/>
              <a:graphic xmlns:a="http://schemas.openxmlformats.org/drawingml/2006/main">
                <a:graphicData uri="http://schemas.microsoft.com/office/word/2010/wordprocessingShape">
                  <wps:wsp>
                    <wps:cNvSpPr/>
                    <wps:spPr>
                      <a:xfrm>
                        <a:off x="0" y="0"/>
                        <a:ext cx="426085" cy="139700"/>
                      </a:xfrm>
                      <a:prstGeom prst="rect">
                        <a:avLst/>
                      </a:prstGeom>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wps:txbx>
                    <wps:bodyPr lIns="0" tIns="0" rIns="0" bIns="0" upright="1">
                      <a:spAutoFit/>
                    </wps:bodyPr>
                  </wps:wsp>
                </a:graphicData>
              </a:graphic>
            </wp:anchor>
          </w:drawing>
        </mc:Choice>
        <mc:Fallback>
          <w:pict>
            <v:rect id="文本框 8" o:spid="_x0000_s1026" o:spt="1" style="position:absolute;left:0pt;margin-top:0pt;height:11pt;width:33.55pt;mso-position-horizontal:center;mso-position-horizontal-relative:margin;z-index:1024;mso-width-relative:page;mso-height-relative:page;" filled="f" stroked="f" coordsize="21600,21600" o:gfxdata="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IeEIEdQAAAADAQAADwAAAAAA&#10;AAABACAAAAAiAAAAZHJzL2Rvd25yZXYueG1sUEsBAhQAFAAAAAgAh07iQPlLHAmlAQAAKwMAAA4A&#10;AAAAAAAAAQAgAAAAIwEAAGRycy9lMm9Eb2MueG1sUEsFBgAAAAAGAAYAWQEAADo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41</w:t>
                    </w:r>
                    <w:r>
                      <w:rPr>
                        <w:rFonts w:hint="eastAsia"/>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wps:txbx>
                    <wps:bodyPr wrap="none" lIns="0" tIns="0" rIns="0" bIns="0" upright="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cFpk8KgBAAA5AwAADgAA&#10;AAAAAAABACAAAAAfAQAAZHJzL2Uyb0RvYy54bWxQSwUGAAAAAAYABgBZAQAAOQ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- 80 -</w:t>
                    </w:r>
                    <w:r>
                      <w:rPr>
                        <w:rFonts w:hint="eastAsia"/>
                      </w:rPr>
                      <w:fldChar w:fldCharType="end"/>
                    </w:r>
                  </w:p>
                </w:txbxContent>
              </v:textbox>
            </v:rect>
          </w:pict>
        </mc:Fallback>
      </mc:AlternateContent>
    </w: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426085" cy="139700"/>
              <wp:effectExtent l="0" t="0" r="0" b="0"/>
              <wp:wrapNone/>
              <wp:docPr id="4103" name="文本框 10"/>
              <wp:cNvGraphicFramePr/>
              <a:graphic xmlns:a="http://schemas.openxmlformats.org/drawingml/2006/main">
                <a:graphicData uri="http://schemas.microsoft.com/office/word/2010/wordprocessingShape">
                  <wps:wsp>
                    <wps:cNvSpPr/>
                    <wps:spPr>
                      <a:xfrm>
                        <a:off x="0" y="0"/>
                        <a:ext cx="426085" cy="139700"/>
                      </a:xfrm>
                      <a:prstGeom prst="rect">
                        <a:avLst/>
                      </a:prstGeom>
                      <a:ln>
                        <a:noFill/>
                      </a:ln>
                    </wps:spPr>
                    <wps:txbx>
                      <w:txbxContent>
                        <w:p>
                          <w:pPr>
                            <w:rPr>
                              <w:rFonts w:hint="eastAsia"/>
                            </w:rPr>
                          </w:pPr>
                        </w:p>
                      </w:txbxContent>
                    </wps:txbx>
                    <wps:bodyPr lIns="0" tIns="0" rIns="0" bIns="0" upright="1">
                      <a:spAutoFit/>
                    </wps:bodyPr>
                  </wps:wsp>
                </a:graphicData>
              </a:graphic>
            </wp:anchor>
          </w:drawing>
        </mc:Choice>
        <mc:Fallback>
          <w:pict>
            <v:rect id="文本框 10" o:spid="_x0000_s1026" o:spt="1" style="position:absolute;left:0pt;margin-top:0pt;height:11pt;width:33.55pt;mso-position-horizontal:center;mso-position-horizontal-relative:margin;z-index:1024;mso-width-relative:page;mso-height-relative:page;" filled="f" stroked="f" coordsize="21600,21600" o:gfxdata="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h4QgR1AAAAAMBAAAPAAAAAAAA&#10;AAEAIAAAACIAAABkcnMvZG93bnJldi54bWxQSwECFAAUAAAACACHTuJA4SWNo6QBAAAsAwAADgAA&#10;AAAAAAABACAAAAAjAQAAZHJzL2Uyb0RvYy54bWxQSwUGAAAAAAYABgBZAQAAOQUAAAAA&#10;">
              <v:fill on="f" focussize="0,0"/>
              <v:stroke on="f"/>
              <v:imagedata o:title=""/>
              <o:lock v:ext="edit" aspectratio="f"/>
              <v:textbox inset="0mm,0mm,0mm,0mm" style="mso-fit-shape-to-text:t;">
                <w:txbxContent>
                  <w:p>
                    <w:pPr>
                      <w:rPr>
                        <w:rFonts w:hint="eastAsia"/>
                      </w:rPr>
                    </w:pP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wps:txbx>
                    <wps:bodyPr wrap="none" lIns="0" tIns="0" rIns="0" bIns="0" upright="0">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BUE7kKgBAAA6AwAADgAA&#10;AAAAAAABACAAAAAfAQAAZHJzL2Uyb0RvYy54bWxQSwUGAAAAAAYABgBZAQAAOQUAAAAA&#10;">
              <v:fill on="f" focussize="0,0"/>
              <v:stroke on="f"/>
              <v:imagedata o:title=""/>
              <o:lock v:ext="edit" aspectratio="f"/>
              <v:textbox inset="0mm,0mm,0mm,0mm" style="mso-fit-shape-to-text:t;">
                <w:txbxContent>
                  <w:p>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- 79 -</w:t>
                    </w:r>
                    <w:r>
                      <w:rPr>
                        <w:rFonts w:hint="eastAsia"/>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jc w:val="center"/>
      <w:rPr>
        <w:rFonts w:hint="eastAsia"/>
      </w:rPr>
    </w:pPr>
    <w:r>
      <w:rPr>
        <w:sz w:val="18"/>
      </w:rP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QNXjJKgBAAA5AwAADgAA&#10;AAAAAAABACAAAAAfAQAAZHJzL2Uyb0RvYy54bWxQSwUGAAAAAAYABgBZAQAAOQU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92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i/>
        <w:iCs/>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rFonts w:hint="eastAsia"/>
        <w:i/>
        <w:iCs/>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3"/>
      <w:numFmt w:val="chineseCounting"/>
      <w:suff w:val="nothing"/>
      <w:lvlText w:val="%1、"/>
      <w:lvlJc w:val="left"/>
      <w:rPr>
        <w:rFonts w:hint="eastAsia"/>
      </w:rPr>
    </w:lvl>
  </w:abstractNum>
  <w:abstractNum w:abstractNumId="3">
    <w:nsid w:val="00000003"/>
    <w:multiLevelType w:val="singleLevel"/>
    <w:tmpl w:val="00000003"/>
    <w:lvl w:ilvl="0" w:tentative="0">
      <w:start w:val="12"/>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3D6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character" w:default="1" w:styleId="13">
    <w:name w:val="Default Paragraph Font"/>
    <w:qFormat/>
    <w:uiPriority w:val="0"/>
  </w:style>
  <w:style w:type="table" w:default="1" w:styleId="12">
    <w:name w:val="Normal Table"/>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0"/>
    </w:rPr>
  </w:style>
  <w:style w:type="paragraph" w:styleId="5">
    <w:name w:val="Plain Text"/>
    <w:basedOn w:val="1"/>
    <w:qFormat/>
    <w:uiPriority w:val="0"/>
    <w:pPr>
      <w:adjustRightInd w:val="0"/>
      <w:jc w:val="left"/>
      <w:textAlignment w:val="baseline"/>
    </w:pPr>
    <w:rPr>
      <w:rFonts w:ascii="宋体" w:hAnsi="Courier New"/>
      <w:sz w:val="24"/>
      <w:szCs w:val="20"/>
    </w:rPr>
  </w:style>
  <w:style w:type="paragraph" w:styleId="6">
    <w:name w:val="Date"/>
    <w:basedOn w:val="1"/>
    <w:next w:val="1"/>
    <w:qFormat/>
    <w:uiPriority w:val="0"/>
    <w:rPr>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after="120"/>
      <w:jc w:val="left"/>
    </w:pPr>
    <w:rPr>
      <w:rFonts w:ascii="Times New Roman" w:hAnsi="Times New Roman"/>
      <w:b/>
      <w:bCs/>
      <w:caps/>
      <w:sz w:val="20"/>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styleId="11">
    <w:name w:val="Normal (Web)"/>
    <w:basedOn w:val="1"/>
    <w:qFormat/>
    <w:uiPriority w:val="99"/>
    <w:rPr>
      <w:sz w:val="24"/>
    </w:rPr>
  </w:style>
  <w:style w:type="character" w:styleId="14">
    <w:name w:val="page number"/>
    <w:basedOn w:val="13"/>
    <w:qFormat/>
    <w:uiPriority w:val="0"/>
  </w:style>
  <w:style w:type="paragraph" w:customStyle="1" w:styleId="15">
    <w:name w:val=" Char Char Char Char"/>
    <w:basedOn w:val="1"/>
    <w:qFormat/>
    <w:uiPriority w:val="0"/>
    <w:rPr>
      <w:kern w:val="0"/>
      <w:sz w:val="24"/>
      <w:szCs w:val="20"/>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p0"/>
    <w:basedOn w:val="1"/>
    <w:qFormat/>
    <w:uiPriority w:val="0"/>
    <w:pPr>
      <w:widowControl/>
    </w:pPr>
    <w:rPr>
      <w:kern w:val="0"/>
      <w:szCs w:val="21"/>
    </w:rPr>
  </w:style>
  <w:style w:type="paragraph" w:customStyle="1" w:styleId="18">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34936</Words>
  <Characters>36736</Characters>
  <Paragraphs>4773</Paragraphs>
  <TotalTime>8</TotalTime>
  <ScaleCrop>false</ScaleCrop>
  <LinksUpToDate>false</LinksUpToDate>
  <CharactersWithSpaces>45311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2023-02-23T01:06:00Z</dcterms:created>
  <dc:creator>Administrator</dc:creator>
  <cp:lastModifiedBy>Administrator</cp:lastModifiedBy>
  <dcterms:modified xsi:type="dcterms:W3CDTF">2023-04-26T01:20:00Z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4088214143DB419D87869D3C80929634</vt:lpwstr>
  </property>
</Properties>
</file>