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cs="宋体"/>
          <w:b/>
          <w:bCs w:val="0"/>
          <w:color w:val="auto"/>
          <w:sz w:val="56"/>
          <w:szCs w:val="56"/>
          <w:highlight w:val="none"/>
          <w:lang w:val="en-US" w:eastAsia="zh-CN"/>
        </w:rPr>
      </w:pPr>
      <w:bookmarkStart w:id="0" w:name="_Toc381880843"/>
      <w:r>
        <w:rPr>
          <w:rFonts w:hint="eastAsia" w:ascii="宋体" w:hAnsi="宋体" w:cs="宋体"/>
          <w:b/>
          <w:bCs w:val="0"/>
          <w:color w:val="auto"/>
          <w:sz w:val="56"/>
          <w:szCs w:val="5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val="0"/>
          <w:color w:val="auto"/>
          <w:sz w:val="40"/>
          <w:szCs w:val="40"/>
          <w:highlight w:val="none"/>
          <w:lang w:eastAsia="zh-CN"/>
        </w:rPr>
      </w:pPr>
      <w:r>
        <w:rPr>
          <w:rFonts w:hint="eastAsia" w:ascii="宋体" w:hAnsi="宋体" w:cs="宋体"/>
          <w:b/>
          <w:bCs w:val="0"/>
          <w:color w:val="auto"/>
          <w:sz w:val="72"/>
          <w:szCs w:val="72"/>
          <w:highlight w:val="none"/>
          <w:lang w:eastAsia="zh-CN"/>
        </w:rPr>
        <w:t>邹城市千泉街道郭庄社区蔬菜市场钢结构工程</w:t>
      </w:r>
      <w:bookmarkEnd w:id="0"/>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hAnsi="宋体" w:cs="宋体"/>
          <w:b/>
          <w:color w:val="auto"/>
          <w:sz w:val="32"/>
          <w:szCs w:val="32"/>
          <w:highlight w:val="none"/>
          <w:lang w:val="en-US" w:eastAsia="zh-CN"/>
        </w:rPr>
        <w:t>ZCHCBY-2023-004</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both"/>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0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人：</w:t>
      </w:r>
      <w:r>
        <w:rPr>
          <w:rFonts w:hint="eastAsia" w:ascii="宋体" w:hAnsi="宋体" w:cs="宋体"/>
          <w:b/>
          <w:color w:val="auto"/>
          <w:sz w:val="36"/>
          <w:szCs w:val="36"/>
          <w:highlight w:val="none"/>
          <w:lang w:eastAsia="zh-CN"/>
        </w:rPr>
        <w:t>邹城市千泉街道郭庄社区居民委员会</w:t>
      </w:r>
    </w:p>
    <w:p>
      <w:pPr>
        <w:pStyle w:val="13"/>
        <w:spacing w:line="6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代理机构：</w:t>
      </w:r>
      <w:r>
        <w:rPr>
          <w:rFonts w:hint="eastAsia" w:ascii="宋体" w:hAnsi="宋体" w:eastAsia="宋体" w:cs="宋体"/>
          <w:b/>
          <w:color w:val="auto"/>
          <w:sz w:val="36"/>
          <w:szCs w:val="36"/>
          <w:highlight w:val="none"/>
          <w:lang w:val="zh-CN" w:eastAsia="zh-CN"/>
        </w:rPr>
        <w:t>华诚博远工程咨询有限公司</w:t>
      </w:r>
    </w:p>
    <w:p>
      <w:pPr>
        <w:spacing w:line="600" w:lineRule="auto"/>
        <w:jc w:val="center"/>
        <w:rPr>
          <w:rFonts w:hint="eastAsia" w:ascii="宋体" w:hAnsi="宋体" w:eastAsia="宋体" w:cs="宋体"/>
          <w:b/>
          <w:bCs/>
          <w:color w:val="auto"/>
          <w:w w:val="90"/>
          <w:kern w:val="16"/>
          <w:sz w:val="44"/>
          <w:szCs w:val="4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eastAsia="宋体" w:cs="宋体"/>
          <w:b/>
          <w:color w:val="auto"/>
          <w:sz w:val="36"/>
          <w:szCs w:val="36"/>
          <w:highlight w:val="none"/>
        </w:rPr>
        <w:t>日    期：二○二</w:t>
      </w: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月</w:t>
      </w:r>
    </w:p>
    <w:p>
      <w:pPr>
        <w:rPr>
          <w:rFonts w:hint="eastAsia"/>
          <w:color w:val="auto"/>
          <w:sz w:val="13"/>
          <w:szCs w:val="16"/>
          <w:highlight w:val="none"/>
          <w:lang w:eastAsia="zh-CN"/>
        </w:r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8"/>
      <w:bookmarkStart w:id="4" w:name="_Hlt496185564"/>
      <w:bookmarkStart w:id="5" w:name="_Hlt496185565"/>
      <w:bookmarkStart w:id="6" w:name="_Hlt496175997"/>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1" w:type="first"/>
          <w:headerReference r:id="rId9" w:type="default"/>
          <w:footerReference r:id="rId10" w:type="default"/>
          <w:pgSz w:w="11906" w:h="16838"/>
          <w:pgMar w:top="1134" w:right="1134" w:bottom="1134" w:left="1134" w:header="851" w:footer="992" w:gutter="0"/>
          <w:pgNumType w:fmt="decimal" w:start="1"/>
          <w:cols w:space="720" w:num="1"/>
          <w:docGrid w:type="lines" w:linePitch="286" w:charSpace="0"/>
        </w:sectPr>
      </w:pPr>
      <w:bookmarkStart w:id="7" w:name="_Toc10775"/>
      <w:bookmarkStart w:id="8" w:name="_Toc15040"/>
      <w:bookmarkStart w:id="90" w:name="_GoBack"/>
      <w:bookmarkEnd w:id="90"/>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邹城市千泉街道郭庄社区居民委员会</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邹城市千泉街道郭庄社区蔬菜市场钢结构工程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ZCHCBY-2023-004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邹城市千泉街道郭庄社区蔬菜市场钢结构工程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建筑面积3500m2，C30商品混凝土独立基础58.374m3，15cm厚C30商品混凝土地面，旧平房拆除700m2,钢结构中的钢架梁、钢架柱、防风柱采用Q345B材质钢，屋面檩条、墙梁、隅撑、拉条采用Q235B材质钢，屋面双侧地埋PE400雨水管道144m(含雨水检查井16座），0.5mm厚840型彩板屋面，天沟采用1m宽厚2.5mm镀锌板，外墙用1.2mm厚840型FRP采光板和单层彩钢板0.5mm厚840型彩板等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1890405.20</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钢结构工程专业承包三级及以上资质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rPr>
        <w:t>专业</w:t>
      </w:r>
      <w:r>
        <w:rPr>
          <w:rFonts w:hint="eastAsia" w:ascii="宋体" w:hAnsi="宋体" w:cs="宋体"/>
          <w:b/>
          <w:bCs/>
          <w:color w:val="auto"/>
          <w:kern w:val="0"/>
          <w:sz w:val="24"/>
          <w:szCs w:val="24"/>
          <w:highlight w:val="none"/>
          <w:u w:val="single"/>
          <w:lang w:val="en-US" w:eastAsia="zh-CN"/>
        </w:rPr>
        <w:t>二</w:t>
      </w:r>
      <w:r>
        <w:rPr>
          <w:rFonts w:hint="eastAsia" w:ascii="宋体" w:hAnsi="宋体" w:eastAsia="宋体" w:cs="宋体"/>
          <w:b/>
          <w:bCs/>
          <w:color w:val="auto"/>
          <w:kern w:val="0"/>
          <w:sz w:val="24"/>
          <w:szCs w:val="24"/>
          <w:highlight w:val="none"/>
          <w:u w:val="single"/>
        </w:rPr>
        <w:t>级及以上注册建造师执业资格</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4"/>
          <w:szCs w:val="24"/>
          <w:highlight w:val="none"/>
          <w:lang w:val="en-US" w:eastAsia="zh-CN"/>
        </w:rPr>
        <w:t>以及评审办法中需要提供的验证资料</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邹城市千泉街道郭庄社区居民委员会</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2023 年04月24日09时00分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邹城市千泉街道公共资源交易中心开标室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2023 年04月24日09时00分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邹城市千泉街道公共资源交易中心开标室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邹城市千泉街道郭庄社区居民委员会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邹城市千泉街道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齐主任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13705475573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华诚博远工程咨询有限公司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山东省济南市高新区舜华路1118号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2、工程施工时间：每天早9:00至晚19:00。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3、成交供应商应爱护经营户私人财产及物品，如有经营户向社区反映因成交供应商施工问题造成损坏或经营户损失的，一经查实，由成交供应商对经营户根据实际情况照价赔偿。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FF"/>
          <w:lang w:val="en-US" w:eastAsia="zh-CN"/>
        </w:rPr>
      </w:pPr>
      <w:r>
        <w:rPr>
          <w:rFonts w:hint="eastAsia" w:ascii="宋体" w:hAnsi="宋体" w:cs="宋体"/>
          <w:color w:val="0000FF"/>
          <w:sz w:val="24"/>
          <w:szCs w:val="24"/>
          <w:highlight w:val="none"/>
          <w:lang w:val="en-US" w:eastAsia="zh-CN"/>
        </w:rPr>
        <w:t>4、成交供应商每天收工以后施工现场不得留有建筑垃圾和施工设备，不得影响经营户摊位正常经营。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、本项目如有必要澄清和修改需要发布变更公告的，将在本网站及时发布。请各潜在供应商及时关注相关信息。同时，依据相关法律法规规定，变更公告一旦发布即视为以书面形式通知所有潜在供应商。</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邹城市千泉街道郭庄社区居民委员会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华诚博远工程咨询有限公司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1、“采购人”系指：</w:t>
      </w:r>
      <w:r>
        <w:rPr>
          <w:rFonts w:hint="eastAsia" w:ascii="宋体" w:hAnsi="宋体" w:cs="宋体"/>
          <w:color w:val="auto"/>
          <w:kern w:val="0"/>
          <w:sz w:val="21"/>
          <w:szCs w:val="21"/>
          <w:highlight w:val="none"/>
          <w:lang w:eastAsia="zh-CN"/>
        </w:rPr>
        <w:t>邹城市千泉街道郭庄社区居民委员会</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2、“代理机构”系指：</w:t>
      </w:r>
      <w:r>
        <w:rPr>
          <w:rFonts w:hint="eastAsia" w:ascii="宋体" w:hAnsi="宋体" w:eastAsia="宋体" w:cs="宋体"/>
          <w:color w:val="auto"/>
          <w:kern w:val="0"/>
          <w:sz w:val="21"/>
          <w:szCs w:val="21"/>
          <w:highlight w:val="none"/>
          <w:lang w:eastAsia="zh-CN"/>
        </w:rPr>
        <w:t>华诚博远工程咨询有限公司</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3、“响应供应商”系指参与磋商并向采购人提交磋商响应文件的单位；</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4、“成交供应商”系指经法定程序确定并授予合同的响应供应商。</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钢结构工程专业承包三级及以上资质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建筑工程</w:t>
      </w:r>
      <w:r>
        <w:rPr>
          <w:rFonts w:hint="eastAsia" w:ascii="宋体" w:hAnsi="宋体" w:eastAsia="宋体" w:cs="宋体"/>
          <w:b/>
          <w:bCs/>
          <w:color w:val="auto"/>
          <w:kern w:val="0"/>
          <w:sz w:val="21"/>
          <w:szCs w:val="21"/>
          <w:highlight w:val="none"/>
          <w:u w:val="single"/>
        </w:rPr>
        <w:t>专业</w:t>
      </w:r>
      <w:r>
        <w:rPr>
          <w:rFonts w:hint="eastAsia" w:ascii="宋体" w:hAnsi="宋体" w:cs="宋体"/>
          <w:b/>
          <w:bCs/>
          <w:color w:val="auto"/>
          <w:kern w:val="0"/>
          <w:sz w:val="21"/>
          <w:szCs w:val="21"/>
          <w:highlight w:val="none"/>
          <w:u w:val="single"/>
          <w:lang w:val="en-US" w:eastAsia="zh-CN"/>
        </w:rPr>
        <w:t>二</w:t>
      </w:r>
      <w:r>
        <w:rPr>
          <w:rFonts w:hint="eastAsia" w:ascii="宋体" w:hAnsi="宋体" w:eastAsia="宋体" w:cs="宋体"/>
          <w:b/>
          <w:bCs/>
          <w:color w:val="auto"/>
          <w:kern w:val="0"/>
          <w:sz w:val="21"/>
          <w:szCs w:val="21"/>
          <w:highlight w:val="none"/>
          <w:u w:val="single"/>
        </w:rPr>
        <w:t>级及以上注册建造师执业资格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1"/>
          <w:szCs w:val="21"/>
          <w:highlight w:val="none"/>
          <w:lang w:val="en-US" w:eastAsia="zh-CN"/>
        </w:rPr>
        <w:t>以及评审办法中需要提供的验证资料</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tabs>
          <w:tab w:val="left" w:pos="6231"/>
        </w:tabs>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5、合同授予；</w:t>
      </w:r>
      <w:r>
        <w:rPr>
          <w:rFonts w:hint="eastAsia" w:ascii="宋体" w:hAnsi="宋体" w:cs="宋体"/>
          <w:b w:val="0"/>
          <w:bCs/>
          <w:color w:val="auto"/>
          <w:szCs w:val="21"/>
          <w:highlight w:val="none"/>
          <w:lang w:eastAsia="zh-CN"/>
        </w:rPr>
        <w:tab/>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w:t>
      </w:r>
      <w:r>
        <w:rPr>
          <w:rFonts w:hint="eastAsia" w:ascii="宋体" w:hAnsi="宋体" w:eastAsia="宋体" w:cs="宋体"/>
          <w:b w:val="0"/>
          <w:bCs/>
          <w:color w:val="auto"/>
          <w:szCs w:val="21"/>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九</w:t>
      </w:r>
      <w:r>
        <w:rPr>
          <w:rFonts w:hint="eastAsia" w:ascii="宋体" w:hAnsi="宋体" w:eastAsia="宋体" w:cs="宋体"/>
          <w:b w:val="0"/>
          <w:bCs/>
          <w:color w:val="auto"/>
          <w:szCs w:val="21"/>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2023 年04月</w:t>
      </w:r>
      <w:r>
        <w:rPr>
          <w:rFonts w:hint="eastAsia" w:ascii="宋体" w:hAnsi="宋体" w:cs="宋体"/>
          <w:b w:val="0"/>
          <w:bCs/>
          <w:color w:val="auto"/>
          <w:szCs w:val="21"/>
          <w:highlight w:val="none"/>
          <w:lang w:val="en-US" w:eastAsia="zh-CN"/>
        </w:rPr>
        <w:t>24</w:t>
      </w:r>
      <w:r>
        <w:rPr>
          <w:rFonts w:hint="eastAsia" w:ascii="宋体" w:hAnsi="宋体" w:cs="宋体"/>
          <w:b w:val="0"/>
          <w:bCs/>
          <w:color w:val="auto"/>
          <w:szCs w:val="21"/>
          <w:highlight w:val="none"/>
          <w:lang w:eastAsia="zh-CN"/>
        </w:rPr>
        <w:t>日09时</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lang w:eastAsia="zh-CN"/>
        </w:rPr>
        <w:t>0分</w:t>
      </w:r>
      <w:r>
        <w:rPr>
          <w:rFonts w:hint="eastAsia" w:ascii="宋体" w:hAnsi="宋体" w:eastAsia="宋体" w:cs="宋体"/>
          <w:b w:val="0"/>
          <w:bCs/>
          <w:color w:val="auto"/>
          <w:szCs w:val="21"/>
          <w:highlight w:val="none"/>
          <w:lang w:eastAsia="zh-CN"/>
        </w:rPr>
        <w:t>前递交至</w:t>
      </w:r>
      <w:r>
        <w:rPr>
          <w:rFonts w:hint="eastAsia" w:ascii="宋体" w:hAnsi="宋体" w:cs="宋体"/>
          <w:b w:val="0"/>
          <w:bCs/>
          <w:color w:val="auto"/>
          <w:szCs w:val="21"/>
          <w:highlight w:val="none"/>
          <w:lang w:eastAsia="zh-CN"/>
        </w:rPr>
        <w:t>邹城市千泉街道公共资源交易中心开标室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1890405.20</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0000FF"/>
          <w:szCs w:val="21"/>
          <w:highlight w:val="none"/>
          <w:u w:val="single"/>
          <w:lang w:val="en-US" w:eastAsia="zh-CN"/>
        </w:rPr>
        <w:t xml:space="preserve"> </w:t>
      </w:r>
      <w:r>
        <w:rPr>
          <w:rFonts w:hint="eastAsia" w:ascii="宋体" w:hAnsi="宋体" w:cs="宋体"/>
          <w:b/>
          <w:bCs/>
          <w:color w:val="0000FF"/>
          <w:szCs w:val="21"/>
          <w:highlight w:val="none"/>
          <w:u w:val="single"/>
          <w:lang w:val="en-US" w:eastAsia="zh-CN"/>
        </w:rPr>
        <w:t>22680.00</w:t>
      </w:r>
      <w:r>
        <w:rPr>
          <w:rFonts w:hint="eastAsia" w:ascii="宋体" w:hAnsi="宋体" w:eastAsia="宋体" w:cs="宋体"/>
          <w:b/>
          <w:bCs/>
          <w:color w:val="0000FF"/>
          <w:szCs w:val="21"/>
          <w:highlight w:val="none"/>
          <w:u w:val="single"/>
          <w:lang w:val="en-US" w:eastAsia="zh-CN"/>
        </w:rPr>
        <w:t>元</w:t>
      </w:r>
      <w:r>
        <w:rPr>
          <w:rFonts w:hint="eastAsia" w:ascii="宋体" w:hAnsi="宋体" w:eastAsia="宋体" w:cs="宋体"/>
          <w:b/>
          <w:bCs/>
          <w:color w:val="0000FF"/>
          <w:szCs w:val="21"/>
          <w:highlight w:val="none"/>
        </w:rPr>
        <w:t>（</w:t>
      </w:r>
      <w:r>
        <w:rPr>
          <w:rFonts w:hint="eastAsia" w:ascii="宋体" w:hAnsi="宋体" w:cs="宋体"/>
          <w:b/>
          <w:bCs/>
          <w:color w:val="0000FF"/>
          <w:szCs w:val="21"/>
          <w:highlight w:val="none"/>
          <w:u w:val="single"/>
          <w:lang w:val="en-US" w:eastAsia="zh-CN"/>
        </w:rPr>
        <w:t>贰万贰仟陆佰捌拾元整</w:t>
      </w:r>
      <w:r>
        <w:rPr>
          <w:rFonts w:hint="eastAsia" w:ascii="宋体" w:hAnsi="宋体" w:eastAsia="宋体" w:cs="宋体"/>
          <w:b/>
          <w:bCs/>
          <w:color w:val="0000FF"/>
          <w:szCs w:val="21"/>
          <w:highlight w:val="none"/>
        </w:rPr>
        <w:t>）</w:t>
      </w:r>
      <w:r>
        <w:rPr>
          <w:rFonts w:hint="eastAsia" w:ascii="宋体" w:hAnsi="宋体" w:cs="宋体"/>
          <w:b/>
          <w:bCs/>
          <w:color w:val="0000FF"/>
          <w:szCs w:val="21"/>
          <w:highlight w:val="none"/>
          <w:lang w:eastAsia="zh-CN"/>
        </w:rPr>
        <w:t>，</w:t>
      </w:r>
      <w:r>
        <w:rPr>
          <w:rFonts w:hint="eastAsia" w:ascii="宋体" w:hAnsi="宋体" w:cs="宋体"/>
          <w:b/>
          <w:bCs/>
          <w:color w:val="0000FF"/>
          <w:szCs w:val="21"/>
          <w:highlight w:val="none"/>
          <w:lang w:val="en-US" w:eastAsia="zh-CN"/>
        </w:rPr>
        <w:t>评审费为：</w:t>
      </w:r>
      <w:r>
        <w:rPr>
          <w:rFonts w:hint="eastAsia" w:ascii="宋体" w:hAnsi="宋体" w:cs="宋体"/>
          <w:b/>
          <w:bCs/>
          <w:color w:val="0000FF"/>
          <w:szCs w:val="21"/>
          <w:highlight w:val="none"/>
          <w:u w:val="single"/>
          <w:lang w:val="en-US" w:eastAsia="zh-CN"/>
        </w:rPr>
        <w:t>6300.00元</w:t>
      </w:r>
      <w:r>
        <w:rPr>
          <w:rFonts w:hint="eastAsia" w:ascii="宋体" w:hAnsi="宋体" w:cs="宋体"/>
          <w:b/>
          <w:bCs/>
          <w:color w:val="0000FF"/>
          <w:szCs w:val="21"/>
          <w:highlight w:val="none"/>
          <w:u w:val="none"/>
          <w:lang w:val="en-US" w:eastAsia="zh-CN"/>
        </w:rPr>
        <w:t>（</w:t>
      </w:r>
      <w:r>
        <w:rPr>
          <w:rFonts w:hint="eastAsia" w:ascii="宋体" w:hAnsi="宋体" w:cs="宋体"/>
          <w:b/>
          <w:bCs/>
          <w:color w:val="0000FF"/>
          <w:szCs w:val="21"/>
          <w:highlight w:val="none"/>
          <w:u w:val="single"/>
          <w:lang w:val="en-US" w:eastAsia="zh-CN"/>
        </w:rPr>
        <w:t>陆仟叁佰元整</w:t>
      </w:r>
      <w:r>
        <w:rPr>
          <w:rFonts w:hint="eastAsia" w:ascii="宋体" w:hAnsi="宋体" w:cs="宋体"/>
          <w:b/>
          <w:bCs/>
          <w:color w:val="0000FF"/>
          <w:szCs w:val="21"/>
          <w:highlight w:val="none"/>
          <w:u w:val="none"/>
          <w:lang w:val="en-US"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default" w:ascii="宋体" w:hAnsi="宋体" w:eastAsia="宋体" w:cs="宋体"/>
          <w:b/>
          <w:color w:val="0000FF"/>
          <w:szCs w:val="21"/>
          <w:highlight w:val="none"/>
          <w:u w:val="single"/>
          <w:lang w:val="en-US" w:eastAsia="zh-CN"/>
        </w:rPr>
      </w:pPr>
      <w:r>
        <w:rPr>
          <w:rFonts w:hint="eastAsia" w:ascii="宋体" w:hAnsi="宋体" w:cs="宋体"/>
          <w:b/>
          <w:color w:val="0000FF"/>
          <w:szCs w:val="21"/>
          <w:highlight w:val="none"/>
          <w:u w:val="single"/>
          <w:lang w:eastAsia="zh-CN"/>
        </w:rPr>
        <w:t>本项目无预付款，工程竣工验收合格一年后进行审计，审计完成后付至审定价款的30%，剩余款项根据社区资金情况5年内无息付清。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0000FF"/>
          <w:spacing w:val="-2"/>
          <w:highlight w:val="none"/>
          <w:u w:val="single"/>
          <w:lang w:eastAsia="zh-CN"/>
        </w:rPr>
      </w:pPr>
      <w:r>
        <w:rPr>
          <w:rFonts w:hint="eastAsia" w:ascii="宋体" w:hAnsi="宋体" w:eastAsia="宋体" w:cs="宋体"/>
          <w:b/>
          <w:color w:val="0000FF"/>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0000FF"/>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1011"/>
      <w:bookmarkStart w:id="12" w:name="_Toc21211"/>
      <w:bookmarkStart w:id="13" w:name="_Toc30291"/>
      <w:bookmarkStart w:id="14" w:name="_Toc11977"/>
      <w:bookmarkStart w:id="15" w:name="_Toc22085"/>
      <w:bookmarkStart w:id="16" w:name="_Toc31174"/>
      <w:bookmarkStart w:id="17" w:name="_Toc494210626"/>
      <w:bookmarkStart w:id="18" w:name="_Toc23800"/>
      <w:bookmarkStart w:id="19" w:name="_Toc22960"/>
      <w:bookmarkStart w:id="20" w:name="_Toc13071"/>
      <w:bookmarkStart w:id="21" w:name="_Toc4171"/>
      <w:bookmarkStart w:id="22" w:name="_Toc1466"/>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0</w:t>
            </w:r>
            <w:r>
              <w:rPr>
                <w:rFonts w:ascii="宋体" w:hAnsi="宋体"/>
                <w:b/>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供应商的报价得分统一采用最低价优先法计算，即满足磋商文件要求且最终报价最低的供应商的价格为磋商基准价，其报价得分为满分</w:t>
            </w:r>
            <w:r>
              <w:rPr>
                <w:rFonts w:hint="eastAsia" w:ascii="宋体" w:hAnsi="宋体"/>
                <w:color w:val="auto"/>
                <w:szCs w:val="21"/>
                <w:highlight w:val="none"/>
                <w:lang w:val="en-US" w:eastAsia="zh-CN"/>
              </w:rPr>
              <w:t>3</w:t>
            </w:r>
            <w:r>
              <w:rPr>
                <w:rFonts w:hint="eastAsia" w:ascii="宋体" w:hAnsi="宋体"/>
                <w:color w:val="auto"/>
                <w:szCs w:val="21"/>
                <w:highlight w:val="none"/>
              </w:rPr>
              <w:t>0分。其他供应商的报价得分统一按照下列公式计算：磋商报价得分=（磋商基准价/最终磋商报价）×</w:t>
            </w:r>
            <w:r>
              <w:rPr>
                <w:rFonts w:hint="eastAsia" w:ascii="宋体" w:hAnsi="宋体"/>
                <w:color w:val="auto"/>
                <w:szCs w:val="21"/>
                <w:highlight w:val="none"/>
                <w:lang w:val="en-US" w:eastAsia="zh-CN"/>
              </w:rPr>
              <w:t>3</w:t>
            </w:r>
            <w:r>
              <w:rPr>
                <w:rFonts w:hint="eastAsia"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分，缺项不得分，根据对工程整体有深刻认识，施工组织设计内容针对项目特点完整规范、表述清晰，具体可行和整体编制水平再加0-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施工方案与技术措施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分，缺项不得分，根据内容齐全、针对项目实际情况安排恰当、措施可行程度得0-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s="宋体"/>
                <w:color w:val="auto"/>
                <w:szCs w:val="21"/>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分，缺项不得分，根据体系完整、内容齐全、安排合理、针对项目特点措施先进可行、通病治理措施具体可靠得0-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2288" w:type="dxa"/>
            <w:tcBorders>
              <w:top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分，缺项不得分，根据体系完整、内容齐全、安排恰当、措施针对项目实际情况规范具体完整、应急救援预案可行得0-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5</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分，缺项不得分，根据工程计划编排合理、可行、关键路线清晰准确、冬雨季农忙保证措施可靠、内容齐全可行得0-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环保、文明管理体系与措施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分，缺项不得分，根据体系完整、内容齐全、安排恰当、措施可行程度得0-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7</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分，缺项不得分，根据对本工程项目管理的认识，内容齐全、有针对性、对工程现场管理安排合理、符合安全文明生产要求、对工程管理的配合、协调、服务措施可行得0-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分，缺项不得分，根据内容齐全、安排合理、投入计划与进度计划相呼应、措施可行程度得0-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施工关键部位、材料采购要点的控制及措施（根据工程特点及</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分，缺项不得分，根据针对工程特点内容齐全、安排合理、对施工关键部位及材料采购要点解决方案完整、经济、切实可行、措施得力得0-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2288" w:type="dxa"/>
            <w:tcBorders>
              <w:top w:val="single" w:color="auto" w:sz="4" w:space="0"/>
              <w:bottom w:val="single" w:color="auto" w:sz="4" w:space="0"/>
              <w:right w:val="single" w:color="auto" w:sz="4" w:space="0"/>
            </w:tcBorders>
            <w:noWrap w:val="0"/>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21"/>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缺项不得分，</w:t>
            </w:r>
            <w:r>
              <w:rPr>
                <w:rFonts w:hint="eastAsia" w:ascii="宋体" w:hAnsi="宋体"/>
                <w:color w:val="auto"/>
                <w:szCs w:val="21"/>
                <w:highlight w:val="none"/>
              </w:rPr>
              <w:t>根据内容完整，针对本项目实质性的切实可行程度等综合评定得0-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三</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资信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供应商20</w:t>
            </w:r>
            <w:r>
              <w:rPr>
                <w:rFonts w:hint="eastAsia" w:ascii="宋体" w:hAnsi="宋体"/>
                <w:color w:val="auto"/>
                <w:szCs w:val="21"/>
                <w:highlight w:val="none"/>
                <w:lang w:val="en-US" w:eastAsia="zh-CN"/>
              </w:rPr>
              <w:t>20</w:t>
            </w:r>
            <w:r>
              <w:rPr>
                <w:rFonts w:hint="eastAsia" w:ascii="宋体" w:hAnsi="宋体"/>
                <w:color w:val="auto"/>
                <w:szCs w:val="21"/>
                <w:highlight w:val="none"/>
              </w:rPr>
              <w:t>年1月1日以来承担的类似工程业绩每项得2分，满分</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备注：①类似项目工程以施工合同</w:t>
            </w:r>
            <w:r>
              <w:rPr>
                <w:rFonts w:hint="eastAsia" w:ascii="宋体" w:hAnsi="宋体"/>
                <w:color w:val="auto"/>
                <w:szCs w:val="21"/>
                <w:highlight w:val="none"/>
                <w:lang w:eastAsia="zh-CN"/>
              </w:rPr>
              <w:t>、竣工验收报告（单）</w:t>
            </w:r>
            <w:r>
              <w:rPr>
                <w:rFonts w:hint="eastAsia" w:ascii="宋体" w:hAnsi="宋体"/>
                <w:color w:val="auto"/>
                <w:szCs w:val="21"/>
                <w:highlight w:val="none"/>
              </w:rPr>
              <w:t>原件为准；时间以竣工验收单的时间为准；</w:t>
            </w:r>
            <w:r>
              <w:rPr>
                <w:rFonts w:hint="eastAsia" w:ascii="宋体" w:hAnsi="宋体"/>
                <w:color w:val="auto"/>
                <w:szCs w:val="21"/>
                <w:highlight w:val="none"/>
                <w:lang w:eastAsia="zh-CN"/>
              </w:rPr>
              <w:t>类似工程指</w:t>
            </w:r>
            <w:r>
              <w:rPr>
                <w:rFonts w:hint="eastAsia" w:ascii="宋体" w:hAnsi="宋体"/>
                <w:color w:val="auto"/>
                <w:szCs w:val="21"/>
                <w:highlight w:val="none"/>
                <w:lang w:val="en-US" w:eastAsia="zh-CN"/>
              </w:rPr>
              <w:t>钢结构</w:t>
            </w:r>
            <w:r>
              <w:rPr>
                <w:rFonts w:hint="eastAsia" w:ascii="宋体" w:hAnsi="宋体"/>
                <w:color w:val="auto"/>
                <w:szCs w:val="21"/>
                <w:highlight w:val="none"/>
              </w:rPr>
              <w:t>工程；②</w:t>
            </w:r>
            <w:r>
              <w:rPr>
                <w:rFonts w:hint="eastAsia" w:ascii="宋体" w:hAnsi="宋体"/>
                <w:b/>
                <w:bCs/>
                <w:color w:val="auto"/>
                <w:szCs w:val="21"/>
                <w:highlight w:val="none"/>
              </w:rPr>
              <w:t>磋商响应文件中须附该打分项涉及的施工合同、竣工验收报告（单）等复印件，否则不予认可。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p>
            <w:pPr>
              <w:adjustRightInd w:val="0"/>
              <w:snapToGrid w:val="0"/>
              <w:spacing w:line="400" w:lineRule="exact"/>
              <w:jc w:val="center"/>
              <w:rPr>
                <w:rFonts w:hint="eastAsia"/>
                <w:color w:val="auto"/>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p>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项目管理班子配备</w:t>
            </w:r>
          </w:p>
          <w:p>
            <w:pPr>
              <w:adjustRightInd w:val="0"/>
              <w:snapToGrid w:val="0"/>
              <w:spacing w:line="400" w:lineRule="exact"/>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rPr>
              <w:t>有项目班子管理人员及技术人员配备表</w:t>
            </w:r>
            <w:r>
              <w:rPr>
                <w:rFonts w:hint="eastAsia" w:ascii="宋体" w:hAnsi="宋体"/>
                <w:color w:val="auto"/>
                <w:szCs w:val="21"/>
                <w:highlight w:val="none"/>
                <w:lang w:val="en-US" w:eastAsia="zh-CN"/>
              </w:rPr>
              <w:t>得一分，</w:t>
            </w:r>
            <w:r>
              <w:rPr>
                <w:rFonts w:hint="eastAsia" w:ascii="宋体" w:hAnsi="宋体"/>
                <w:color w:val="auto"/>
                <w:szCs w:val="21"/>
                <w:highlight w:val="none"/>
              </w:rPr>
              <w:t>根据人员整体安排、齐全恰当可</w:t>
            </w:r>
            <w:r>
              <w:rPr>
                <w:rFonts w:hint="eastAsia" w:ascii="宋体" w:hAnsi="宋体"/>
                <w:color w:val="auto"/>
                <w:szCs w:val="21"/>
                <w:highlight w:val="none"/>
                <w:lang w:val="en-US" w:eastAsia="zh-CN"/>
              </w:rPr>
              <w:t>再</w:t>
            </w:r>
            <w:r>
              <w:rPr>
                <w:rFonts w:hint="eastAsia" w:ascii="宋体" w:hAnsi="宋体"/>
                <w:color w:val="auto"/>
                <w:szCs w:val="21"/>
                <w:highlight w:val="none"/>
              </w:rPr>
              <w:t>得</w:t>
            </w:r>
            <w:r>
              <w:rPr>
                <w:rFonts w:hint="eastAsia" w:ascii="宋体" w:hAnsi="宋体"/>
                <w:color w:val="auto"/>
                <w:szCs w:val="21"/>
                <w:highlight w:val="none"/>
                <w:lang w:val="en-US" w:eastAsia="zh-CN"/>
              </w:rPr>
              <w:t>1</w:t>
            </w:r>
            <w:r>
              <w:rPr>
                <w:rFonts w:hint="eastAsia" w:ascii="宋体" w:hAnsi="宋体"/>
                <w:color w:val="auto"/>
                <w:szCs w:val="21"/>
                <w:highlight w:val="none"/>
              </w:rPr>
              <w:t>分，本项最多得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组织设计总得分也相同的，资信总得分高者排名优先；资信总得分也相同的，采购人按响应文件递交顺序排名。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ascii="宋体" w:hAnsi="宋体" w:cs="宋体"/>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outlineLvl w:val="1"/>
        <w:rPr>
          <w:rFonts w:hint="eastAsia" w:ascii="宋体" w:hAnsi="宋体" w:eastAsia="宋体" w:cs="宋体"/>
          <w:b/>
          <w:bCs w:val="0"/>
          <w:color w:val="auto"/>
          <w:sz w:val="22"/>
          <w:szCs w:val="22"/>
          <w:highlight w:val="none"/>
        </w:rPr>
      </w:pPr>
      <w:r>
        <w:rPr>
          <w:rFonts w:hint="eastAsia" w:ascii="宋体" w:hAnsi="宋体" w:cs="宋体"/>
          <w:b/>
          <w:bCs w:val="0"/>
          <w:color w:val="auto"/>
          <w:sz w:val="22"/>
          <w:szCs w:val="22"/>
          <w:highlight w:val="none"/>
          <w:lang w:eastAsia="zh-CN"/>
        </w:rPr>
        <w:t>邹城市千泉街道郭庄社区蔬菜市场钢结构工程</w:t>
      </w:r>
      <w:r>
        <w:rPr>
          <w:rFonts w:hint="eastAsia" w:ascii="宋体" w:hAnsi="宋体" w:eastAsia="宋体" w:cs="宋体"/>
          <w:b/>
          <w:bCs w:val="0"/>
          <w:color w:val="auto"/>
          <w:sz w:val="22"/>
          <w:szCs w:val="22"/>
          <w:highlight w:val="none"/>
          <w:lang w:eastAsia="zh-CN"/>
        </w:rPr>
        <w:t>，主要包括</w:t>
      </w:r>
      <w:r>
        <w:rPr>
          <w:rFonts w:hint="eastAsia" w:ascii="宋体" w:hAnsi="宋体" w:cs="宋体"/>
          <w:b/>
          <w:bCs w:val="0"/>
          <w:color w:val="auto"/>
          <w:sz w:val="22"/>
          <w:szCs w:val="22"/>
          <w:highlight w:val="none"/>
          <w:lang w:val="en-US" w:eastAsia="zh-CN"/>
        </w:rPr>
        <w:t>：建筑面积3500m2，C30商品混凝土独立基础58.374m3，15cm厚C30商品混凝土地面，旧平房拆除700m2,钢结构中的钢架梁、钢架柱、防风柱采用Q345B材质钢，屋面檩条、墙梁、隅撑、拉条采用Q235B材质钢，屋面双侧地埋PE400雨水管道144m(含雨水检查井16座），0.5mm厚840型彩板屋面，天沟采用1m宽厚2.5mm镀锌板，外墙用1.2mm厚840型FRP采光板和单层彩钢板0.5mm厚840型彩板等内容</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具体内容详见</w:t>
      </w:r>
      <w:r>
        <w:rPr>
          <w:rFonts w:hint="eastAsia" w:ascii="宋体" w:hAnsi="宋体" w:eastAsia="宋体" w:cs="宋体"/>
          <w:b/>
          <w:bCs w:val="0"/>
          <w:color w:val="auto"/>
          <w:sz w:val="22"/>
          <w:szCs w:val="22"/>
          <w:highlight w:val="none"/>
          <w:lang w:eastAsia="zh-CN"/>
        </w:rPr>
        <w:t>采购预算（控制价）</w:t>
      </w:r>
      <w:r>
        <w:rPr>
          <w:rFonts w:hint="eastAsia" w:ascii="宋体" w:hAnsi="宋体" w:eastAsia="宋体" w:cs="宋体"/>
          <w:b/>
          <w:bCs w:val="0"/>
          <w:color w:val="auto"/>
          <w:sz w:val="22"/>
          <w:szCs w:val="22"/>
          <w:highlight w:val="none"/>
          <w:lang w:val="en-US" w:eastAsia="zh-CN"/>
        </w:rPr>
        <w:t>。</w:t>
      </w: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color w:val="auto"/>
        </w:rPr>
      </w:pPr>
      <w:r>
        <w:rPr>
          <w:rFonts w:hint="eastAsia" w:ascii="宋体" w:hAnsi="宋体" w:eastAsia="宋体" w:cs="宋体"/>
          <w:b/>
          <w:bCs w:val="0"/>
          <w:color w:val="auto"/>
          <w:sz w:val="22"/>
          <w:szCs w:val="22"/>
          <w:highlight w:val="none"/>
        </w:rPr>
        <w:t>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u w:val="single"/>
        </w:rPr>
      </w:pPr>
      <w:bookmarkStart w:id="23" w:name="_Toc24173"/>
      <w:bookmarkStart w:id="24" w:name="_Toc30448"/>
      <w:bookmarkStart w:id="25" w:name="_Toc1352"/>
      <w:bookmarkStart w:id="26" w:name="_Toc16480"/>
      <w:bookmarkStart w:id="27" w:name="_Toc22583"/>
      <w:r>
        <w:rPr>
          <w:rFonts w:hint="eastAsia" w:ascii="宋体" w:hAnsi="宋体" w:eastAsia="宋体" w:cs="宋体"/>
          <w:b/>
          <w:bCs w:val="0"/>
          <w:color w:val="auto"/>
          <w:kern w:val="0"/>
          <w:sz w:val="22"/>
          <w:szCs w:val="22"/>
          <w:highlight w:val="none"/>
        </w:rPr>
        <w:t>（</w:t>
      </w:r>
      <w:r>
        <w:rPr>
          <w:rFonts w:hint="eastAsia" w:ascii="宋体" w:hAnsi="宋体" w:cs="宋体"/>
          <w:b/>
          <w:bCs w:val="0"/>
          <w:color w:val="auto"/>
          <w:kern w:val="0"/>
          <w:sz w:val="22"/>
          <w:szCs w:val="22"/>
          <w:highlight w:val="none"/>
          <w:lang w:val="en-US" w:eastAsia="zh-CN"/>
        </w:rPr>
        <w:t>一</w:t>
      </w: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sz w:val="22"/>
          <w:szCs w:val="22"/>
          <w:highlight w:val="none"/>
        </w:rPr>
        <w:t>建设地点：</w:t>
      </w:r>
      <w:r>
        <w:rPr>
          <w:rFonts w:hint="eastAsia" w:ascii="宋体" w:hAnsi="宋体" w:cs="宋体"/>
          <w:b/>
          <w:bCs w:val="0"/>
          <w:color w:val="auto"/>
          <w:sz w:val="22"/>
          <w:szCs w:val="22"/>
          <w:highlight w:val="none"/>
          <w:u w:val="single"/>
          <w:lang w:eastAsia="zh-CN"/>
        </w:rPr>
        <w:t>邹城市千泉街道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kern w:val="0"/>
          <w:sz w:val="22"/>
          <w:szCs w:val="22"/>
          <w:highlight w:val="none"/>
        </w:rPr>
      </w:pP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kern w:val="0"/>
          <w:sz w:val="22"/>
          <w:szCs w:val="22"/>
          <w:highlight w:val="none"/>
          <w:lang w:val="en-US" w:eastAsia="zh-CN"/>
        </w:rPr>
        <w:t>二</w:t>
      </w:r>
      <w:r>
        <w:rPr>
          <w:rFonts w:hint="eastAsia" w:ascii="宋体" w:hAnsi="宋体" w:eastAsia="宋体" w:cs="宋体"/>
          <w:b/>
          <w:bCs w:val="0"/>
          <w:color w:val="auto"/>
          <w:kern w:val="0"/>
          <w:sz w:val="22"/>
          <w:szCs w:val="22"/>
          <w:highlight w:val="none"/>
        </w:rPr>
        <w:t>）建设规模：</w:t>
      </w:r>
      <w:r>
        <w:rPr>
          <w:rFonts w:hint="eastAsia" w:ascii="宋体" w:hAnsi="宋体" w:eastAsia="宋体" w:cs="宋体"/>
          <w:b/>
          <w:bCs w:val="0"/>
          <w:color w:val="auto"/>
          <w:kern w:val="0"/>
          <w:sz w:val="22"/>
          <w:szCs w:val="22"/>
          <w:highlight w:val="none"/>
          <w:u w:val="single"/>
        </w:rPr>
        <w:t>本次磋商项目总投资</w:t>
      </w:r>
      <w:r>
        <w:rPr>
          <w:rFonts w:hint="eastAsia" w:ascii="宋体" w:hAnsi="宋体" w:cs="宋体"/>
          <w:b/>
          <w:bCs w:val="0"/>
          <w:color w:val="auto"/>
          <w:kern w:val="0"/>
          <w:sz w:val="22"/>
          <w:szCs w:val="22"/>
          <w:highlight w:val="none"/>
          <w:u w:val="single"/>
          <w:lang w:val="en-US" w:eastAsia="zh-CN"/>
        </w:rPr>
        <w:t>1890405.20</w:t>
      </w:r>
      <w:r>
        <w:rPr>
          <w:rFonts w:hint="eastAsia" w:ascii="宋体" w:hAnsi="宋体" w:eastAsia="宋体" w:cs="宋体"/>
          <w:b/>
          <w:bCs w:val="0"/>
          <w:color w:val="auto"/>
          <w:kern w:val="0"/>
          <w:sz w:val="22"/>
          <w:szCs w:val="22"/>
          <w:highlight w:val="none"/>
          <w:u w:val="singl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rPr>
        <w:t>）工</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auto"/>
          <w:sz w:val="22"/>
          <w:szCs w:val="22"/>
          <w:highlight w:val="none"/>
          <w:u w:val="single"/>
          <w:lang w:val="en-US" w:eastAsia="zh-CN"/>
        </w:rPr>
        <w:t>45</w:t>
      </w:r>
      <w:r>
        <w:rPr>
          <w:rFonts w:hint="eastAsia" w:ascii="宋体" w:hAnsi="宋体" w:eastAsia="宋体" w:cs="宋体"/>
          <w:b/>
          <w:bCs w:val="0"/>
          <w:color w:val="auto"/>
          <w:sz w:val="22"/>
          <w:szCs w:val="22"/>
          <w:highlight w:val="none"/>
          <w:u w:val="single"/>
          <w:lang w:val="en-US" w:eastAsia="zh-CN"/>
        </w:rPr>
        <w:t>日历天</w:t>
      </w:r>
      <w:r>
        <w:rPr>
          <w:rFonts w:hint="eastAsia" w:ascii="宋体" w:hAnsi="宋体" w:eastAsia="宋体" w:cs="宋体"/>
          <w:b/>
          <w:bCs w:val="0"/>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四</w:t>
      </w:r>
      <w:r>
        <w:rPr>
          <w:rFonts w:hint="eastAsia" w:ascii="宋体" w:hAnsi="宋体" w:eastAsia="宋体" w:cs="宋体"/>
          <w:b/>
          <w:bCs w:val="0"/>
          <w:color w:val="auto"/>
          <w:sz w:val="22"/>
          <w:szCs w:val="22"/>
          <w:highlight w:val="none"/>
        </w:rPr>
        <w:t>）质量要求：</w:t>
      </w:r>
      <w:r>
        <w:rPr>
          <w:rFonts w:hint="eastAsia" w:ascii="宋体" w:hAnsi="宋体" w:eastAsia="宋体" w:cs="宋体"/>
          <w:b/>
          <w:bCs w:val="0"/>
          <w:color w:val="auto"/>
          <w:sz w:val="22"/>
          <w:szCs w:val="22"/>
          <w:highlight w:val="none"/>
          <w:u w:val="singl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rPr>
        <w:t>）质</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保</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0000FF"/>
          <w:sz w:val="22"/>
          <w:szCs w:val="22"/>
          <w:highlight w:val="none"/>
          <w:u w:val="single"/>
          <w:lang w:val="en-US" w:eastAsia="zh-CN"/>
        </w:rPr>
        <w:t>3年</w:t>
      </w:r>
      <w:r>
        <w:rPr>
          <w:rFonts w:hint="eastAsia" w:ascii="宋体" w:hAnsi="宋体" w:eastAsia="宋体" w:cs="宋体"/>
          <w:b/>
          <w:bCs w:val="0"/>
          <w:color w:val="0000FF"/>
          <w:sz w:val="22"/>
          <w:szCs w:val="22"/>
          <w:highlight w:val="none"/>
          <w:u w:val="singl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7606"/>
      <w:bookmarkStart w:id="30" w:name="_Toc15147"/>
      <w:bookmarkStart w:id="31" w:name="_Toc424914274"/>
      <w:bookmarkStart w:id="32" w:name="_Toc224699375"/>
      <w:bookmarkStart w:id="33" w:name="_Toc196637413"/>
      <w:bookmarkStart w:id="34" w:name="_Toc196637767"/>
      <w:bookmarkStart w:id="35" w:name="_Toc184635098"/>
      <w:bookmarkStart w:id="36" w:name="_Toc196637649"/>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default" w:ascii="宋体" w:hAnsi="宋体" w:eastAsia="宋体" w:cs="宋体"/>
          <w:b/>
          <w:color w:val="auto"/>
          <w:szCs w:val="21"/>
          <w:highlight w:val="none"/>
          <w:u w:val="single"/>
          <w:lang w:val="en-US" w:eastAsia="zh-CN"/>
        </w:rPr>
      </w:pPr>
      <w:r>
        <w:rPr>
          <w:rFonts w:hint="eastAsia" w:ascii="宋体" w:hAnsi="宋体" w:cs="宋体"/>
          <w:b/>
          <w:color w:val="auto"/>
          <w:szCs w:val="21"/>
          <w:highlight w:val="none"/>
          <w:u w:val="single"/>
          <w:lang w:eastAsia="zh-CN"/>
        </w:rPr>
        <w:t>本项目无预付款，工程竣工验收合格一年后进行审计，审计完成后付至审定价款的30%，剩余款项根据社区资金情况5年内无息付清。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4、指派</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6、成交供应商应爱护经营户私人财产及物品，如有经营户向社区反映因成交供应商施工问题造成损坏或经营户损失的，一经查实，由成交供应商对经营户根据实际情况照价赔偿。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default"/>
          <w:b/>
          <w:bCs/>
          <w:color w:val="0000FF"/>
          <w:lang w:val="en-US" w:eastAsia="zh-CN"/>
        </w:rPr>
      </w:pPr>
      <w:r>
        <w:rPr>
          <w:rFonts w:hint="eastAsia" w:ascii="宋体" w:hAnsi="宋体" w:cs="宋体"/>
          <w:b/>
          <w:bCs/>
          <w:color w:val="0000FF"/>
          <w:sz w:val="21"/>
          <w:szCs w:val="21"/>
          <w:highlight w:val="none"/>
          <w:lang w:val="en-US" w:eastAsia="zh-CN"/>
        </w:rPr>
        <w:t>7、成交供应商每天收工以后施工现场不得留有建筑垃圾和施工设备，不得影响经营户摊位正常经营。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、施工期间的安全问题、地方关系或个体关系由施工单位自行解决。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FF"/>
          <w:sz w:val="21"/>
          <w:szCs w:val="21"/>
          <w:highlight w:val="none"/>
          <w:lang w:val="en-US" w:eastAsia="zh-CN"/>
        </w:rPr>
        <w:t>工程施工时间：每天早9:00至晚19:00</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、本合同一式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color w:val="auto"/>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366591273"/>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36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w:t>
      </w:r>
      <w:r>
        <w:rPr>
          <w:rFonts w:hint="eastAsia" w:ascii="宋体" w:hAnsi="宋体" w:cs="宋体"/>
          <w:b/>
          <w:bCs/>
          <w:color w:val="auto"/>
          <w:sz w:val="21"/>
          <w:szCs w:val="21"/>
          <w:highlight w:val="none"/>
          <w:u w:val="single"/>
          <w:lang w:val="en-US" w:eastAsia="zh-CN"/>
        </w:rPr>
        <w:t>12</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cs="宋体"/>
          <w:b/>
          <w:color w:val="auto"/>
          <w:sz w:val="21"/>
          <w:szCs w:val="21"/>
          <w:highlight w:val="none"/>
          <w:u w:val="single"/>
          <w:lang w:val="en-US" w:eastAsia="zh-CN"/>
        </w:rPr>
        <w:t>1000.00</w:t>
      </w:r>
      <w:r>
        <w:rPr>
          <w:rFonts w:hint="eastAsia" w:ascii="宋体" w:hAnsi="宋体" w:eastAsia="宋体" w:cs="宋体"/>
          <w:b/>
          <w:color w:val="auto"/>
          <w:sz w:val="21"/>
          <w:szCs w:val="21"/>
          <w:highlight w:val="none"/>
          <w:u w:val="singl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cs="宋体"/>
          <w:b/>
          <w:color w:val="auto"/>
          <w:sz w:val="21"/>
          <w:szCs w:val="21"/>
          <w:highlight w:val="none"/>
          <w:u w:val="single"/>
          <w:lang w:val="en-US" w:eastAsia="zh-CN"/>
        </w:rPr>
        <w:t>1000.00</w:t>
      </w:r>
      <w:r>
        <w:rPr>
          <w:rFonts w:hint="eastAsia" w:ascii="宋体" w:hAnsi="宋体" w:eastAsia="宋体" w:cs="宋体"/>
          <w:b/>
          <w:color w:val="auto"/>
          <w:sz w:val="21"/>
          <w:szCs w:val="21"/>
          <w:highlight w:val="none"/>
          <w:u w:val="singl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default" w:ascii="宋体" w:hAnsi="宋体" w:eastAsia="宋体" w:cs="宋体"/>
          <w:b/>
          <w:color w:val="auto"/>
          <w:szCs w:val="21"/>
          <w:highlight w:val="none"/>
          <w:u w:val="single"/>
          <w:lang w:val="en-US" w:eastAsia="zh-CN"/>
        </w:rPr>
      </w:pPr>
      <w:r>
        <w:rPr>
          <w:rFonts w:hint="eastAsia" w:ascii="宋体" w:hAnsi="宋体" w:cs="宋体"/>
          <w:b/>
          <w:color w:val="auto"/>
          <w:szCs w:val="21"/>
          <w:highlight w:val="none"/>
          <w:u w:val="single"/>
          <w:lang w:eastAsia="zh-CN"/>
        </w:rPr>
        <w:t>本项目无预付款，工程竣工验收合格一年后进行审计，审计完成后付至审定价款的30%，剩余款项根据社区资金情况5年内无息付清。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sectPr>
          <w:headerReference r:id="rId12" w:type="first"/>
          <w:footerReference r:id="rId14" w:type="first"/>
          <w:footerReference r:id="rId13" w:type="default"/>
          <w:pgSz w:w="11906" w:h="16838"/>
          <w:pgMar w:top="1020" w:right="1020" w:bottom="1020" w:left="1020" w:header="851" w:footer="794" w:gutter="0"/>
          <w:pgNumType w:fmt="decimal"/>
          <w:cols w:space="720" w:num="1"/>
          <w:titlePg/>
          <w:docGrid w:type="lines" w:linePitch="286" w:charSpace="0"/>
        </w:sect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份，发包人承包人各执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694"/>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2"/>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72"/>
          <w:szCs w:val="72"/>
          <w:highlight w:val="none"/>
          <w:u w:val="none"/>
          <w:lang w:eastAsia="zh-CN"/>
        </w:rPr>
      </w:pPr>
      <w:bookmarkStart w:id="45" w:name="_Toc8574"/>
      <w:r>
        <w:rPr>
          <w:rFonts w:hint="eastAsia" w:ascii="宋体" w:hAnsi="宋体" w:cs="宋体"/>
          <w:b/>
          <w:bCs/>
          <w:color w:val="auto"/>
          <w:sz w:val="72"/>
          <w:szCs w:val="72"/>
          <w:highlight w:val="none"/>
          <w:u w:val="none"/>
          <w:lang w:eastAsia="zh-CN"/>
        </w:rPr>
        <w:t>邹城市千泉街道郭庄社区蔬菜市场钢结构工程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pStyle w:val="2"/>
        <w:rPr>
          <w:rFonts w:hint="eastAsia"/>
          <w:color w:val="auto"/>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72"/>
          <w:szCs w:val="72"/>
          <w:highlight w:val="none"/>
        </w:rPr>
      </w:pPr>
      <w:r>
        <w:rPr>
          <w:rFonts w:hint="eastAsia" w:ascii="宋体" w:hAnsi="宋体" w:cs="宋体"/>
          <w:b/>
          <w:bCs/>
          <w:color w:val="auto"/>
          <w:kern w:val="0"/>
          <w:sz w:val="72"/>
          <w:szCs w:val="72"/>
          <w:highlight w:val="none"/>
          <w:lang w:eastAsia="zh-CN"/>
        </w:rPr>
        <w:t>竞争性磋商</w:t>
      </w:r>
      <w:bookmarkEnd w:id="45"/>
      <w:bookmarkStart w:id="46" w:name="_Toc26783"/>
      <w:bookmarkStart w:id="47" w:name="_Toc27904"/>
      <w:bookmarkStart w:id="48" w:name="_Toc17164"/>
      <w:r>
        <w:rPr>
          <w:rFonts w:hint="eastAsia" w:ascii="宋体" w:hAnsi="宋体" w:eastAsia="宋体" w:cs="宋体"/>
          <w:b/>
          <w:bCs/>
          <w:i w:val="0"/>
          <w:iCs w:val="0"/>
          <w:color w:val="auto"/>
          <w:sz w:val="72"/>
          <w:szCs w:val="72"/>
          <w:highlight w:val="none"/>
        </w:rPr>
        <w:t>响应文件</w:t>
      </w:r>
      <w:bookmarkEnd w:id="46"/>
      <w:bookmarkEnd w:id="47"/>
      <w:bookmarkEnd w:id="48"/>
    </w:p>
    <w:p>
      <w:pPr>
        <w:pStyle w:val="2"/>
        <w:jc w:val="center"/>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eastAsia="zh-CN"/>
        </w:rPr>
        <w:t>项目编号：</w:t>
      </w:r>
      <w:r>
        <w:rPr>
          <w:rFonts w:hint="eastAsia" w:ascii="宋体" w:hAnsi="宋体" w:cs="宋体"/>
          <w:b/>
          <w:bCs/>
          <w:i w:val="0"/>
          <w:iCs w:val="0"/>
          <w:color w:val="auto"/>
          <w:sz w:val="24"/>
          <w:szCs w:val="24"/>
          <w:highlight w:val="none"/>
          <w:lang w:val="en-US" w:eastAsia="zh-CN"/>
        </w:rPr>
        <w:t>ZCHCBY-2023-004</w:t>
      </w:r>
    </w:p>
    <w:p>
      <w:pPr>
        <w:pStyle w:val="2"/>
        <w:jc w:val="center"/>
        <w:rPr>
          <w:rFonts w:hint="eastAsia" w:eastAsia="宋体"/>
          <w:color w:val="auto"/>
          <w:sz w:val="24"/>
          <w:szCs w:val="24"/>
          <w:lang w:eastAsia="zh-CN"/>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pStyle w:val="2"/>
        <w:rPr>
          <w:rFonts w:hint="eastAsia"/>
          <w:color w:val="auto"/>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19904"/>
      <w:bookmarkStart w:id="50" w:name="_Toc26481"/>
      <w:bookmarkStart w:id="51" w:name="_Toc11885"/>
      <w:bookmarkStart w:id="52" w:name="_Toc29657"/>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8435"/>
      <w:bookmarkStart w:id="54" w:name="_Toc12737"/>
      <w:bookmarkStart w:id="55" w:name="_Toc32061"/>
      <w:bookmarkStart w:id="56"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7" w:name="_Toc15367"/>
      <w:bookmarkStart w:id="58" w:name="_Toc5121"/>
      <w:bookmarkStart w:id="59" w:name="_Toc7829"/>
      <w:bookmarkStart w:id="60" w:name="_Toc683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p>
    <w:p>
      <w:pPr>
        <w:jc w:val="center"/>
        <w:rPr>
          <w:rFonts w:hint="eastAsia" w:ascii="宋体" w:hAnsi="宋体" w:eastAsia="宋体" w:cs="宋体"/>
          <w:b/>
          <w:i w:val="0"/>
          <w:iCs w:val="0"/>
          <w:color w:val="auto"/>
          <w:sz w:val="36"/>
          <w:szCs w:val="36"/>
          <w:highlight w:val="none"/>
        </w:rPr>
      </w:pPr>
      <w:bookmarkStart w:id="61" w:name="_Toc6905"/>
      <w:bookmarkStart w:id="62" w:name="_Toc8709"/>
      <w:bookmarkStart w:id="63" w:name="_Toc3064"/>
      <w:r>
        <w:rPr>
          <w:rFonts w:hint="eastAsia" w:ascii="宋体" w:hAnsi="宋体" w:eastAsia="宋体" w:cs="宋体"/>
          <w:b/>
          <w:i w:val="0"/>
          <w:iCs w:val="0"/>
          <w:color w:val="auto"/>
          <w:sz w:val="36"/>
          <w:szCs w:val="36"/>
          <w:highlight w:val="none"/>
        </w:rPr>
        <w:t>目    录</w:t>
      </w:r>
      <w:bookmarkEnd w:id="61"/>
      <w:bookmarkEnd w:id="62"/>
      <w:bookmarkEnd w:id="63"/>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23642004"/>
      <w:bookmarkStart w:id="65" w:name="_Toc300901199"/>
      <w:bookmarkStart w:id="66" w:name="_Toc1413"/>
      <w:bookmarkStart w:id="67" w:name="_Toc374107073"/>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74107067"/>
      <w:bookmarkStart w:id="69" w:name="_Toc323641999"/>
      <w:bookmarkStart w:id="70" w:name="_Toc4405"/>
      <w:bookmarkStart w:id="71" w:name="_Toc300901193"/>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2.授权委托人身份证明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1796"/>
      <w:bookmarkStart w:id="74" w:name="_Toc23578"/>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Cs w:val="28"/>
          <w:highlight w:val="none"/>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注册编号：</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5"/>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7" w:name="_Toc374107072"/>
      <w:bookmarkStart w:id="78" w:name="_Toc300901198"/>
      <w:bookmarkStart w:id="79" w:name="_Toc323642003"/>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7"/>
      <w:bookmarkEnd w:id="78"/>
      <w:bookmarkEnd w:id="79"/>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1、针对项目特点内容规范完整性和整体编制水平</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2、施工方案与技术措施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5、工程进度计划与措施（附施工进度横道图或网络图）</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6、环保、文明管理体系与措施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8、资源配备计划及措施（附劳动力计划表、主要施工设备表、试验和检测仪器设备表）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9、施工关键部位、材料采购要点的控制及措施（根据工程特点及磋商文件要求应具有针对性）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color w:val="auto"/>
          <w:szCs w:val="21"/>
          <w:highlight w:val="none"/>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0" w:name="_Toc374107074"/>
      <w:bookmarkStart w:id="81" w:name="_Toc300901200"/>
      <w:bookmarkStart w:id="82" w:name="_Toc323642005"/>
      <w:bookmarkStart w:id="83" w:name="_Toc29043"/>
    </w:p>
    <w:p>
      <w:pPr>
        <w:pStyle w:val="4"/>
        <w:keepNext w:val="0"/>
        <w:keepLines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4"/>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0"/>
      <w:bookmarkEnd w:id="81"/>
      <w:bookmarkEnd w:id="82"/>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4"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6" w:type="first"/>
          <w:footerReference r:id="rId15" w:type="default"/>
          <w:pgSz w:w="11906" w:h="16838"/>
          <w:pgMar w:top="1440" w:right="1080" w:bottom="1440" w:left="1026" w:header="1020" w:footer="737"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5" w:name="_Toc10369"/>
      <w:bookmarkStart w:id="86" w:name="_Toc12296"/>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5"/>
      <w:bookmarkEnd w:id="86"/>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7" w:name="_Toc31429"/>
      <w:bookmarkStart w:id="88" w:name="_Toc13148"/>
      <w:r>
        <w:rPr>
          <w:rFonts w:hint="eastAsia" w:ascii="宋体" w:hAnsi="宋体" w:eastAsia="宋体" w:cs="宋体"/>
          <w:b/>
          <w:bCs/>
          <w:i w:val="0"/>
          <w:iCs w:val="0"/>
          <w:color w:val="auto"/>
          <w:sz w:val="24"/>
          <w:szCs w:val="32"/>
          <w:highlight w:val="none"/>
        </w:rPr>
        <w:t>附件</w:t>
      </w:r>
      <w:bookmarkEnd w:id="87"/>
      <w:bookmarkEnd w:id="8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9"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pStyle w:val="14"/>
        <w:spacing w:line="360" w:lineRule="auto"/>
        <w:ind w:right="480"/>
        <w:rPr>
          <w:rFonts w:hint="eastAsia" w:ascii="宋体" w:hAnsi="宋体" w:eastAsia="宋体" w:cs="宋体"/>
          <w:color w:val="auto"/>
          <w:highlight w:val="none"/>
        </w:rPr>
      </w:pPr>
    </w:p>
    <w:p>
      <w:pPr>
        <w:rPr>
          <w:color w:val="auto"/>
        </w:rPr>
      </w:pPr>
    </w:p>
    <w:sectPr>
      <w:headerReference r:id="rId18" w:type="first"/>
      <w:footerReference r:id="rId20" w:type="first"/>
      <w:headerReference r:id="rId17" w:type="default"/>
      <w:footerReference r:id="rId19"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6D2ECFD-9F33-4023-A743-1E0ACF9DEE01}"/>
  </w:font>
  <w:font w:name="Arial Unicode MS">
    <w:altName w:val="宋体"/>
    <w:panose1 w:val="020B0604020202020204"/>
    <w:charset w:val="86"/>
    <w:family w:val="swiss"/>
    <w:pitch w:val="default"/>
    <w:sig w:usb0="00000000" w:usb1="00000000" w:usb2="0000003F" w:usb3="00000000" w:csb0="603F01FF" w:csb1="FFFF0000"/>
  </w:font>
  <w:font w:name="华康行楷体 W5">
    <w:panose1 w:val="03000509000000000000"/>
    <w:charset w:val="86"/>
    <w:family w:val="auto"/>
    <w:pitch w:val="default"/>
    <w:sig w:usb0="A00002BF" w:usb1="384F6CFA" w:usb2="00000012" w:usb3="00000000" w:csb0="00040001" w:csb1="00000000"/>
    <w:embedRegular r:id="rId2" w:fontKey="{0CD5F1D4-922D-4700-9E0B-61DDCE6755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邹城市千泉街道郭庄社区蔬菜市场钢结构工程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邹城市千泉街道郭庄社区蔬菜市场钢结构工程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ascii="华康行楷体 W5" w:hAnsi="华康行楷体 W5" w:eastAsia="华康行楷体 W5" w:cs="华康行楷体 W5"/>
        <w:sz w:val="24"/>
        <w:szCs w:val="24"/>
        <w:lang w:val="en-US" w:eastAsia="zh-CN"/>
      </w:rPr>
      <w:t>竞争性磋商文件                            邹城市千泉街道郭庄社区蔬菜市场钢结构工程</w:t>
    </w:r>
  </w:p>
  <w:p>
    <w:pPr>
      <w:pStyle w:val="8"/>
      <w:pBdr>
        <w:bottom w:val="none" w:color="auto" w:sz="0" w:space="1"/>
      </w:pBdr>
      <w:jc w:val="lef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邹城市千泉街道郭庄社区蔬菜市场钢结构工程</w:t>
    </w:r>
  </w:p>
  <w:p>
    <w:pPr>
      <w:pStyle w:val="8"/>
      <w:pBdr>
        <w:bottom w:val="none" w:color="auto" w:sz="0"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邹城市千泉街道郭庄社区蔬菜市场钢结构工程</w:t>
    </w:r>
  </w:p>
  <w:p>
    <w:pPr>
      <w:pStyle w:val="8"/>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r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151F3091"/>
    <w:rsid w:val="00177868"/>
    <w:rsid w:val="02F907A1"/>
    <w:rsid w:val="10475896"/>
    <w:rsid w:val="151F3091"/>
    <w:rsid w:val="1878225E"/>
    <w:rsid w:val="24C76402"/>
    <w:rsid w:val="27647DE2"/>
    <w:rsid w:val="29F2675A"/>
    <w:rsid w:val="2F1601FD"/>
    <w:rsid w:val="371D62BE"/>
    <w:rsid w:val="51DE6253"/>
    <w:rsid w:val="57A2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2023-04-07T05:52:00Z</dcterms:created>
  <dc:creator>崔联梅(天伟工程审计公司)</dc:creator>
  <cp:lastModifiedBy>崔联梅(天伟工程审计公司)</cp:lastModifiedBy>
  <dcterms:modified xsi:type="dcterms:W3CDTF">2023-04-12T02:31:14Z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6D5AEE8351334C9485CCA49753788750_11</vt:lpwstr>
  </property>
</Properties>
</file>