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highlight w:val="none"/>
        </w:rPr>
      </w:pPr>
      <w:bookmarkStart w:id="0" w:name="FrdBid_7_1"/>
    </w:p>
    <w:p>
      <w:pPr>
        <w:jc w:val="center"/>
        <w:rPr>
          <w:rFonts w:hint="eastAsia" w:ascii="宋体" w:hAnsi="宋体" w:cs="宋体"/>
          <w:b/>
          <w:kern w:val="2"/>
          <w:sz w:val="52"/>
          <w:szCs w:val="52"/>
          <w:highlight w:val="none"/>
          <w:shd w:val="clear" w:color="auto" w:fill="FFFFFF"/>
          <w:lang w:val="en-US" w:eastAsia="zh-CN" w:bidi="ar-SA"/>
        </w:rPr>
      </w:pPr>
      <w:r>
        <w:rPr>
          <w:rFonts w:hint="eastAsia" w:ascii="宋体" w:hAnsi="宋体" w:eastAsia="宋体" w:cs="宋体"/>
          <w:b/>
          <w:kern w:val="2"/>
          <w:sz w:val="52"/>
          <w:szCs w:val="52"/>
          <w:highlight w:val="none"/>
          <w:shd w:val="clear" w:color="auto" w:fill="FFFFFF"/>
          <w:lang w:val="en-US" w:eastAsia="zh-CN" w:bidi="ar-SA"/>
        </w:rPr>
        <w:t>邹城市凫山街道后庙社区自来水</w:t>
      </w:r>
      <w:r>
        <w:rPr>
          <w:rFonts w:hint="eastAsia" w:ascii="宋体" w:hAnsi="宋体" w:cs="宋体"/>
          <w:b/>
          <w:kern w:val="2"/>
          <w:sz w:val="52"/>
          <w:szCs w:val="52"/>
          <w:highlight w:val="none"/>
          <w:shd w:val="clear" w:color="auto" w:fill="FFFFFF"/>
          <w:lang w:val="en-US" w:eastAsia="zh-CN" w:bidi="ar-SA"/>
        </w:rPr>
        <w:t>管</w:t>
      </w:r>
    </w:p>
    <w:p>
      <w:pPr>
        <w:jc w:val="center"/>
        <w:rPr>
          <w:rFonts w:hint="eastAsia" w:ascii="宋体" w:hAnsi="宋体" w:eastAsia="宋体" w:cs="宋体"/>
          <w:sz w:val="52"/>
          <w:szCs w:val="52"/>
          <w:highlight w:val="none"/>
        </w:rPr>
      </w:pPr>
      <w:r>
        <w:rPr>
          <w:rFonts w:hint="eastAsia" w:ascii="宋体" w:hAnsi="宋体" w:eastAsia="宋体" w:cs="宋体"/>
          <w:b/>
          <w:kern w:val="2"/>
          <w:sz w:val="52"/>
          <w:szCs w:val="52"/>
          <w:highlight w:val="none"/>
          <w:shd w:val="clear" w:color="auto" w:fill="FFFFFF"/>
          <w:lang w:val="en-US" w:eastAsia="zh-CN" w:bidi="ar-SA"/>
        </w:rPr>
        <w:t>改造工程</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ind w:firstLine="437"/>
        <w:jc w:val="center"/>
        <w:rPr>
          <w:rFonts w:hint="eastAsia" w:ascii="宋体" w:hAnsi="宋体" w:eastAsia="宋体" w:cs="宋体"/>
          <w:b/>
          <w:bCs/>
          <w:sz w:val="72"/>
          <w:szCs w:val="72"/>
          <w:highlight w:val="none"/>
          <w:lang w:val="en-US" w:eastAsia="zh-CN"/>
        </w:rPr>
      </w:pPr>
    </w:p>
    <w:p>
      <w:pPr>
        <w:jc w:val="center"/>
        <w:rPr>
          <w:rFonts w:hint="eastAsia" w:ascii="宋体" w:hAnsi="宋体" w:eastAsia="宋体" w:cs="宋体"/>
          <w:b/>
          <w:bCs/>
          <w:sz w:val="72"/>
          <w:szCs w:val="72"/>
          <w:highlight w:val="none"/>
          <w:lang w:val="en-US" w:eastAsia="zh-CN"/>
        </w:rPr>
      </w:pPr>
      <w:r>
        <w:rPr>
          <w:rFonts w:hint="eastAsia" w:ascii="宋体" w:hAnsi="宋体" w:eastAsia="宋体" w:cs="宋体"/>
          <w:b/>
          <w:bCs/>
          <w:sz w:val="72"/>
          <w:szCs w:val="72"/>
          <w:highlight w:val="none"/>
          <w:lang w:val="en-US" w:eastAsia="zh-CN"/>
        </w:rPr>
        <w:t>竞争性磋商文件</w:t>
      </w:r>
    </w:p>
    <w:p>
      <w:pPr>
        <w:pStyle w:val="33"/>
        <w:rPr>
          <w:rFonts w:hint="eastAsia" w:ascii="宋体" w:hAnsi="宋体" w:eastAsia="宋体" w:cs="宋体"/>
          <w:highlight w:val="none"/>
          <w:lang w:val="en-US"/>
        </w:rPr>
      </w:pPr>
    </w:p>
    <w:p>
      <w:pPr>
        <w:spacing w:line="360" w:lineRule="auto"/>
        <w:ind w:firstLine="643" w:firstLineChars="200"/>
        <w:jc w:val="center"/>
        <w:rPr>
          <w:rFonts w:hint="eastAsia" w:ascii="宋体" w:hAnsi="宋体" w:eastAsia="宋体" w:cs="宋体"/>
          <w:b/>
          <w:kern w:val="0"/>
          <w:sz w:val="32"/>
          <w:szCs w:val="28"/>
          <w:highlight w:val="none"/>
          <w:lang w:val="en-US" w:eastAsia="zh-CN" w:bidi="ar-SA"/>
        </w:rPr>
      </w:pPr>
      <w:r>
        <w:rPr>
          <w:rFonts w:hint="eastAsia" w:ascii="宋体" w:hAnsi="宋体" w:eastAsia="宋体" w:cs="宋体"/>
          <w:b/>
          <w:kern w:val="0"/>
          <w:sz w:val="32"/>
          <w:szCs w:val="28"/>
          <w:highlight w:val="none"/>
          <w:lang w:val="en-US" w:eastAsia="zh-CN" w:bidi="ar-SA"/>
        </w:rPr>
        <w:t>项目编号：</w:t>
      </w:r>
      <w:r>
        <w:rPr>
          <w:rFonts w:hint="eastAsia" w:ascii="宋体" w:hAnsi="宋体" w:cs="宋体"/>
          <w:b/>
          <w:kern w:val="0"/>
          <w:sz w:val="32"/>
          <w:szCs w:val="28"/>
          <w:highlight w:val="none"/>
          <w:lang w:val="en-US" w:eastAsia="zh-CN" w:bidi="ar-SA"/>
        </w:rPr>
        <w:t>SDYJ2023-CG-004</w:t>
      </w:r>
    </w:p>
    <w:p>
      <w:pPr>
        <w:pStyle w:val="34"/>
        <w:rPr>
          <w:rFonts w:hint="eastAsia" w:ascii="宋体" w:hAnsi="宋体" w:eastAsia="宋体" w:cs="宋体"/>
          <w:b/>
          <w:kern w:val="0"/>
          <w:sz w:val="32"/>
          <w:szCs w:val="28"/>
          <w:highlight w:val="none"/>
          <w:lang w:val="en-US" w:eastAsia="zh-CN" w:bidi="ar-SA"/>
        </w:rPr>
      </w:pPr>
    </w:p>
    <w:p>
      <w:pPr>
        <w:pStyle w:val="34"/>
        <w:rPr>
          <w:rFonts w:hint="eastAsia" w:ascii="宋体" w:hAnsi="宋体" w:eastAsia="宋体" w:cs="宋体"/>
          <w:b/>
          <w:kern w:val="0"/>
          <w:sz w:val="32"/>
          <w:szCs w:val="28"/>
          <w:highlight w:val="none"/>
          <w:lang w:val="en-US" w:eastAsia="zh-CN" w:bidi="ar-SA"/>
        </w:rPr>
      </w:pPr>
    </w:p>
    <w:p>
      <w:pPr>
        <w:jc w:val="center"/>
        <w:rPr>
          <w:rFonts w:hint="eastAsia" w:ascii="宋体" w:hAnsi="宋体" w:eastAsia="宋体" w:cs="宋体"/>
          <w:highlight w:val="none"/>
        </w:rPr>
      </w:pPr>
      <w:r>
        <w:rPr>
          <w:rFonts w:hint="eastAsia" w:ascii="宋体" w:hAnsi="宋体" w:eastAsia="宋体" w:cs="宋体"/>
          <w:b/>
          <w:highlight w:val="none"/>
          <w:lang w:eastAsia="zh-CN"/>
        </w:rPr>
        <w:drawing>
          <wp:inline distT="0" distB="0" distL="114300" distR="114300">
            <wp:extent cx="5270500" cy="2313305"/>
            <wp:effectExtent l="0" t="0" r="6350" b="10795"/>
            <wp:docPr id="1" name="图片 1" descr="243f498c515803bdaaaa86bb50bf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3f498c515803bdaaaa86bb50bfcdf"/>
                    <pic:cNvPicPr>
                      <a:picLocks noChangeAspect="1"/>
                    </pic:cNvPicPr>
                  </pic:nvPicPr>
                  <pic:blipFill>
                    <a:blip r:embed="rId5"/>
                    <a:srcRect t="6966" b="13493"/>
                    <a:stretch>
                      <a:fillRect/>
                    </a:stretch>
                  </pic:blipFill>
                  <pic:spPr>
                    <a:xfrm>
                      <a:off x="0" y="0"/>
                      <a:ext cx="5270500" cy="2313305"/>
                    </a:xfrm>
                    <a:prstGeom prst="rect">
                      <a:avLst/>
                    </a:prstGeom>
                    <a:noFill/>
                    <a:ln>
                      <a:noFill/>
                    </a:ln>
                  </pic:spPr>
                </pic:pic>
              </a:graphicData>
            </a:graphic>
          </wp:inline>
        </w:drawing>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keepNext w:val="0"/>
        <w:keepLines w:val="0"/>
        <w:pageBreakBefore w:val="0"/>
        <w:widowControl w:val="0"/>
        <w:tabs>
          <w:tab w:val="left" w:pos="1135"/>
          <w:tab w:val="left" w:pos="5481"/>
          <w:tab w:val="left" w:pos="5859"/>
        </w:tabs>
        <w:kinsoku/>
        <w:wordWrap/>
        <w:overflowPunct/>
        <w:topLinePunct w:val="0"/>
        <w:autoSpaceDE/>
        <w:autoSpaceDN/>
        <w:bidi w:val="0"/>
        <w:adjustRightInd/>
        <w:snapToGrid/>
        <w:spacing w:line="480" w:lineRule="auto"/>
        <w:ind w:left="3710" w:leftChars="1002" w:hanging="1606" w:hangingChars="500"/>
        <w:jc w:val="both"/>
        <w:textAlignment w:val="auto"/>
        <w:rPr>
          <w:rFonts w:hint="eastAsia" w:ascii="宋体" w:hAnsi="宋体" w:eastAsia="宋体" w:cs="宋体"/>
          <w:b/>
          <w:sz w:val="32"/>
          <w:szCs w:val="32"/>
          <w:highlight w:val="none"/>
          <w:shd w:val="clear" w:color="auto" w:fill="FFFFFF"/>
          <w:lang w:eastAsia="zh-CN"/>
        </w:rPr>
      </w:pPr>
      <w:r>
        <w:rPr>
          <w:rFonts w:hint="eastAsia" w:ascii="宋体" w:hAnsi="宋体" w:eastAsia="宋体" w:cs="宋体"/>
          <w:b/>
          <w:sz w:val="32"/>
          <w:szCs w:val="32"/>
          <w:highlight w:val="none"/>
          <w:shd w:val="clear" w:color="auto" w:fill="FFFFFF"/>
        </w:rPr>
        <w:t>采</w:t>
      </w:r>
      <w:r>
        <w:rPr>
          <w:rFonts w:hint="eastAsia" w:ascii="宋体" w:hAnsi="宋体" w:eastAsia="宋体" w:cs="宋体"/>
          <w:b/>
          <w:sz w:val="32"/>
          <w:szCs w:val="32"/>
          <w:highlight w:val="none"/>
          <w:shd w:val="clear" w:color="auto" w:fill="FFFFFF"/>
          <w:lang w:val="en-US" w:eastAsia="zh-CN"/>
        </w:rPr>
        <w:t xml:space="preserve"> </w:t>
      </w:r>
      <w:r>
        <w:rPr>
          <w:rFonts w:hint="eastAsia" w:ascii="宋体" w:hAnsi="宋体" w:eastAsia="宋体" w:cs="宋体"/>
          <w:b/>
          <w:sz w:val="32"/>
          <w:szCs w:val="32"/>
          <w:highlight w:val="none"/>
          <w:shd w:val="clear" w:color="auto" w:fill="FFFFFF"/>
        </w:rPr>
        <w:t>购</w:t>
      </w:r>
      <w:r>
        <w:rPr>
          <w:rFonts w:hint="eastAsia" w:ascii="宋体" w:hAnsi="宋体" w:eastAsia="宋体" w:cs="宋体"/>
          <w:b/>
          <w:sz w:val="32"/>
          <w:szCs w:val="32"/>
          <w:highlight w:val="none"/>
          <w:shd w:val="clear" w:color="auto" w:fill="FFFFFF"/>
          <w:lang w:val="en-US" w:eastAsia="zh-CN"/>
        </w:rPr>
        <w:t xml:space="preserve"> </w:t>
      </w:r>
      <w:r>
        <w:rPr>
          <w:rFonts w:hint="eastAsia" w:ascii="宋体" w:hAnsi="宋体" w:eastAsia="宋体" w:cs="宋体"/>
          <w:b/>
          <w:sz w:val="32"/>
          <w:szCs w:val="32"/>
          <w:highlight w:val="none"/>
          <w:shd w:val="clear" w:color="auto" w:fill="FFFFFF"/>
        </w:rPr>
        <w:t>人：</w:t>
      </w:r>
      <w:r>
        <w:rPr>
          <w:rFonts w:hint="eastAsia" w:ascii="宋体" w:hAnsi="宋体" w:eastAsia="宋体" w:cs="宋体"/>
          <w:b/>
          <w:sz w:val="32"/>
          <w:szCs w:val="32"/>
          <w:highlight w:val="none"/>
          <w:shd w:val="clear" w:color="auto" w:fill="FFFFFF"/>
          <w:lang w:eastAsia="zh-CN"/>
        </w:rPr>
        <w:t>居民委员会山东省济宁市邹城市凫山街道</w:t>
      </w:r>
    </w:p>
    <w:p>
      <w:pPr>
        <w:keepNext w:val="0"/>
        <w:keepLines w:val="0"/>
        <w:pageBreakBefore w:val="0"/>
        <w:widowControl w:val="0"/>
        <w:tabs>
          <w:tab w:val="left" w:pos="1135"/>
          <w:tab w:val="left" w:pos="5481"/>
          <w:tab w:val="left" w:pos="5859"/>
        </w:tabs>
        <w:kinsoku/>
        <w:wordWrap/>
        <w:overflowPunct/>
        <w:topLinePunct w:val="0"/>
        <w:autoSpaceDE/>
        <w:autoSpaceDN/>
        <w:bidi w:val="0"/>
        <w:adjustRightInd/>
        <w:snapToGrid/>
        <w:spacing w:line="480" w:lineRule="auto"/>
        <w:ind w:left="3700" w:leftChars="1762" w:firstLine="0" w:firstLineChars="0"/>
        <w:jc w:val="both"/>
        <w:textAlignment w:val="auto"/>
        <w:rPr>
          <w:rFonts w:hint="eastAsia" w:ascii="宋体" w:hAnsi="宋体" w:eastAsia="宋体" w:cs="宋体"/>
          <w:b/>
          <w:sz w:val="32"/>
          <w:szCs w:val="32"/>
          <w:highlight w:val="none"/>
          <w:shd w:val="clear" w:color="auto" w:fill="FFFFFF"/>
          <w:lang w:eastAsia="zh-CN"/>
        </w:rPr>
      </w:pPr>
      <w:r>
        <w:rPr>
          <w:rFonts w:hint="eastAsia" w:ascii="宋体" w:hAnsi="宋体" w:eastAsia="宋体" w:cs="宋体"/>
          <w:b/>
          <w:sz w:val="32"/>
          <w:szCs w:val="32"/>
          <w:highlight w:val="none"/>
          <w:shd w:val="clear" w:color="auto" w:fill="FFFFFF"/>
          <w:lang w:eastAsia="zh-CN"/>
        </w:rPr>
        <w:t>后庙户营社区居民委员会</w:t>
      </w:r>
    </w:p>
    <w:p>
      <w:pPr>
        <w:keepNext w:val="0"/>
        <w:keepLines w:val="0"/>
        <w:pageBreakBefore w:val="0"/>
        <w:widowControl w:val="0"/>
        <w:tabs>
          <w:tab w:val="left" w:pos="1135"/>
          <w:tab w:val="left" w:pos="5481"/>
          <w:tab w:val="left" w:pos="5859"/>
        </w:tabs>
        <w:kinsoku/>
        <w:wordWrap/>
        <w:overflowPunct/>
        <w:topLinePunct w:val="0"/>
        <w:autoSpaceDE/>
        <w:autoSpaceDN/>
        <w:bidi w:val="0"/>
        <w:adjustRightInd/>
        <w:snapToGrid/>
        <w:spacing w:line="480" w:lineRule="auto"/>
        <w:ind w:left="1785" w:leftChars="850" w:firstLine="321" w:firstLineChars="100"/>
        <w:jc w:val="both"/>
        <w:textAlignment w:val="auto"/>
        <w:rPr>
          <w:rFonts w:hint="eastAsia" w:ascii="宋体" w:hAnsi="宋体" w:eastAsia="宋体" w:cs="宋体"/>
          <w:b/>
          <w:sz w:val="32"/>
          <w:szCs w:val="32"/>
          <w:highlight w:val="none"/>
          <w:shd w:val="clear" w:color="auto" w:fill="FFFFFF"/>
          <w:lang w:eastAsia="zh-CN"/>
        </w:rPr>
      </w:pPr>
      <w:r>
        <w:rPr>
          <w:rFonts w:hint="eastAsia" w:ascii="宋体" w:hAnsi="宋体" w:eastAsia="宋体" w:cs="宋体"/>
          <w:b/>
          <w:sz w:val="32"/>
          <w:szCs w:val="32"/>
          <w:highlight w:val="none"/>
          <w:shd w:val="clear" w:color="auto" w:fill="FFFFFF"/>
        </w:rPr>
        <w:t>代理机构：</w:t>
      </w:r>
      <w:r>
        <w:rPr>
          <w:rFonts w:hint="eastAsia" w:ascii="宋体" w:hAnsi="宋体" w:eastAsia="宋体" w:cs="宋体"/>
          <w:b/>
          <w:sz w:val="32"/>
          <w:szCs w:val="32"/>
          <w:highlight w:val="none"/>
          <w:shd w:val="clear" w:color="auto" w:fill="FFFFFF"/>
          <w:lang w:eastAsia="zh-CN"/>
        </w:rPr>
        <w:t>山东越甲项目管理咨询有限公司</w:t>
      </w:r>
    </w:p>
    <w:p>
      <w:pPr>
        <w:keepNext w:val="0"/>
        <w:keepLines w:val="0"/>
        <w:pageBreakBefore w:val="0"/>
        <w:widowControl w:val="0"/>
        <w:kinsoku/>
        <w:wordWrap/>
        <w:overflowPunct/>
        <w:topLinePunct w:val="0"/>
        <w:autoSpaceDE/>
        <w:autoSpaceDN/>
        <w:bidi w:val="0"/>
        <w:adjustRightInd/>
        <w:snapToGrid/>
        <w:spacing w:line="480" w:lineRule="auto"/>
        <w:ind w:left="1785" w:leftChars="850" w:firstLine="321" w:firstLineChars="100"/>
        <w:jc w:val="both"/>
        <w:textAlignment w:val="auto"/>
        <w:rPr>
          <w:rFonts w:hint="eastAsia" w:ascii="宋体" w:hAnsi="宋体" w:eastAsia="宋体" w:cs="宋体"/>
          <w:b/>
          <w:sz w:val="32"/>
          <w:szCs w:val="32"/>
          <w:highlight w:val="none"/>
          <w:shd w:val="clear" w:color="auto" w:fill="FFFFFF"/>
        </w:rPr>
      </w:pPr>
      <w:r>
        <w:rPr>
          <w:rFonts w:hint="eastAsia" w:ascii="宋体" w:hAnsi="宋体" w:eastAsia="宋体" w:cs="宋体"/>
          <w:b/>
          <w:sz w:val="32"/>
          <w:szCs w:val="32"/>
          <w:highlight w:val="none"/>
          <w:shd w:val="clear" w:color="auto" w:fill="FFFFFF"/>
        </w:rPr>
        <w:t>日</w:t>
      </w:r>
      <w:r>
        <w:rPr>
          <w:rFonts w:hint="eastAsia" w:ascii="宋体" w:hAnsi="宋体" w:eastAsia="宋体" w:cs="宋体"/>
          <w:b/>
          <w:sz w:val="32"/>
          <w:szCs w:val="32"/>
          <w:highlight w:val="none"/>
          <w:shd w:val="clear" w:color="auto" w:fill="FFFFFF"/>
          <w:lang w:val="en-US" w:eastAsia="zh-CN"/>
        </w:rPr>
        <w:t xml:space="preserve">    </w:t>
      </w:r>
      <w:r>
        <w:rPr>
          <w:rFonts w:hint="eastAsia" w:ascii="宋体" w:hAnsi="宋体" w:eastAsia="宋体" w:cs="宋体"/>
          <w:b/>
          <w:sz w:val="32"/>
          <w:szCs w:val="32"/>
          <w:highlight w:val="none"/>
          <w:shd w:val="clear" w:color="auto" w:fill="FFFFFF"/>
        </w:rPr>
        <w:t>期：二〇二</w:t>
      </w:r>
      <w:r>
        <w:rPr>
          <w:rFonts w:hint="eastAsia" w:ascii="宋体" w:hAnsi="宋体" w:cs="宋体"/>
          <w:b/>
          <w:sz w:val="32"/>
          <w:szCs w:val="32"/>
          <w:highlight w:val="none"/>
          <w:shd w:val="clear" w:color="auto" w:fill="FFFFFF"/>
          <w:lang w:val="en-US" w:eastAsia="zh-CN"/>
        </w:rPr>
        <w:t>三</w:t>
      </w:r>
      <w:r>
        <w:rPr>
          <w:rFonts w:hint="eastAsia" w:ascii="宋体" w:hAnsi="宋体" w:eastAsia="宋体" w:cs="宋体"/>
          <w:b/>
          <w:sz w:val="32"/>
          <w:szCs w:val="32"/>
          <w:highlight w:val="none"/>
          <w:shd w:val="clear" w:color="auto" w:fill="FFFFFF"/>
        </w:rPr>
        <w:t>年</w:t>
      </w:r>
      <w:r>
        <w:rPr>
          <w:rFonts w:hint="eastAsia" w:ascii="宋体" w:hAnsi="宋体" w:cs="宋体"/>
          <w:b/>
          <w:sz w:val="32"/>
          <w:szCs w:val="32"/>
          <w:highlight w:val="none"/>
          <w:shd w:val="clear" w:color="auto" w:fill="FFFFFF"/>
          <w:lang w:val="en-US" w:eastAsia="zh-CN"/>
        </w:rPr>
        <w:t>三</w:t>
      </w:r>
      <w:r>
        <w:rPr>
          <w:rFonts w:hint="eastAsia" w:ascii="宋体" w:hAnsi="宋体" w:eastAsia="宋体" w:cs="宋体"/>
          <w:b/>
          <w:sz w:val="32"/>
          <w:szCs w:val="32"/>
          <w:highlight w:val="none"/>
          <w:shd w:val="clear" w:color="auto" w:fill="FFFFFF"/>
        </w:rPr>
        <w:t>月</w:t>
      </w:r>
    </w:p>
    <w:p>
      <w:pPr>
        <w:pStyle w:val="34"/>
        <w:rPr>
          <w:rFonts w:hint="eastAsia" w:ascii="宋体" w:hAnsi="宋体" w:eastAsia="宋体" w:cs="宋体"/>
          <w:b/>
          <w:sz w:val="32"/>
          <w:szCs w:val="32"/>
          <w:highlight w:val="none"/>
          <w:shd w:val="clear" w:color="auto" w:fill="FFFFFF"/>
        </w:rPr>
      </w:pPr>
    </w:p>
    <w:p>
      <w:pPr>
        <w:rPr>
          <w:rFonts w:hint="eastAsia" w:ascii="宋体" w:hAnsi="宋体" w:eastAsia="宋体" w:cs="宋体"/>
          <w:highlight w:val="none"/>
        </w:rPr>
      </w:pPr>
    </w:p>
    <w:p>
      <w:pPr>
        <w:widowControl/>
        <w:spacing w:before="156" w:beforeLines="50" w:after="312" w:afterLines="100"/>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val="zh-CN"/>
        </w:rPr>
        <w:t>目录</w:t>
      </w:r>
    </w:p>
    <w:p>
      <w:pPr>
        <w:pStyle w:val="22"/>
        <w:tabs>
          <w:tab w:val="right" w:leader="dot" w:pos="9752"/>
        </w:tabs>
        <w:rPr>
          <w:rFonts w:hint="eastAsia" w:ascii="宋体" w:hAnsi="宋体" w:eastAsia="宋体" w:cs="宋体"/>
          <w:sz w:val="28"/>
          <w:szCs w:val="28"/>
          <w:highlight w:val="none"/>
        </w:rPr>
      </w:pPr>
      <w:r>
        <w:rPr>
          <w:rFonts w:hint="eastAsia" w:ascii="宋体" w:hAnsi="宋体" w:eastAsia="宋体" w:cs="宋体"/>
          <w:b w:val="0"/>
          <w:bCs w:val="0"/>
          <w:caps w:val="0"/>
          <w:sz w:val="72"/>
          <w:szCs w:val="72"/>
          <w:highlight w:val="none"/>
        </w:rPr>
        <w:fldChar w:fldCharType="begin"/>
      </w:r>
      <w:r>
        <w:rPr>
          <w:rFonts w:hint="eastAsia" w:ascii="宋体" w:hAnsi="宋体" w:eastAsia="宋体" w:cs="宋体"/>
          <w:b w:val="0"/>
          <w:bCs w:val="0"/>
          <w:caps w:val="0"/>
          <w:sz w:val="72"/>
          <w:szCs w:val="72"/>
          <w:highlight w:val="none"/>
        </w:rPr>
        <w:instrText xml:space="preserve"> TOC \o "1-1" \h \z \u </w:instrText>
      </w:r>
      <w:r>
        <w:rPr>
          <w:rFonts w:hint="eastAsia" w:ascii="宋体" w:hAnsi="宋体" w:eastAsia="宋体" w:cs="宋体"/>
          <w:b w:val="0"/>
          <w:bCs w:val="0"/>
          <w:caps w:val="0"/>
          <w:sz w:val="72"/>
          <w:szCs w:val="72"/>
          <w:highlight w:val="none"/>
        </w:rPr>
        <w:fldChar w:fldCharType="separate"/>
      </w:r>
      <w:r>
        <w:rPr>
          <w:rFonts w:hint="eastAsia" w:ascii="宋体" w:hAnsi="宋体" w:eastAsia="宋体" w:cs="宋体"/>
          <w:bCs w:val="0"/>
          <w:caps w:val="0"/>
          <w:sz w:val="28"/>
          <w:szCs w:val="72"/>
          <w:highlight w:val="none"/>
        </w:rPr>
        <w:fldChar w:fldCharType="begin"/>
      </w:r>
      <w:r>
        <w:rPr>
          <w:rFonts w:hint="eastAsia" w:ascii="宋体" w:hAnsi="宋体" w:eastAsia="宋体" w:cs="宋体"/>
          <w:bCs w:val="0"/>
          <w:caps w:val="0"/>
          <w:sz w:val="28"/>
          <w:szCs w:val="72"/>
          <w:highlight w:val="none"/>
        </w:rPr>
        <w:instrText xml:space="preserve"> HYPERLINK \l _Toc20338 </w:instrText>
      </w:r>
      <w:r>
        <w:rPr>
          <w:rFonts w:hint="eastAsia" w:ascii="宋体" w:hAnsi="宋体" w:eastAsia="宋体" w:cs="宋体"/>
          <w:bCs w:val="0"/>
          <w:caps w:val="0"/>
          <w:sz w:val="28"/>
          <w:szCs w:val="72"/>
          <w:highlight w:val="none"/>
        </w:rPr>
        <w:fldChar w:fldCharType="separate"/>
      </w:r>
      <w:r>
        <w:rPr>
          <w:rFonts w:hint="eastAsia" w:ascii="宋体" w:hAnsi="宋体" w:eastAsia="宋体" w:cs="宋体"/>
          <w:sz w:val="28"/>
          <w:szCs w:val="52"/>
          <w:highlight w:val="none"/>
        </w:rPr>
        <w:t>第一章竞争性磋商公告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_Toc20338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bCs w:val="0"/>
          <w:caps w:val="0"/>
          <w:sz w:val="28"/>
          <w:szCs w:val="72"/>
          <w:highlight w:val="none"/>
        </w:rPr>
        <w:fldChar w:fldCharType="end"/>
      </w:r>
    </w:p>
    <w:p>
      <w:pPr>
        <w:pStyle w:val="22"/>
        <w:tabs>
          <w:tab w:val="right" w:leader="dot" w:pos="9752"/>
        </w:tabs>
        <w:rPr>
          <w:rFonts w:hint="eastAsia" w:ascii="宋体" w:hAnsi="宋体" w:eastAsia="宋体" w:cs="宋体"/>
          <w:sz w:val="28"/>
          <w:szCs w:val="28"/>
          <w:highlight w:val="none"/>
        </w:rPr>
      </w:pPr>
      <w:r>
        <w:rPr>
          <w:rFonts w:hint="eastAsia" w:ascii="宋体" w:hAnsi="宋体" w:eastAsia="宋体" w:cs="宋体"/>
          <w:bCs/>
          <w:caps/>
          <w:sz w:val="28"/>
          <w:szCs w:val="72"/>
          <w:highlight w:val="none"/>
        </w:rPr>
        <w:fldChar w:fldCharType="begin"/>
      </w:r>
      <w:r>
        <w:rPr>
          <w:rFonts w:hint="eastAsia" w:ascii="宋体" w:hAnsi="宋体" w:eastAsia="宋体" w:cs="宋体"/>
          <w:bCs/>
          <w:caps/>
          <w:sz w:val="28"/>
          <w:szCs w:val="72"/>
          <w:highlight w:val="none"/>
        </w:rPr>
        <w:instrText xml:space="preserve"> HYPERLINK \l _Toc18865 </w:instrText>
      </w:r>
      <w:r>
        <w:rPr>
          <w:rFonts w:hint="eastAsia" w:ascii="宋体" w:hAnsi="宋体" w:eastAsia="宋体" w:cs="宋体"/>
          <w:bCs/>
          <w:caps/>
          <w:sz w:val="28"/>
          <w:szCs w:val="72"/>
          <w:highlight w:val="none"/>
        </w:rPr>
        <w:fldChar w:fldCharType="separate"/>
      </w:r>
      <w:r>
        <w:rPr>
          <w:rFonts w:hint="eastAsia" w:ascii="宋体" w:hAnsi="宋体" w:eastAsia="宋体" w:cs="宋体"/>
          <w:sz w:val="28"/>
          <w:szCs w:val="52"/>
          <w:highlight w:val="none"/>
        </w:rPr>
        <w:t>第二章供应商须知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_Toc18865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bCs/>
          <w:caps/>
          <w:sz w:val="28"/>
          <w:szCs w:val="72"/>
          <w:highlight w:val="none"/>
        </w:rPr>
        <w:fldChar w:fldCharType="end"/>
      </w:r>
    </w:p>
    <w:p>
      <w:pPr>
        <w:pStyle w:val="22"/>
        <w:tabs>
          <w:tab w:val="right" w:leader="dot" w:pos="9752"/>
        </w:tabs>
        <w:rPr>
          <w:rFonts w:hint="eastAsia" w:ascii="宋体" w:hAnsi="宋体" w:eastAsia="宋体" w:cs="宋体"/>
          <w:sz w:val="28"/>
          <w:szCs w:val="28"/>
          <w:highlight w:val="none"/>
        </w:rPr>
      </w:pPr>
      <w:r>
        <w:rPr>
          <w:rFonts w:hint="eastAsia" w:ascii="宋体" w:hAnsi="宋体" w:eastAsia="宋体" w:cs="宋体"/>
          <w:bCs/>
          <w:caps/>
          <w:sz w:val="28"/>
          <w:szCs w:val="72"/>
          <w:highlight w:val="none"/>
        </w:rPr>
        <w:fldChar w:fldCharType="begin"/>
      </w:r>
      <w:r>
        <w:rPr>
          <w:rFonts w:hint="eastAsia" w:ascii="宋体" w:hAnsi="宋体" w:eastAsia="宋体" w:cs="宋体"/>
          <w:bCs/>
          <w:caps/>
          <w:sz w:val="28"/>
          <w:szCs w:val="72"/>
          <w:highlight w:val="none"/>
        </w:rPr>
        <w:instrText xml:space="preserve"> HYPERLINK \l _Toc669 </w:instrText>
      </w:r>
      <w:r>
        <w:rPr>
          <w:rFonts w:hint="eastAsia" w:ascii="宋体" w:hAnsi="宋体" w:eastAsia="宋体" w:cs="宋体"/>
          <w:bCs/>
          <w:caps/>
          <w:sz w:val="28"/>
          <w:szCs w:val="72"/>
          <w:highlight w:val="none"/>
        </w:rPr>
        <w:fldChar w:fldCharType="separate"/>
      </w:r>
      <w:r>
        <w:rPr>
          <w:rFonts w:hint="eastAsia" w:ascii="宋体" w:hAnsi="宋体" w:eastAsia="宋体" w:cs="宋体"/>
          <w:sz w:val="28"/>
          <w:szCs w:val="52"/>
          <w:highlight w:val="none"/>
          <w:lang w:eastAsia="zh-CN"/>
        </w:rPr>
        <w:t>第三章 工程量清单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_Toc669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18</w:t>
      </w:r>
      <w:r>
        <w:rPr>
          <w:rFonts w:hint="eastAsia" w:ascii="宋体" w:hAnsi="宋体" w:eastAsia="宋体" w:cs="宋体"/>
          <w:sz w:val="28"/>
          <w:szCs w:val="28"/>
          <w:highlight w:val="none"/>
        </w:rPr>
        <w:fldChar w:fldCharType="end"/>
      </w:r>
      <w:r>
        <w:rPr>
          <w:rFonts w:hint="eastAsia" w:ascii="宋体" w:hAnsi="宋体" w:eastAsia="宋体" w:cs="宋体"/>
          <w:bCs/>
          <w:caps/>
          <w:sz w:val="28"/>
          <w:szCs w:val="72"/>
          <w:highlight w:val="none"/>
        </w:rPr>
        <w:fldChar w:fldCharType="end"/>
      </w:r>
    </w:p>
    <w:p>
      <w:pPr>
        <w:pStyle w:val="22"/>
        <w:tabs>
          <w:tab w:val="right" w:leader="dot" w:pos="9752"/>
        </w:tabs>
        <w:rPr>
          <w:rFonts w:hint="eastAsia" w:ascii="宋体" w:hAnsi="宋体" w:eastAsia="宋体" w:cs="宋体"/>
          <w:sz w:val="28"/>
          <w:szCs w:val="28"/>
          <w:highlight w:val="none"/>
        </w:rPr>
      </w:pPr>
      <w:r>
        <w:rPr>
          <w:rFonts w:hint="eastAsia" w:ascii="宋体" w:hAnsi="宋体" w:eastAsia="宋体" w:cs="宋体"/>
          <w:bCs/>
          <w:caps/>
          <w:sz w:val="28"/>
          <w:szCs w:val="72"/>
          <w:highlight w:val="none"/>
        </w:rPr>
        <w:fldChar w:fldCharType="begin"/>
      </w:r>
      <w:r>
        <w:rPr>
          <w:rFonts w:hint="eastAsia" w:ascii="宋体" w:hAnsi="宋体" w:eastAsia="宋体" w:cs="宋体"/>
          <w:bCs/>
          <w:caps/>
          <w:sz w:val="28"/>
          <w:szCs w:val="72"/>
          <w:highlight w:val="none"/>
        </w:rPr>
        <w:instrText xml:space="preserve"> HYPERLINK \l _Toc10258 </w:instrText>
      </w:r>
      <w:r>
        <w:rPr>
          <w:rFonts w:hint="eastAsia" w:ascii="宋体" w:hAnsi="宋体" w:eastAsia="宋体" w:cs="宋体"/>
          <w:bCs/>
          <w:caps/>
          <w:sz w:val="28"/>
          <w:szCs w:val="72"/>
          <w:highlight w:val="none"/>
        </w:rPr>
        <w:fldChar w:fldCharType="separate"/>
      </w:r>
      <w:r>
        <w:rPr>
          <w:rFonts w:hint="eastAsia" w:ascii="宋体" w:hAnsi="宋体" w:eastAsia="宋体" w:cs="宋体"/>
          <w:sz w:val="28"/>
          <w:szCs w:val="52"/>
          <w:highlight w:val="none"/>
        </w:rPr>
        <w:t>第四章 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_Toc10258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35</w:t>
      </w:r>
      <w:r>
        <w:rPr>
          <w:rFonts w:hint="eastAsia" w:ascii="宋体" w:hAnsi="宋体" w:eastAsia="宋体" w:cs="宋体"/>
          <w:sz w:val="28"/>
          <w:szCs w:val="28"/>
          <w:highlight w:val="none"/>
        </w:rPr>
        <w:fldChar w:fldCharType="end"/>
      </w:r>
      <w:r>
        <w:rPr>
          <w:rFonts w:hint="eastAsia" w:ascii="宋体" w:hAnsi="宋体" w:eastAsia="宋体" w:cs="宋体"/>
          <w:bCs/>
          <w:caps/>
          <w:sz w:val="28"/>
          <w:szCs w:val="72"/>
          <w:highlight w:val="none"/>
        </w:rPr>
        <w:fldChar w:fldCharType="end"/>
      </w:r>
    </w:p>
    <w:p>
      <w:pPr>
        <w:pStyle w:val="22"/>
        <w:tabs>
          <w:tab w:val="right" w:leader="dot" w:pos="9752"/>
        </w:tabs>
        <w:rPr>
          <w:rFonts w:hint="eastAsia" w:ascii="宋体" w:hAnsi="宋体" w:eastAsia="宋体" w:cs="宋体"/>
          <w:sz w:val="28"/>
          <w:szCs w:val="28"/>
          <w:highlight w:val="none"/>
        </w:rPr>
      </w:pPr>
      <w:r>
        <w:rPr>
          <w:rFonts w:hint="eastAsia" w:ascii="宋体" w:hAnsi="宋体" w:eastAsia="宋体" w:cs="宋体"/>
          <w:bCs/>
          <w:caps/>
          <w:sz w:val="28"/>
          <w:szCs w:val="72"/>
          <w:highlight w:val="none"/>
        </w:rPr>
        <w:fldChar w:fldCharType="begin"/>
      </w:r>
      <w:r>
        <w:rPr>
          <w:rFonts w:hint="eastAsia" w:ascii="宋体" w:hAnsi="宋体" w:eastAsia="宋体" w:cs="宋体"/>
          <w:bCs/>
          <w:caps/>
          <w:sz w:val="28"/>
          <w:szCs w:val="72"/>
          <w:highlight w:val="none"/>
        </w:rPr>
        <w:instrText xml:space="preserve"> HYPERLINK \l _Toc12667 </w:instrText>
      </w:r>
      <w:r>
        <w:rPr>
          <w:rFonts w:hint="eastAsia" w:ascii="宋体" w:hAnsi="宋体" w:eastAsia="宋体" w:cs="宋体"/>
          <w:bCs/>
          <w:caps/>
          <w:sz w:val="28"/>
          <w:szCs w:val="72"/>
          <w:highlight w:val="none"/>
        </w:rPr>
        <w:fldChar w:fldCharType="separate"/>
      </w:r>
      <w:r>
        <w:rPr>
          <w:rFonts w:hint="eastAsia" w:ascii="宋体" w:hAnsi="宋体" w:eastAsia="宋体" w:cs="宋体"/>
          <w:sz w:val="28"/>
          <w:szCs w:val="52"/>
          <w:highlight w:val="none"/>
        </w:rPr>
        <w:t>第五章响应文件格式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53</w:t>
      </w:r>
      <w:r>
        <w:rPr>
          <w:rFonts w:hint="eastAsia" w:ascii="宋体" w:hAnsi="宋体" w:eastAsia="宋体" w:cs="宋体"/>
          <w:sz w:val="28"/>
          <w:szCs w:val="28"/>
          <w:highlight w:val="none"/>
        </w:rPr>
        <w:fldChar w:fldCharType="end"/>
      </w:r>
      <w:r>
        <w:rPr>
          <w:rFonts w:hint="eastAsia" w:ascii="宋体" w:hAnsi="宋体" w:eastAsia="宋体" w:cs="宋体"/>
          <w:bCs/>
          <w:caps/>
          <w:sz w:val="28"/>
          <w:szCs w:val="72"/>
          <w:highlight w:val="none"/>
        </w:rPr>
        <w:fldChar w:fldCharType="end"/>
      </w:r>
    </w:p>
    <w:p>
      <w:pPr>
        <w:pStyle w:val="22"/>
        <w:tabs>
          <w:tab w:val="right" w:leader="dot" w:pos="9752"/>
        </w:tabs>
        <w:rPr>
          <w:rFonts w:hint="eastAsia" w:ascii="宋体" w:hAnsi="宋体" w:eastAsia="宋体" w:cs="宋体"/>
          <w:sz w:val="28"/>
          <w:szCs w:val="28"/>
          <w:highlight w:val="none"/>
        </w:rPr>
      </w:pPr>
      <w:r>
        <w:rPr>
          <w:rFonts w:hint="eastAsia" w:ascii="宋体" w:hAnsi="宋体" w:eastAsia="宋体" w:cs="宋体"/>
          <w:bCs/>
          <w:caps/>
          <w:sz w:val="28"/>
          <w:szCs w:val="72"/>
          <w:highlight w:val="none"/>
        </w:rPr>
        <w:fldChar w:fldCharType="begin"/>
      </w:r>
      <w:r>
        <w:rPr>
          <w:rFonts w:hint="eastAsia" w:ascii="宋体" w:hAnsi="宋体" w:eastAsia="宋体" w:cs="宋体"/>
          <w:bCs/>
          <w:caps/>
          <w:sz w:val="28"/>
          <w:szCs w:val="72"/>
          <w:highlight w:val="none"/>
        </w:rPr>
        <w:instrText xml:space="preserve"> HYPERLINK \l _Toc10390 </w:instrText>
      </w:r>
      <w:r>
        <w:rPr>
          <w:rFonts w:hint="eastAsia" w:ascii="宋体" w:hAnsi="宋体" w:eastAsia="宋体" w:cs="宋体"/>
          <w:bCs/>
          <w:caps/>
          <w:sz w:val="28"/>
          <w:szCs w:val="72"/>
          <w:highlight w:val="none"/>
        </w:rPr>
        <w:fldChar w:fldCharType="separate"/>
      </w:r>
      <w:r>
        <w:rPr>
          <w:rFonts w:hint="eastAsia" w:ascii="宋体" w:hAnsi="宋体" w:eastAsia="宋体" w:cs="宋体"/>
          <w:sz w:val="28"/>
          <w:szCs w:val="52"/>
          <w:highlight w:val="none"/>
        </w:rPr>
        <w:t>第六章评审标准</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_Toc10390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77</w:t>
      </w:r>
      <w:r>
        <w:rPr>
          <w:rFonts w:hint="eastAsia" w:ascii="宋体" w:hAnsi="宋体" w:eastAsia="宋体" w:cs="宋体"/>
          <w:sz w:val="28"/>
          <w:szCs w:val="28"/>
          <w:highlight w:val="none"/>
        </w:rPr>
        <w:fldChar w:fldCharType="end"/>
      </w:r>
      <w:r>
        <w:rPr>
          <w:rFonts w:hint="eastAsia" w:ascii="宋体" w:hAnsi="宋体" w:eastAsia="宋体" w:cs="宋体"/>
          <w:bCs/>
          <w:caps/>
          <w:sz w:val="28"/>
          <w:szCs w:val="72"/>
          <w:highlight w:val="none"/>
        </w:rPr>
        <w:fldChar w:fldCharType="end"/>
      </w:r>
    </w:p>
    <w:p>
      <w:pPr>
        <w:spacing w:line="360" w:lineRule="auto"/>
        <w:ind w:left="567" w:leftChars="270"/>
        <w:rPr>
          <w:rFonts w:hint="eastAsia" w:ascii="宋体" w:hAnsi="宋体" w:eastAsia="宋体" w:cs="宋体"/>
          <w:b/>
          <w:bCs/>
          <w:sz w:val="40"/>
          <w:szCs w:val="40"/>
          <w:highlight w:val="none"/>
          <w:lang w:val="zh-CN"/>
        </w:rPr>
      </w:pPr>
      <w:r>
        <w:rPr>
          <w:rFonts w:hint="eastAsia" w:ascii="宋体" w:hAnsi="宋体" w:eastAsia="宋体" w:cs="宋体"/>
          <w:bCs/>
          <w:caps/>
          <w:sz w:val="32"/>
          <w:szCs w:val="72"/>
          <w:highlight w:val="none"/>
        </w:rPr>
        <w:fldChar w:fldCharType="end"/>
      </w:r>
    </w:p>
    <w:p>
      <w:pPr>
        <w:spacing w:line="600" w:lineRule="exact"/>
        <w:jc w:val="center"/>
        <w:outlineLvl w:val="0"/>
        <w:rPr>
          <w:rFonts w:hint="eastAsia" w:ascii="宋体" w:hAnsi="宋体" w:eastAsia="宋体" w:cs="宋体"/>
          <w:b/>
          <w:sz w:val="44"/>
          <w:szCs w:val="44"/>
          <w:highlight w:val="none"/>
        </w:rPr>
        <w:sectPr>
          <w:footerReference r:id="rId3" w:type="default"/>
          <w:pgSz w:w="11906" w:h="16838"/>
          <w:pgMar w:top="1440" w:right="1077" w:bottom="1440" w:left="1077" w:header="851" w:footer="992" w:gutter="0"/>
          <w:pgNumType w:start="0"/>
          <w:cols w:space="425" w:num="1"/>
          <w:titlePg/>
          <w:docGrid w:type="lines" w:linePitch="312" w:charSpace="0"/>
        </w:sectPr>
      </w:pPr>
    </w:p>
    <w:p>
      <w:pPr>
        <w:spacing w:after="156" w:afterLines="50"/>
        <w:jc w:val="center"/>
        <w:outlineLvl w:val="0"/>
        <w:rPr>
          <w:rFonts w:hint="eastAsia" w:ascii="宋体" w:hAnsi="宋体" w:eastAsia="宋体" w:cs="宋体"/>
          <w:b/>
          <w:sz w:val="36"/>
          <w:szCs w:val="36"/>
          <w:highlight w:val="none"/>
        </w:rPr>
      </w:pPr>
      <w:bookmarkStart w:id="1" w:name="_Toc20338"/>
      <w:r>
        <w:rPr>
          <w:rFonts w:hint="eastAsia" w:ascii="宋体" w:hAnsi="宋体" w:eastAsia="宋体" w:cs="宋体"/>
          <w:b/>
          <w:sz w:val="36"/>
          <w:szCs w:val="36"/>
          <w:highlight w:val="none"/>
        </w:rPr>
        <w:t>第一章竞争性磋商公告</w:t>
      </w:r>
      <w:bookmarkEnd w:id="1"/>
    </w:p>
    <w:p>
      <w:pPr>
        <w:rPr>
          <w:rFonts w:hint="eastAsia" w:ascii="宋体" w:hAnsi="宋体" w:eastAsia="宋体" w:cs="宋体"/>
          <w:b/>
          <w:szCs w:val="21"/>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采购人：</w:t>
      </w:r>
      <w:r>
        <w:rPr>
          <w:rFonts w:hint="eastAsia" w:ascii="宋体" w:hAnsi="宋体" w:cs="宋体"/>
          <w:b/>
          <w:bCs/>
          <w:color w:val="auto"/>
          <w:sz w:val="24"/>
          <w:highlight w:val="none"/>
          <w:lang w:val="en-US" w:eastAsia="zh-CN"/>
        </w:rPr>
        <w:t>山东省济宁市邹城市凫山街道后庙户营社区居民委员会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项目名称：</w:t>
      </w:r>
      <w:r>
        <w:rPr>
          <w:rFonts w:hint="eastAsia" w:ascii="宋体" w:hAnsi="宋体" w:cs="宋体"/>
          <w:b/>
          <w:bCs/>
          <w:color w:val="auto"/>
          <w:sz w:val="24"/>
          <w:highlight w:val="none"/>
          <w:lang w:val="en-US" w:eastAsia="zh-CN"/>
        </w:rPr>
        <w:t>邹城市凫山街道后庙社区自来水管改造工程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项目编号：</w:t>
      </w:r>
      <w:r>
        <w:rPr>
          <w:rFonts w:hint="eastAsia" w:ascii="宋体" w:hAnsi="宋体" w:cs="宋体"/>
          <w:b/>
          <w:bCs/>
          <w:color w:val="auto"/>
          <w:sz w:val="24"/>
          <w:highlight w:val="none"/>
          <w:lang w:val="en-US" w:eastAsia="zh-CN"/>
        </w:rPr>
        <w:t>SDYJ2023-CG-004</w:t>
      </w:r>
    </w:p>
    <w:p>
      <w:pPr>
        <w:pStyle w:val="33"/>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四、采购内容：本项目为</w:t>
      </w:r>
      <w:r>
        <w:rPr>
          <w:rFonts w:hint="eastAsia" w:ascii="宋体" w:hAnsi="宋体" w:cs="宋体"/>
          <w:b/>
          <w:bCs/>
          <w:color w:val="auto"/>
          <w:sz w:val="24"/>
          <w:highlight w:val="none"/>
          <w:lang w:val="en-US" w:eastAsia="zh-CN"/>
        </w:rPr>
        <w:t>邹城市凫山街道后庙社区自来水管改造工程</w:t>
      </w:r>
      <w:r>
        <w:rPr>
          <w:rFonts w:hint="eastAsia" w:ascii="宋体" w:hAnsi="宋体" w:eastAsia="宋体" w:cs="宋体"/>
          <w:b/>
          <w:bCs/>
          <w:color w:val="auto"/>
          <w:sz w:val="24"/>
          <w:highlight w:val="none"/>
          <w:lang w:val="en-US" w:eastAsia="zh-CN"/>
        </w:rPr>
        <w:t>，具体详见第三章工程量清单。</w:t>
      </w:r>
    </w:p>
    <w:p>
      <w:pPr>
        <w:pStyle w:val="33"/>
        <w:ind w:firstLine="964" w:firstLineChars="4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预算金额：808768.70元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（1）具有独立承担民事责任的能力并满足竞争性磋商文件要求的供应商；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（2）须遵守《中华人民共和国政府采购法》及相关法律、法规和规章；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（3）单位负责人为同一人或者存在控股、管理关系的不同单位，不得同时参加同一项目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或同一包组的报价；生产厂家的母公司、全资子公司、控股公司，只能有一家参加同一项目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编号的报价，前期参与本项目设计、监理、预算等其它为本项目提供咨询的单位不得参与本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（4）供应商须具备有效的营业执照，并在人员、设备、资金等方面具有相应的能力；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（5）具有良好的商业信誉和健全的财务会计制度。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（7）供应商信用状况良好，未被列入经营异常名录或者严重违法企业名单，不得存在相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关行贿犯罪记录；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2.落实政府采购政策需满足的资格要求：本项目只接受中小业参与投标且须提供《中小企业声明函》。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3.本项目的特定资格要求：供应商须具备</w:t>
      </w:r>
      <w:r>
        <w:rPr>
          <w:rFonts w:hint="eastAsia" w:ascii="宋体" w:hAnsi="宋体" w:eastAsia="宋体" w:cs="宋体"/>
          <w:b/>
          <w:bCs/>
          <w:sz w:val="24"/>
          <w:highlight w:val="none"/>
          <w:lang w:val="en-US" w:eastAsia="zh-CN"/>
        </w:rPr>
        <w:t>市政公用工程施工总承包三级及以上</w:t>
      </w:r>
      <w:r>
        <w:rPr>
          <w:rFonts w:hint="eastAsia" w:ascii="宋体" w:hAnsi="宋体" w:eastAsia="宋体" w:cs="宋体"/>
          <w:b w:val="0"/>
          <w:bCs w:val="0"/>
          <w:sz w:val="24"/>
          <w:highlight w:val="none"/>
          <w:lang w:val="en-US" w:eastAsia="zh-CN"/>
        </w:rPr>
        <w:t>资质，并在人员、设备、资金等方面具有相应的施工能力，无拖欠农民工工资的不良行为。其中，供应商拟派项目经理须具备本单位注册的</w:t>
      </w:r>
      <w:r>
        <w:rPr>
          <w:rFonts w:hint="eastAsia" w:ascii="宋体" w:hAnsi="宋体" w:eastAsia="宋体" w:cs="宋体"/>
          <w:b/>
          <w:bCs/>
          <w:sz w:val="24"/>
          <w:highlight w:val="none"/>
          <w:lang w:val="en-US" w:eastAsia="zh-CN"/>
        </w:rPr>
        <w:t>市政公用工程专业贰级及以上注册建造师</w:t>
      </w:r>
      <w:r>
        <w:rPr>
          <w:rFonts w:hint="eastAsia" w:ascii="宋体" w:hAnsi="宋体" w:eastAsia="宋体" w:cs="宋体"/>
          <w:b w:val="0"/>
          <w:bCs w:val="0"/>
          <w:sz w:val="24"/>
          <w:highlight w:val="none"/>
          <w:lang w:val="en-US" w:eastAsia="zh-CN"/>
        </w:rPr>
        <w:t>执业资格并具备有效的</w:t>
      </w:r>
      <w:r>
        <w:rPr>
          <w:rFonts w:hint="eastAsia" w:ascii="宋体" w:hAnsi="宋体" w:eastAsia="宋体" w:cs="宋体"/>
          <w:b/>
          <w:bCs/>
          <w:sz w:val="24"/>
          <w:highlight w:val="none"/>
          <w:lang w:val="en-US" w:eastAsia="zh-CN"/>
        </w:rPr>
        <w:t>安全生产考核合格证书</w:t>
      </w:r>
      <w:r>
        <w:rPr>
          <w:rFonts w:hint="eastAsia" w:ascii="宋体" w:hAnsi="宋体" w:eastAsia="宋体" w:cs="宋体"/>
          <w:b w:val="0"/>
          <w:bCs w:val="0"/>
          <w:sz w:val="24"/>
          <w:highlight w:val="none"/>
          <w:lang w:val="en-US" w:eastAsia="zh-CN"/>
        </w:rPr>
        <w:t>，且未担任其他在施建设工程项目的项目经理。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4.本项目为资格后审。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z w:val="24"/>
          <w:highlight w:val="none"/>
          <w:lang w:val="en-US" w:eastAsia="zh-CN"/>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、磋商文件获取时间及方式</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color w:val="auto"/>
          <w:sz w:val="24"/>
          <w:highlight w:val="none"/>
          <w:shd w:val="clear" w:fill="FFFFFF" w:themeFill="background1"/>
        </w:rPr>
        <w:t>1、时间：202</w:t>
      </w:r>
      <w:r>
        <w:rPr>
          <w:rFonts w:hint="eastAsia" w:ascii="宋体" w:hAnsi="宋体" w:cs="宋体"/>
          <w:bCs/>
          <w:color w:val="auto"/>
          <w:sz w:val="24"/>
          <w:highlight w:val="none"/>
          <w:shd w:val="clear" w:fill="FFFFFF" w:themeFill="background1"/>
          <w:lang w:val="en-US" w:eastAsia="zh-CN"/>
        </w:rPr>
        <w:t>3</w:t>
      </w:r>
      <w:r>
        <w:rPr>
          <w:rFonts w:hint="eastAsia" w:ascii="宋体" w:hAnsi="宋体" w:eastAsia="宋体" w:cs="宋体"/>
          <w:bCs/>
          <w:color w:val="auto"/>
          <w:sz w:val="24"/>
          <w:highlight w:val="none"/>
          <w:shd w:val="clear" w:fill="FFFFFF" w:themeFill="background1"/>
        </w:rPr>
        <w:t>年</w:t>
      </w:r>
      <w:r>
        <w:rPr>
          <w:rFonts w:hint="eastAsia" w:ascii="宋体" w:hAnsi="宋体" w:cs="宋体"/>
          <w:bCs/>
          <w:color w:val="auto"/>
          <w:sz w:val="24"/>
          <w:highlight w:val="none"/>
          <w:shd w:val="clear" w:fill="FFFFFF" w:themeFill="background1"/>
          <w:lang w:val="en-US" w:eastAsia="zh-CN"/>
        </w:rPr>
        <w:t>3</w:t>
      </w:r>
      <w:r>
        <w:rPr>
          <w:rFonts w:hint="eastAsia" w:ascii="宋体" w:hAnsi="宋体" w:eastAsia="宋体" w:cs="宋体"/>
          <w:bCs/>
          <w:color w:val="auto"/>
          <w:sz w:val="24"/>
          <w:highlight w:val="none"/>
          <w:shd w:val="clear" w:fill="FFFFFF" w:themeFill="background1"/>
        </w:rPr>
        <w:t>月</w:t>
      </w:r>
      <w:r>
        <w:rPr>
          <w:rFonts w:hint="eastAsia" w:ascii="宋体" w:hAnsi="宋体" w:cs="宋体"/>
          <w:bCs/>
          <w:color w:val="auto"/>
          <w:sz w:val="24"/>
          <w:highlight w:val="none"/>
          <w:shd w:val="clear" w:fill="FFFFFF" w:themeFill="background1"/>
          <w:lang w:val="en-US" w:eastAsia="zh-CN"/>
        </w:rPr>
        <w:t>28</w:t>
      </w:r>
      <w:r>
        <w:rPr>
          <w:rFonts w:hint="eastAsia" w:ascii="宋体" w:hAnsi="宋体" w:eastAsia="宋体" w:cs="宋体"/>
          <w:bCs/>
          <w:color w:val="auto"/>
          <w:sz w:val="24"/>
          <w:highlight w:val="none"/>
          <w:shd w:val="clear" w:fill="FFFFFF" w:themeFill="background1"/>
        </w:rPr>
        <w:t>日至202</w:t>
      </w:r>
      <w:r>
        <w:rPr>
          <w:rFonts w:hint="eastAsia" w:ascii="宋体" w:hAnsi="宋体" w:cs="宋体"/>
          <w:bCs/>
          <w:color w:val="auto"/>
          <w:sz w:val="24"/>
          <w:highlight w:val="none"/>
          <w:shd w:val="clear" w:fill="FFFFFF" w:themeFill="background1"/>
          <w:lang w:val="en-US" w:eastAsia="zh-CN"/>
        </w:rPr>
        <w:t>3</w:t>
      </w:r>
      <w:r>
        <w:rPr>
          <w:rFonts w:hint="eastAsia" w:ascii="宋体" w:hAnsi="宋体" w:eastAsia="宋体" w:cs="宋体"/>
          <w:bCs/>
          <w:color w:val="auto"/>
          <w:sz w:val="24"/>
          <w:highlight w:val="none"/>
          <w:shd w:val="clear" w:fill="FFFFFF" w:themeFill="background1"/>
        </w:rPr>
        <w:t>年</w:t>
      </w:r>
      <w:r>
        <w:rPr>
          <w:rFonts w:hint="eastAsia" w:ascii="宋体" w:hAnsi="宋体" w:cs="宋体"/>
          <w:bCs/>
          <w:color w:val="auto"/>
          <w:sz w:val="24"/>
          <w:highlight w:val="none"/>
          <w:shd w:val="clear" w:fill="FFFFFF" w:themeFill="background1"/>
          <w:lang w:val="en-US" w:eastAsia="zh-CN"/>
        </w:rPr>
        <w:t>4</w:t>
      </w:r>
      <w:r>
        <w:rPr>
          <w:rFonts w:hint="eastAsia" w:ascii="宋体" w:hAnsi="宋体" w:eastAsia="宋体" w:cs="宋体"/>
          <w:bCs/>
          <w:color w:val="auto"/>
          <w:sz w:val="24"/>
          <w:highlight w:val="none"/>
          <w:shd w:val="clear" w:fill="FFFFFF" w:themeFill="background1"/>
        </w:rPr>
        <w:t>月</w:t>
      </w:r>
      <w:r>
        <w:rPr>
          <w:rFonts w:hint="eastAsia" w:ascii="宋体" w:hAnsi="宋体" w:cs="宋体"/>
          <w:bCs/>
          <w:color w:val="auto"/>
          <w:sz w:val="24"/>
          <w:highlight w:val="none"/>
          <w:shd w:val="clear" w:fill="FFFFFF" w:themeFill="background1"/>
          <w:lang w:val="en-US" w:eastAsia="zh-CN"/>
        </w:rPr>
        <w:t>10</w:t>
      </w:r>
      <w:r>
        <w:rPr>
          <w:rFonts w:hint="eastAsia" w:ascii="宋体" w:hAnsi="宋体" w:eastAsia="宋体" w:cs="宋体"/>
          <w:bCs/>
          <w:color w:val="auto"/>
          <w:sz w:val="24"/>
          <w:highlight w:val="none"/>
          <w:shd w:val="clear" w:fill="FFFFFF" w:themeFill="background1"/>
        </w:rPr>
        <w:t>日</w:t>
      </w:r>
      <w:r>
        <w:rPr>
          <w:rFonts w:hint="eastAsia" w:ascii="宋体" w:hAnsi="宋体" w:cs="宋体"/>
          <w:bCs/>
          <w:color w:val="auto"/>
          <w:sz w:val="24"/>
          <w:highlight w:val="none"/>
          <w:shd w:val="clear" w:fill="FFFFFF" w:themeFill="background1"/>
          <w:lang w:val="en-US" w:eastAsia="zh-CN"/>
        </w:rPr>
        <w:t>9</w:t>
      </w:r>
      <w:r>
        <w:rPr>
          <w:rFonts w:hint="eastAsia" w:ascii="宋体" w:hAnsi="宋体" w:eastAsia="宋体" w:cs="宋体"/>
          <w:bCs/>
          <w:color w:val="auto"/>
          <w:sz w:val="24"/>
          <w:highlight w:val="none"/>
          <w:shd w:val="clear" w:fill="FFFFFF" w:themeFill="background1"/>
        </w:rPr>
        <w:t>：</w:t>
      </w:r>
      <w:r>
        <w:rPr>
          <w:rFonts w:hint="eastAsia" w:ascii="宋体" w:hAnsi="宋体" w:cs="宋体"/>
          <w:bCs/>
          <w:color w:val="auto"/>
          <w:sz w:val="24"/>
          <w:highlight w:val="none"/>
          <w:shd w:val="clear" w:fill="FFFFFF" w:themeFill="background1"/>
          <w:lang w:val="en-US" w:eastAsia="zh-CN"/>
        </w:rPr>
        <w:t>3</w:t>
      </w:r>
      <w:r>
        <w:rPr>
          <w:rFonts w:hint="eastAsia" w:ascii="宋体" w:hAnsi="宋体" w:eastAsia="宋体" w:cs="宋体"/>
          <w:bCs/>
          <w:color w:val="auto"/>
          <w:sz w:val="24"/>
          <w:highlight w:val="none"/>
          <w:shd w:val="clear" w:fill="FFFFFF" w:themeFill="background1"/>
        </w:rPr>
        <w:t>0前（北京时间</w:t>
      </w:r>
      <w:r>
        <w:rPr>
          <w:rFonts w:hint="eastAsia" w:ascii="宋体" w:hAnsi="宋体" w:eastAsia="宋体" w:cs="宋体"/>
          <w:bCs/>
          <w:sz w:val="24"/>
          <w:highlight w:val="none"/>
          <w:shd w:val="clear" w:fill="FFFFFF" w:themeFill="background1"/>
        </w:rPr>
        <w:t>，</w:t>
      </w:r>
      <w:r>
        <w:rPr>
          <w:rFonts w:hint="eastAsia" w:ascii="宋体" w:hAnsi="宋体" w:eastAsia="宋体" w:cs="宋体"/>
          <w:bCs/>
          <w:sz w:val="24"/>
          <w:highlight w:val="none"/>
        </w:rPr>
        <w:t>节假日除外）；</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磋商文件获取方式：磋商响应方不必办理报名手续，登录邹城市外宣网(http://www.mencius.gov.cn/)-投资邹城-乡村零星采购直接点击公告下方附件下载竞争性磋商文件。</w:t>
      </w:r>
    </w:p>
    <w:p>
      <w:pPr>
        <w:pStyle w:val="34"/>
        <w:spacing w:line="360" w:lineRule="auto"/>
        <w:rPr>
          <w:rFonts w:hint="eastAsia" w:ascii="宋体" w:hAnsi="宋体" w:eastAsia="宋体" w:cs="宋体"/>
          <w:highlight w:val="none"/>
          <w:lang w:val="en-US" w:eastAsia="zh-CN"/>
        </w:rPr>
      </w:pPr>
      <w:r>
        <w:rPr>
          <w:rFonts w:hint="eastAsia" w:ascii="宋体" w:hAnsi="宋体" w:eastAsia="宋体" w:cs="宋体"/>
          <w:bCs/>
          <w:color w:val="auto"/>
          <w:sz w:val="24"/>
          <w:highlight w:val="none"/>
          <w:lang w:val="en-US" w:eastAsia="zh-CN"/>
        </w:rPr>
        <w:t>3、售价：0元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七</w:t>
      </w:r>
      <w:r>
        <w:rPr>
          <w:rFonts w:hint="eastAsia" w:ascii="宋体" w:hAnsi="宋体" w:eastAsia="宋体" w:cs="宋体"/>
          <w:b/>
          <w:bCs w:val="0"/>
          <w:color w:val="auto"/>
          <w:sz w:val="24"/>
          <w:highlight w:val="none"/>
        </w:rPr>
        <w:t>、磋商响应文件的递交时间及地点：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eastAsia="zh-CN"/>
        </w:rPr>
        <w:t>山东省济宁市邹城市凫山街道后庙户营社区居民委员会</w:t>
      </w:r>
      <w:r>
        <w:rPr>
          <w:rFonts w:hint="eastAsia" w:ascii="宋体" w:hAnsi="宋体" w:eastAsia="宋体" w:cs="宋体"/>
          <w:bCs/>
          <w:color w:val="auto"/>
          <w:sz w:val="24"/>
          <w:highlight w:val="none"/>
        </w:rPr>
        <w:t>于202</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时</w:t>
      </w:r>
      <w:r>
        <w:rPr>
          <w:rFonts w:hint="eastAsia" w:ascii="宋体" w:hAnsi="宋体" w:cs="宋体"/>
          <w:bCs/>
          <w:color w:val="auto"/>
          <w:sz w:val="24"/>
          <w:highlight w:val="none"/>
          <w:lang w:val="en-US" w:eastAsia="zh-CN"/>
        </w:rPr>
        <w:t>30</w:t>
      </w:r>
      <w:r>
        <w:rPr>
          <w:rFonts w:hint="eastAsia" w:ascii="宋体" w:hAnsi="宋体" w:eastAsia="宋体" w:cs="宋体"/>
          <w:bCs/>
          <w:color w:val="auto"/>
          <w:sz w:val="24"/>
          <w:highlight w:val="none"/>
        </w:rPr>
        <w:t>分（北京时间）磋商开始前在</w:t>
      </w:r>
      <w:r>
        <w:rPr>
          <w:rFonts w:hint="eastAsia" w:ascii="宋体" w:hAnsi="宋体" w:eastAsia="宋体" w:cs="宋体"/>
          <w:bCs/>
          <w:color w:val="auto"/>
          <w:sz w:val="24"/>
          <w:highlight w:val="none"/>
          <w:lang w:eastAsia="zh-CN"/>
        </w:rPr>
        <w:t>邹城市凫山街道公共资源交易中心开标室</w:t>
      </w:r>
      <w:r>
        <w:rPr>
          <w:rFonts w:hint="eastAsia" w:ascii="宋体" w:hAnsi="宋体" w:eastAsia="宋体" w:cs="宋体"/>
          <w:bCs/>
          <w:color w:val="auto"/>
          <w:sz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2、逾期送达或未送达指定地点的磋商响应文件，采购人不予受理。</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、开标时间及地点</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1、时间：</w:t>
      </w:r>
      <w:r>
        <w:rPr>
          <w:rFonts w:hint="eastAsia" w:ascii="宋体" w:hAnsi="宋体" w:eastAsia="宋体" w:cs="宋体"/>
          <w:bCs/>
          <w:color w:val="auto"/>
          <w:sz w:val="24"/>
          <w:highlight w:val="none"/>
          <w:lang w:eastAsia="zh-CN"/>
        </w:rPr>
        <w:t>202</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eastAsia="zh-CN"/>
        </w:rPr>
        <w:t>年</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eastAsia="zh-CN"/>
        </w:rPr>
        <w:t>月</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eastAsia="zh-CN"/>
        </w:rPr>
        <w:t>日</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eastAsia="zh-CN"/>
        </w:rPr>
        <w:t>0</w:t>
      </w:r>
      <w:r>
        <w:rPr>
          <w:rFonts w:hint="eastAsia" w:ascii="宋体" w:hAnsi="宋体" w:eastAsia="宋体" w:cs="宋体"/>
          <w:bCs/>
          <w:color w:val="auto"/>
          <w:sz w:val="24"/>
          <w:highlight w:val="none"/>
        </w:rPr>
        <w:t>(北京时间）</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highlight w:val="none"/>
          <w:shd w:val="clear" w:fill="FFFFFF" w:themeFill="background1"/>
          <w:lang w:val="en-US" w:eastAsia="zh-CN"/>
        </w:rPr>
      </w:pPr>
      <w:r>
        <w:rPr>
          <w:rFonts w:hint="eastAsia" w:ascii="宋体" w:hAnsi="宋体" w:eastAsia="宋体" w:cs="宋体"/>
          <w:bCs/>
          <w:sz w:val="24"/>
          <w:highlight w:val="none"/>
        </w:rPr>
        <w:t>2、地点：</w:t>
      </w:r>
      <w:r>
        <w:rPr>
          <w:rFonts w:hint="eastAsia" w:ascii="宋体" w:hAnsi="宋体" w:eastAsia="宋体" w:cs="宋体"/>
          <w:sz w:val="24"/>
          <w:highlight w:val="none"/>
          <w:shd w:val="clear" w:fill="FFFFFF" w:themeFill="background1"/>
          <w:lang w:val="en-US" w:eastAsia="zh-CN"/>
        </w:rPr>
        <w:t>邹城市凫山街道公共资源交易中心开标室</w:t>
      </w:r>
    </w:p>
    <w:p>
      <w:pPr>
        <w:spacing w:line="360" w:lineRule="auto"/>
        <w:ind w:firstLine="482" w:firstLineChars="200"/>
        <w:jc w:val="both"/>
        <w:outlineLvl w:val="1"/>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九</w:t>
      </w: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1、采购人：</w:t>
      </w:r>
      <w:r>
        <w:rPr>
          <w:rFonts w:hint="eastAsia" w:ascii="宋体" w:hAnsi="宋体" w:cs="宋体"/>
          <w:bCs/>
          <w:color w:val="auto"/>
          <w:sz w:val="24"/>
          <w:highlight w:val="none"/>
          <w:lang w:eastAsia="zh-CN"/>
        </w:rPr>
        <w:t>山东省济宁市邹城市凫山街道后庙户营社区居民委员会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lang w:eastAsia="zh-CN"/>
        </w:rPr>
        <w:t>山东省邹城市凫山街道后庙户营社区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联系人：</w:t>
      </w:r>
      <w:r>
        <w:rPr>
          <w:rFonts w:hint="eastAsia" w:ascii="宋体" w:hAnsi="宋体" w:cs="宋体"/>
          <w:bCs/>
          <w:color w:val="auto"/>
          <w:sz w:val="24"/>
          <w:highlight w:val="none"/>
          <w:lang w:val="en-US" w:eastAsia="zh-CN"/>
        </w:rPr>
        <w:t>王书记</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联系电话：</w:t>
      </w:r>
      <w:r>
        <w:rPr>
          <w:rFonts w:hint="eastAsia" w:ascii="宋体" w:hAnsi="宋体" w:cs="宋体"/>
          <w:bCs/>
          <w:color w:val="auto"/>
          <w:sz w:val="24"/>
          <w:highlight w:val="none"/>
          <w:lang w:val="en-US" w:eastAsia="zh-CN"/>
        </w:rPr>
        <w:t>13176797164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招标代理机构：</w:t>
      </w:r>
      <w:r>
        <w:rPr>
          <w:rFonts w:hint="eastAsia" w:ascii="宋体" w:hAnsi="宋体" w:eastAsia="宋体" w:cs="宋体"/>
          <w:bCs/>
          <w:color w:val="auto"/>
          <w:sz w:val="24"/>
          <w:highlight w:val="none"/>
          <w:lang w:eastAsia="zh-CN"/>
        </w:rPr>
        <w:t>山东越甲项目管理咨询有限公司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lang w:eastAsia="zh-CN"/>
        </w:rPr>
        <w:t>济宁市高新区产学研基地T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栋8007室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联系人：</w:t>
      </w:r>
      <w:r>
        <w:rPr>
          <w:rFonts w:hint="eastAsia" w:ascii="宋体" w:hAnsi="宋体" w:eastAsia="宋体" w:cs="宋体"/>
          <w:bCs/>
          <w:color w:val="auto"/>
          <w:sz w:val="24"/>
          <w:highlight w:val="none"/>
          <w:lang w:eastAsia="zh-CN"/>
        </w:rPr>
        <w:t>刘宇</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联系电话：</w:t>
      </w:r>
      <w:r>
        <w:rPr>
          <w:rFonts w:hint="eastAsia" w:ascii="宋体" w:hAnsi="宋体" w:eastAsia="宋体" w:cs="宋体"/>
          <w:bCs/>
          <w:color w:val="auto"/>
          <w:sz w:val="24"/>
          <w:highlight w:val="none"/>
          <w:lang w:eastAsia="zh-CN"/>
        </w:rPr>
        <w:t>17777786730</w:t>
      </w:r>
    </w:p>
    <w:p>
      <w:pPr>
        <w:spacing w:line="360" w:lineRule="auto"/>
        <w:ind w:firstLine="482" w:firstLineChars="200"/>
        <w:jc w:val="both"/>
        <w:outlineLvl w:val="1"/>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十、重要说明</w:t>
      </w:r>
    </w:p>
    <w:p>
      <w:pPr>
        <w:spacing w:line="360" w:lineRule="auto"/>
        <w:ind w:firstLine="480" w:firstLineChars="200"/>
        <w:jc w:val="both"/>
        <w:outlineLvl w:val="1"/>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1、施工期间地方关系的协调由成交单位自行处理。</w:t>
      </w:r>
    </w:p>
    <w:p>
      <w:pPr>
        <w:spacing w:line="360" w:lineRule="auto"/>
        <w:ind w:firstLine="480" w:firstLineChars="200"/>
        <w:jc w:val="both"/>
        <w:outlineLvl w:val="1"/>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竞争性磋商文件一经在邹城市外宣网（http://www.mencius.gov.cn/）发布，视作已发放给所有潜在供应商（发布时间即为发出磋商文件的时间），各供应商应随时关注邹城市外宣网（http://www.mencius.gov.cn/）下载电子版竞争性磋商文件，否则所造成的一切后果由供应商自负。</w:t>
      </w:r>
    </w:p>
    <w:p>
      <w:pPr>
        <w:spacing w:line="360" w:lineRule="auto"/>
        <w:ind w:firstLine="480" w:firstLineChars="200"/>
        <w:jc w:val="both"/>
        <w:outlineLvl w:val="1"/>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本项目如有必要澄清和修改需要发布变更公告的，将在邹城市外宣网（http://www.mencius.gov.cn/）及时发布。请各潜在供应商及时关注相关信息。同时，依据相关法律法规规定，变更公告一旦发布即视为以书面形式通知所有潜在供应商。</w:t>
      </w:r>
    </w:p>
    <w:p>
      <w:pPr>
        <w:pStyle w:val="34"/>
        <w:rPr>
          <w:rFonts w:hint="eastAsia" w:ascii="宋体" w:hAnsi="宋体" w:eastAsia="宋体" w:cs="宋体"/>
          <w:b w:val="0"/>
          <w:bCs w:val="0"/>
          <w:sz w:val="24"/>
          <w:highlight w:val="none"/>
          <w:lang w:val="en-US" w:eastAsia="zh-CN"/>
        </w:rPr>
      </w:pPr>
    </w:p>
    <w:p>
      <w:pPr>
        <w:pStyle w:val="34"/>
        <w:ind w:left="0" w:leftChars="0" w:firstLine="0" w:firstLineChars="0"/>
        <w:rPr>
          <w:rFonts w:hint="eastAsia" w:ascii="宋体" w:hAnsi="宋体" w:eastAsia="宋体" w:cs="宋体"/>
          <w:highlight w:val="none"/>
          <w:lang w:val="en-US" w:eastAsia="zh-CN"/>
        </w:rPr>
      </w:pPr>
    </w:p>
    <w:p>
      <w:pPr>
        <w:spacing w:line="360" w:lineRule="auto"/>
        <w:ind w:firstLine="480" w:firstLineChars="200"/>
        <w:jc w:val="righ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202</w:t>
      </w:r>
      <w:r>
        <w:rPr>
          <w:rFonts w:hint="eastAsia" w:ascii="宋体" w:hAnsi="宋体" w:cs="宋体"/>
          <w:bCs/>
          <w:sz w:val="24"/>
          <w:highlight w:val="none"/>
          <w:lang w:val="en-US" w:eastAsia="zh-CN"/>
        </w:rPr>
        <w:t>3</w:t>
      </w:r>
      <w:r>
        <w:rPr>
          <w:rFonts w:hint="eastAsia" w:ascii="宋体" w:hAnsi="宋体" w:eastAsia="宋体" w:cs="宋体"/>
          <w:bCs/>
          <w:sz w:val="24"/>
          <w:highlight w:val="none"/>
          <w:lang w:val="en-US" w:eastAsia="zh-CN"/>
        </w:rPr>
        <w:t>年</w:t>
      </w:r>
      <w:r>
        <w:rPr>
          <w:rFonts w:hint="eastAsia" w:ascii="宋体" w:hAnsi="宋体" w:cs="宋体"/>
          <w:bCs/>
          <w:sz w:val="24"/>
          <w:highlight w:val="none"/>
          <w:lang w:val="en-US" w:eastAsia="zh-CN"/>
        </w:rPr>
        <w:t>3</w:t>
      </w:r>
      <w:r>
        <w:rPr>
          <w:rFonts w:hint="eastAsia" w:ascii="宋体" w:hAnsi="宋体" w:eastAsia="宋体" w:cs="宋体"/>
          <w:bCs/>
          <w:sz w:val="24"/>
          <w:highlight w:val="none"/>
          <w:lang w:val="en-US" w:eastAsia="zh-CN"/>
        </w:rPr>
        <w:t>月</w:t>
      </w:r>
      <w:r>
        <w:rPr>
          <w:rFonts w:hint="eastAsia" w:ascii="宋体" w:hAnsi="宋体" w:cs="宋体"/>
          <w:bCs/>
          <w:sz w:val="24"/>
          <w:highlight w:val="none"/>
          <w:lang w:val="en-US" w:eastAsia="zh-CN"/>
        </w:rPr>
        <w:t>28</w:t>
      </w:r>
      <w:r>
        <w:rPr>
          <w:rFonts w:hint="eastAsia" w:ascii="宋体" w:hAnsi="宋体" w:eastAsia="宋体" w:cs="宋体"/>
          <w:bCs/>
          <w:sz w:val="24"/>
          <w:highlight w:val="none"/>
          <w:lang w:val="en-US" w:eastAsia="zh-CN"/>
        </w:rPr>
        <w:t>日</w:t>
      </w:r>
    </w:p>
    <w:p>
      <w:pPr>
        <w:spacing w:after="156" w:afterLines="50"/>
        <w:jc w:val="center"/>
        <w:outlineLvl w:val="0"/>
        <w:rPr>
          <w:rFonts w:hint="eastAsia" w:ascii="宋体" w:hAnsi="宋体" w:eastAsia="宋体" w:cs="宋体"/>
          <w:b/>
          <w:sz w:val="36"/>
          <w:szCs w:val="36"/>
          <w:highlight w:val="none"/>
        </w:rPr>
      </w:pPr>
      <w:bookmarkStart w:id="2" w:name="_Toc18865"/>
    </w:p>
    <w:p>
      <w:pPr>
        <w:pStyle w:val="33"/>
        <w:rPr>
          <w:rFonts w:hint="eastAsia" w:ascii="宋体" w:hAnsi="宋体" w:eastAsia="宋体" w:cs="宋体"/>
          <w:b/>
          <w:sz w:val="36"/>
          <w:szCs w:val="36"/>
          <w:highlight w:val="none"/>
        </w:rPr>
      </w:pPr>
    </w:p>
    <w:p>
      <w:pPr>
        <w:pStyle w:val="33"/>
        <w:rPr>
          <w:rFonts w:hint="eastAsia" w:ascii="宋体" w:hAnsi="宋体" w:eastAsia="宋体" w:cs="宋体"/>
          <w:b/>
          <w:sz w:val="36"/>
          <w:szCs w:val="36"/>
          <w:highlight w:val="none"/>
        </w:rPr>
      </w:pPr>
    </w:p>
    <w:p>
      <w:pPr>
        <w:spacing w:after="156" w:afterLines="50"/>
        <w:jc w:val="center"/>
        <w:outlineLvl w:val="0"/>
        <w:rPr>
          <w:rFonts w:hint="eastAsia" w:ascii="宋体" w:hAnsi="宋体" w:eastAsia="宋体" w:cs="宋体"/>
          <w:b/>
          <w:sz w:val="32"/>
          <w:szCs w:val="32"/>
          <w:highlight w:val="none"/>
        </w:rPr>
      </w:pPr>
      <w:r>
        <w:rPr>
          <w:rFonts w:hint="eastAsia" w:ascii="宋体" w:hAnsi="宋体" w:eastAsia="宋体" w:cs="宋体"/>
          <w:b/>
          <w:sz w:val="36"/>
          <w:szCs w:val="36"/>
          <w:highlight w:val="none"/>
        </w:rPr>
        <w:t>第二章供应商须知</w:t>
      </w:r>
      <w:bookmarkEnd w:id="2"/>
    </w:p>
    <w:p>
      <w:pPr>
        <w:spacing w:after="156" w:afterLines="50"/>
        <w:jc w:val="center"/>
        <w:outlineLvl w:val="1"/>
        <w:rPr>
          <w:rFonts w:hint="eastAsia" w:ascii="宋体" w:hAnsi="宋体" w:eastAsia="宋体" w:cs="宋体"/>
          <w:b/>
          <w:sz w:val="28"/>
          <w:szCs w:val="28"/>
          <w:highlight w:val="none"/>
        </w:rPr>
      </w:pPr>
      <w:bookmarkStart w:id="3" w:name="_Toc312072225"/>
      <w:r>
        <w:rPr>
          <w:rFonts w:hint="eastAsia" w:ascii="宋体" w:hAnsi="宋体" w:eastAsia="宋体" w:cs="宋体"/>
          <w:b/>
          <w:sz w:val="28"/>
          <w:szCs w:val="28"/>
          <w:highlight w:val="none"/>
        </w:rPr>
        <w:t>供应商须知前附表</w:t>
      </w:r>
      <w:bookmarkEnd w:id="3"/>
    </w:p>
    <w:tbl>
      <w:tblPr>
        <w:tblStyle w:val="31"/>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255"/>
        <w:gridCol w:w="6970"/>
      </w:tblGrid>
      <w:tr>
        <w:tblPrEx>
          <w:tblLayout w:type="fixed"/>
        </w:tblPrEx>
        <w:trPr>
          <w:trHeight w:val="567" w:hRule="atLeast"/>
          <w:jc w:val="center"/>
        </w:trPr>
        <w:tc>
          <w:tcPr>
            <w:tcW w:w="830"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55"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6970"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编列内容</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5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970" w:type="dxa"/>
            <w:vAlign w:val="center"/>
          </w:tcPr>
          <w:p>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采购单位：</w:t>
            </w:r>
            <w:r>
              <w:rPr>
                <w:rFonts w:hint="eastAsia" w:ascii="宋体" w:hAnsi="宋体" w:cs="宋体"/>
                <w:bCs/>
                <w:color w:val="auto"/>
                <w:sz w:val="24"/>
                <w:szCs w:val="24"/>
                <w:highlight w:val="none"/>
                <w:lang w:eastAsia="zh-CN"/>
              </w:rPr>
              <w:t>山东省济宁市邹城市凫山街道后庙户营社区居民委员会</w:t>
            </w:r>
          </w:p>
          <w:p>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联系人：</w:t>
            </w:r>
            <w:r>
              <w:rPr>
                <w:rFonts w:hint="eastAsia" w:ascii="宋体" w:hAnsi="宋体" w:cs="宋体"/>
                <w:bCs/>
                <w:color w:val="auto"/>
                <w:sz w:val="24"/>
                <w:szCs w:val="24"/>
                <w:highlight w:val="none"/>
                <w:lang w:eastAsia="zh-CN"/>
              </w:rPr>
              <w:t>王书记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cs="宋体"/>
                <w:bCs/>
                <w:color w:val="auto"/>
                <w:sz w:val="24"/>
                <w:szCs w:val="24"/>
                <w:highlight w:val="none"/>
                <w:lang w:val="en-US" w:eastAsia="zh-CN"/>
              </w:rPr>
              <w:t>13176797164</w:t>
            </w:r>
          </w:p>
        </w:tc>
      </w:tr>
      <w:tr>
        <w:tblPrEx>
          <w:tblLayout w:type="fixed"/>
        </w:tblPrEx>
        <w:trPr>
          <w:trHeight w:val="833" w:hRule="atLeast"/>
          <w:jc w:val="center"/>
        </w:trPr>
        <w:tc>
          <w:tcPr>
            <w:tcW w:w="83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5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970" w:type="dxa"/>
            <w:vAlign w:val="center"/>
          </w:tcPr>
          <w:p>
            <w:pPr>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采购代理机构：山东越甲项目管理咨询有限公司</w:t>
            </w:r>
          </w:p>
          <w:p>
            <w:pPr>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联系人：刘宇</w:t>
            </w:r>
          </w:p>
          <w:p>
            <w:pPr>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联系电话：17777786730</w:t>
            </w:r>
          </w:p>
          <w:p>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lang w:val="en-US" w:eastAsia="zh-CN"/>
              </w:rPr>
              <w:t>邮箱：jndyfgs@163.com</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55"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tc>
        <w:tc>
          <w:tcPr>
            <w:tcW w:w="6970" w:type="dxa"/>
            <w:vAlign w:val="center"/>
          </w:tcPr>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邹城市凫山街道后庙社区自来水管改造工程</w:t>
            </w:r>
            <w:r>
              <w:rPr>
                <w:rFonts w:hint="eastAsia" w:ascii="宋体" w:hAnsi="宋体" w:eastAsia="宋体" w:cs="宋体"/>
                <w:kern w:val="0"/>
                <w:sz w:val="24"/>
                <w:szCs w:val="24"/>
                <w:highlight w:val="none"/>
                <w:lang w:val="en-US" w:eastAsia="zh-CN"/>
              </w:rPr>
              <w:t>，具体详见第三章工程量清单。</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55"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6970" w:type="dxa"/>
            <w:vAlign w:val="center"/>
          </w:tcPr>
          <w:p>
            <w:pPr>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济宁市</w:t>
            </w:r>
            <w:r>
              <w:rPr>
                <w:rFonts w:hint="eastAsia" w:ascii="宋体" w:hAnsi="宋体" w:eastAsia="宋体" w:cs="宋体"/>
                <w:color w:val="auto"/>
                <w:sz w:val="24"/>
                <w:szCs w:val="24"/>
                <w:highlight w:val="none"/>
                <w:lang w:val="en-US" w:eastAsia="zh-CN"/>
              </w:rPr>
              <w:t>邹城市</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55"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970" w:type="dxa"/>
            <w:vAlign w:val="center"/>
          </w:tcPr>
          <w:p>
            <w:pPr>
              <w:spacing w:line="44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自筹</w:t>
            </w:r>
            <w:r>
              <w:rPr>
                <w:rFonts w:hint="eastAsia" w:ascii="宋体" w:hAnsi="宋体" w:eastAsia="宋体" w:cs="宋体"/>
                <w:color w:val="auto"/>
                <w:sz w:val="24"/>
                <w:szCs w:val="24"/>
                <w:highlight w:val="none"/>
                <w:lang w:val="en-US" w:eastAsia="zh-CN"/>
              </w:rPr>
              <w:t>资金</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2255" w:type="dxa"/>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工期</w:t>
            </w:r>
          </w:p>
        </w:tc>
        <w:tc>
          <w:tcPr>
            <w:tcW w:w="6970" w:type="dxa"/>
            <w:vAlign w:val="center"/>
          </w:tcPr>
          <w:p>
            <w:pPr>
              <w:spacing w:line="44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两个月</w:t>
            </w:r>
          </w:p>
        </w:tc>
      </w:tr>
      <w:tr>
        <w:tblPrEx>
          <w:tblLayout w:type="fixed"/>
        </w:tblPrEx>
        <w:trPr>
          <w:trHeight w:val="90"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255" w:type="dxa"/>
            <w:shd w:val="clear" w:color="auto" w:fill="auto"/>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w:t>
            </w:r>
          </w:p>
        </w:tc>
        <w:tc>
          <w:tcPr>
            <w:tcW w:w="6970" w:type="dxa"/>
            <w:shd w:val="clear" w:color="auto" w:fill="auto"/>
            <w:vAlign w:val="center"/>
          </w:tcPr>
          <w:p>
            <w:pPr>
              <w:spacing w:line="44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5年</w:t>
            </w:r>
          </w:p>
        </w:tc>
      </w:tr>
      <w:tr>
        <w:tblPrEx>
          <w:tblLayout w:type="fixed"/>
        </w:tblPrEx>
        <w:trPr>
          <w:trHeight w:val="567" w:hRule="atLeast"/>
          <w:jc w:val="center"/>
        </w:trPr>
        <w:tc>
          <w:tcPr>
            <w:tcW w:w="830" w:type="dxa"/>
            <w:vMerge w:val="restart"/>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255" w:type="dxa"/>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安全要求</w:t>
            </w:r>
          </w:p>
        </w:tc>
        <w:tc>
          <w:tcPr>
            <w:tcW w:w="6970" w:type="dxa"/>
            <w:vAlign w:val="center"/>
          </w:tcPr>
          <w:p>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符合国家安全生产管理相关规定。</w:t>
            </w:r>
          </w:p>
        </w:tc>
      </w:tr>
      <w:tr>
        <w:tblPrEx>
          <w:tblLayout w:type="fixed"/>
        </w:tblPrEx>
        <w:trPr>
          <w:trHeight w:val="567" w:hRule="atLeast"/>
          <w:jc w:val="center"/>
        </w:trPr>
        <w:tc>
          <w:tcPr>
            <w:tcW w:w="830" w:type="dxa"/>
            <w:vMerge w:val="continue"/>
            <w:vAlign w:val="center"/>
          </w:tcPr>
          <w:p>
            <w:pPr>
              <w:spacing w:line="440" w:lineRule="exact"/>
              <w:jc w:val="center"/>
              <w:rPr>
                <w:rFonts w:hint="eastAsia" w:ascii="宋体" w:hAnsi="宋体" w:eastAsia="宋体" w:cs="宋体"/>
                <w:sz w:val="24"/>
                <w:szCs w:val="24"/>
                <w:highlight w:val="none"/>
                <w:lang w:eastAsia="zh-CN"/>
              </w:rPr>
            </w:pPr>
          </w:p>
        </w:tc>
        <w:tc>
          <w:tcPr>
            <w:tcW w:w="2255"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970" w:type="dxa"/>
            <w:vAlign w:val="center"/>
          </w:tcPr>
          <w:p>
            <w:pPr>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符合国家规范规定的验收合格标准</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供应商资质要求</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（1）具有独立承担民事责任的能力并满足竞争性磋商文件要求的供应商；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（2）须遵守《中华人民共和国政府采购法》及相关法律、法规和规章；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（3）单位负责人为同一人或者存在控股、管理关系的不同单位，不得同时参加同一项目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或同一包组的报价；生产厂家的母公司、全资子公司、控股公司，只能有一家参加同一项目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编号的报价，前期参与本项目设计、监理、预算等其它为本项目提供咨询的单位不得参与本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（4）供应商须具备有效的营业执照，并在人员、设备、资金等方面具有相应的能力；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（5）具有良好的商业信誉和健全的财务会计制度。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（7）供应商信用状况良好，未被列入经营异常名录或者严重违法企业名单，不得存在相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关行贿犯罪记录；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2.落实政府采购政策需满足的资格要求：本项目只接受中小业参与投标且须提供《中小企业声明函》。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3.本项目的特定资格要求：供应商须具备</w:t>
            </w:r>
            <w:r>
              <w:rPr>
                <w:rFonts w:hint="eastAsia" w:ascii="宋体" w:hAnsi="宋体" w:eastAsia="宋体" w:cs="宋体"/>
                <w:b/>
                <w:bCs/>
                <w:sz w:val="24"/>
                <w:highlight w:val="none"/>
                <w:lang w:val="en-US" w:eastAsia="zh-CN"/>
              </w:rPr>
              <w:t>市政公用工程施工总承包三级及以上</w:t>
            </w:r>
            <w:r>
              <w:rPr>
                <w:rFonts w:hint="eastAsia" w:ascii="宋体" w:hAnsi="宋体" w:eastAsia="宋体" w:cs="宋体"/>
                <w:b w:val="0"/>
                <w:bCs w:val="0"/>
                <w:sz w:val="24"/>
                <w:highlight w:val="none"/>
                <w:lang w:val="en-US" w:eastAsia="zh-CN"/>
              </w:rPr>
              <w:t>资质，并在人员、设备、资金等方面具有相应的施工能力，无拖欠农民工工资的不良行为。其中，供应商拟派项目经理须具备本单位注册的</w:t>
            </w:r>
            <w:r>
              <w:rPr>
                <w:rFonts w:hint="eastAsia" w:ascii="宋体" w:hAnsi="宋体" w:eastAsia="宋体" w:cs="宋体"/>
                <w:b/>
                <w:bCs/>
                <w:sz w:val="24"/>
                <w:highlight w:val="none"/>
                <w:lang w:val="en-US" w:eastAsia="zh-CN"/>
              </w:rPr>
              <w:t>市政公用工程专业贰级及以上注册建造师</w:t>
            </w:r>
            <w:r>
              <w:rPr>
                <w:rFonts w:hint="eastAsia" w:ascii="宋体" w:hAnsi="宋体" w:eastAsia="宋体" w:cs="宋体"/>
                <w:b w:val="0"/>
                <w:bCs w:val="0"/>
                <w:sz w:val="24"/>
                <w:highlight w:val="none"/>
                <w:lang w:val="en-US" w:eastAsia="zh-CN"/>
              </w:rPr>
              <w:t>执业资格并具备有效的</w:t>
            </w:r>
            <w:r>
              <w:rPr>
                <w:rFonts w:hint="eastAsia" w:ascii="宋体" w:hAnsi="宋体" w:eastAsia="宋体" w:cs="宋体"/>
                <w:b/>
                <w:bCs/>
                <w:sz w:val="24"/>
                <w:highlight w:val="none"/>
                <w:lang w:val="en-US" w:eastAsia="zh-CN"/>
              </w:rPr>
              <w:t>安全生产考核合格证书</w:t>
            </w:r>
            <w:r>
              <w:rPr>
                <w:rFonts w:hint="eastAsia" w:ascii="宋体" w:hAnsi="宋体" w:eastAsia="宋体" w:cs="宋体"/>
                <w:b w:val="0"/>
                <w:bCs w:val="0"/>
                <w:sz w:val="24"/>
                <w:highlight w:val="none"/>
                <w:lang w:val="en-US" w:eastAsia="zh-CN"/>
              </w:rPr>
              <w:t>，且未担任其他在施建设工程项目的项目经理。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b w:val="0"/>
                <w:bCs w:val="0"/>
                <w:sz w:val="24"/>
                <w:highlight w:val="none"/>
                <w:lang w:val="en-US" w:eastAsia="zh-CN"/>
              </w:rPr>
              <w:t>4.本项目为资格后审。</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p>
        </w:tc>
        <w:tc>
          <w:tcPr>
            <w:tcW w:w="2255" w:type="dxa"/>
            <w:shd w:val="clear" w:color="auto" w:fill="auto"/>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投标人要求澄清招标文件的截止时间</w:t>
            </w:r>
          </w:p>
        </w:tc>
        <w:tc>
          <w:tcPr>
            <w:tcW w:w="6970" w:type="dxa"/>
            <w:shd w:val="clear" w:color="auto" w:fill="auto"/>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highlight w:val="none"/>
                <w:shd w:val="clear"/>
              </w:rPr>
              <w:t>202</w:t>
            </w:r>
            <w:r>
              <w:rPr>
                <w:rFonts w:hint="eastAsia" w:ascii="宋体" w:hAnsi="宋体" w:cs="宋体"/>
                <w:sz w:val="24"/>
                <w:highlight w:val="none"/>
                <w:shd w:val="clear"/>
                <w:lang w:val="en-US" w:eastAsia="zh-CN"/>
              </w:rPr>
              <w:t>3</w:t>
            </w:r>
            <w:r>
              <w:rPr>
                <w:rFonts w:hint="eastAsia" w:ascii="宋体" w:hAnsi="宋体" w:eastAsia="宋体" w:cs="宋体"/>
                <w:sz w:val="24"/>
                <w:highlight w:val="none"/>
                <w:shd w:val="clear"/>
              </w:rPr>
              <w:t>年</w:t>
            </w:r>
            <w:r>
              <w:rPr>
                <w:rFonts w:hint="eastAsia" w:ascii="宋体" w:hAnsi="宋体" w:cs="宋体"/>
                <w:sz w:val="24"/>
                <w:highlight w:val="none"/>
                <w:shd w:val="clear"/>
                <w:lang w:val="en-US" w:eastAsia="zh-CN"/>
              </w:rPr>
              <w:t>3</w:t>
            </w:r>
            <w:r>
              <w:rPr>
                <w:rFonts w:hint="eastAsia" w:ascii="宋体" w:hAnsi="宋体" w:eastAsia="宋体" w:cs="宋体"/>
                <w:sz w:val="24"/>
                <w:highlight w:val="none"/>
                <w:shd w:val="clear"/>
              </w:rPr>
              <w:t>月</w:t>
            </w:r>
            <w:r>
              <w:rPr>
                <w:rFonts w:hint="eastAsia" w:ascii="宋体" w:hAnsi="宋体" w:cs="宋体"/>
                <w:sz w:val="24"/>
                <w:highlight w:val="none"/>
                <w:shd w:val="clear"/>
                <w:lang w:val="en-US" w:eastAsia="zh-CN"/>
              </w:rPr>
              <w:t>31</w:t>
            </w:r>
            <w:r>
              <w:rPr>
                <w:rFonts w:hint="eastAsia" w:ascii="宋体" w:hAnsi="宋体" w:eastAsia="宋体" w:cs="宋体"/>
                <w:sz w:val="24"/>
                <w:highlight w:val="none"/>
                <w:shd w:val="clear"/>
              </w:rPr>
              <w:t>日</w:t>
            </w:r>
            <w:r>
              <w:rPr>
                <w:rFonts w:hint="eastAsia" w:ascii="宋体" w:hAnsi="宋体" w:cs="宋体"/>
                <w:sz w:val="24"/>
                <w:highlight w:val="none"/>
                <w:shd w:val="clear"/>
                <w:lang w:val="en-US" w:eastAsia="zh-CN"/>
              </w:rPr>
              <w:t>12</w:t>
            </w:r>
            <w:r>
              <w:rPr>
                <w:rFonts w:hint="eastAsia" w:ascii="宋体" w:hAnsi="宋体" w:eastAsia="宋体" w:cs="宋体"/>
                <w:sz w:val="24"/>
                <w:highlight w:val="none"/>
                <w:shd w:val="clear"/>
              </w:rPr>
              <w:t>时前，以书面形式加盖单位公章后向招标代理公司提出。</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p>
        </w:tc>
        <w:tc>
          <w:tcPr>
            <w:tcW w:w="2255" w:type="dxa"/>
            <w:shd w:val="clear" w:color="auto" w:fill="auto"/>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招标人澄清或修改招标文件的时间及方式</w:t>
            </w:r>
          </w:p>
        </w:tc>
        <w:tc>
          <w:tcPr>
            <w:tcW w:w="6970" w:type="dxa"/>
            <w:shd w:val="clear" w:color="auto" w:fill="auto"/>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highlight w:val="none"/>
                <w:u w:val="none"/>
              </w:rPr>
              <w:t>202</w:t>
            </w:r>
            <w:r>
              <w:rPr>
                <w:rFonts w:hint="eastAsia" w:ascii="宋体" w:hAnsi="宋体" w:cs="宋体"/>
                <w:sz w:val="24"/>
                <w:highlight w:val="none"/>
                <w:u w:val="none"/>
                <w:lang w:val="en-US" w:eastAsia="zh-CN"/>
              </w:rPr>
              <w:t>3</w:t>
            </w:r>
            <w:r>
              <w:rPr>
                <w:rFonts w:hint="eastAsia" w:ascii="宋体" w:hAnsi="宋体" w:eastAsia="宋体" w:cs="宋体"/>
                <w:sz w:val="24"/>
                <w:highlight w:val="none"/>
                <w:u w:val="none"/>
              </w:rPr>
              <w:t>年</w:t>
            </w:r>
            <w:r>
              <w:rPr>
                <w:rFonts w:hint="eastAsia" w:ascii="宋体" w:hAnsi="宋体" w:cs="宋体"/>
                <w:sz w:val="24"/>
                <w:highlight w:val="none"/>
                <w:u w:val="none"/>
                <w:lang w:val="en-US" w:eastAsia="zh-CN"/>
              </w:rPr>
              <w:t>4</w:t>
            </w:r>
            <w:r>
              <w:rPr>
                <w:rFonts w:hint="eastAsia" w:ascii="宋体" w:hAnsi="宋体" w:eastAsia="宋体" w:cs="宋体"/>
                <w:sz w:val="24"/>
                <w:highlight w:val="none"/>
                <w:u w:val="none"/>
              </w:rPr>
              <w:t>月</w:t>
            </w:r>
            <w:r>
              <w:rPr>
                <w:rFonts w:hint="eastAsia" w:ascii="宋体" w:hAnsi="宋体" w:cs="宋体"/>
                <w:sz w:val="24"/>
                <w:highlight w:val="none"/>
                <w:u w:val="none"/>
                <w:lang w:val="en-US" w:eastAsia="zh-CN"/>
              </w:rPr>
              <w:t>3</w:t>
            </w:r>
            <w:r>
              <w:rPr>
                <w:rFonts w:hint="eastAsia" w:ascii="宋体" w:hAnsi="宋体" w:eastAsia="宋体" w:cs="宋体"/>
                <w:sz w:val="24"/>
                <w:highlight w:val="none"/>
                <w:u w:val="none"/>
              </w:rPr>
              <w:t>日17时前。通过招标代理机构通知各报名企业。如果澄清可能影响投标文件制作的，且澄清发出的时间距投标截止时间不足</w:t>
            </w:r>
            <w:r>
              <w:rPr>
                <w:rFonts w:hint="eastAsia" w:ascii="宋体" w:hAnsi="宋体" w:cs="宋体"/>
                <w:sz w:val="24"/>
                <w:highlight w:val="none"/>
                <w:u w:val="none"/>
                <w:lang w:val="en-US" w:eastAsia="zh-CN"/>
              </w:rPr>
              <w:t>5</w:t>
            </w:r>
            <w:r>
              <w:rPr>
                <w:rFonts w:hint="eastAsia" w:ascii="宋体" w:hAnsi="宋体" w:eastAsia="宋体" w:cs="宋体"/>
                <w:sz w:val="24"/>
                <w:highlight w:val="none"/>
                <w:u w:val="none"/>
              </w:rPr>
              <w:t>天，相应顺延投标截止时间。</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12</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6970" w:type="dxa"/>
            <w:vAlign w:val="center"/>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不允许分包</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6970" w:type="dxa"/>
            <w:vAlign w:val="center"/>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不允许负偏离</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构成磋商文件的其他材料</w:t>
            </w:r>
          </w:p>
        </w:tc>
        <w:tc>
          <w:tcPr>
            <w:tcW w:w="6970" w:type="dxa"/>
            <w:vAlign w:val="center"/>
          </w:tcPr>
          <w:p>
            <w:pPr>
              <w:spacing w:line="44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工程量清单、澄清函、答疑函等。</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25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构成投标文件的其他材料</w:t>
            </w:r>
          </w:p>
        </w:tc>
        <w:tc>
          <w:tcPr>
            <w:tcW w:w="697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2255" w:type="dxa"/>
            <w:vAlign w:val="top"/>
          </w:tcPr>
          <w:p>
            <w:pPr>
              <w:pStyle w:val="64"/>
              <w:spacing w:line="460" w:lineRule="exact"/>
              <w:ind w:left="8" w:leftChars="0"/>
              <w:jc w:val="center"/>
              <w:rPr>
                <w:rFonts w:hint="eastAsia" w:ascii="宋体" w:hAnsi="宋体" w:eastAsia="宋体" w:cs="宋体"/>
                <w:b/>
                <w:sz w:val="24"/>
                <w:szCs w:val="24"/>
                <w:highlight w:val="none"/>
              </w:rPr>
            </w:pPr>
            <w:r>
              <w:rPr>
                <w:rFonts w:hint="eastAsia" w:ascii="宋体" w:hAnsi="宋体" w:eastAsia="宋体" w:cs="宋体"/>
                <w:sz w:val="24"/>
                <w:highlight w:val="none"/>
              </w:rPr>
              <w:t>踏勘现场</w:t>
            </w:r>
          </w:p>
        </w:tc>
        <w:tc>
          <w:tcPr>
            <w:tcW w:w="6970" w:type="dxa"/>
            <w:vAlign w:val="top"/>
          </w:tcPr>
          <w:p>
            <w:pPr>
              <w:pStyle w:val="64"/>
              <w:spacing w:line="460" w:lineRule="exact"/>
              <w:ind w:left="106" w:leftChars="0"/>
              <w:rPr>
                <w:rFonts w:hint="eastAsia" w:ascii="宋体" w:hAnsi="宋体" w:eastAsia="宋体" w:cs="宋体"/>
                <w:b/>
                <w:sz w:val="24"/>
                <w:szCs w:val="24"/>
                <w:highlight w:val="none"/>
                <w:lang w:eastAsia="zh-CN"/>
              </w:rPr>
            </w:pPr>
            <w:r>
              <w:rPr>
                <w:rFonts w:hint="eastAsia" w:ascii="宋体" w:hAnsi="宋体" w:eastAsia="宋体" w:cs="宋体"/>
                <w:sz w:val="24"/>
                <w:highlight w:val="none"/>
              </w:rPr>
              <w:t>不统一组织踏勘现场，报价单位可根据需要自行到项目现场进行踏勘</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报价有效期</w:t>
            </w:r>
          </w:p>
        </w:tc>
        <w:tc>
          <w:tcPr>
            <w:tcW w:w="697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天﹙从报价截止之日算起﹚</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2255"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磋商保证金</w:t>
            </w:r>
          </w:p>
        </w:tc>
        <w:tc>
          <w:tcPr>
            <w:tcW w:w="6970" w:type="dxa"/>
            <w:vAlign w:val="center"/>
          </w:tcPr>
          <w:p>
            <w:pPr>
              <w:tabs>
                <w:tab w:val="left" w:pos="1782"/>
              </w:tabs>
              <w:snapToGrid w:val="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无</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近年财务状况的年份要求</w:t>
            </w:r>
          </w:p>
        </w:tc>
        <w:tc>
          <w:tcPr>
            <w:tcW w:w="697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年至今</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近年完成的类似项目的年份要求</w:t>
            </w:r>
          </w:p>
        </w:tc>
        <w:tc>
          <w:tcPr>
            <w:tcW w:w="697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年至今</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近年发生的诉讼及仲裁情况的年份要求</w:t>
            </w:r>
          </w:p>
        </w:tc>
        <w:tc>
          <w:tcPr>
            <w:tcW w:w="697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年至今</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是否允许备选报价方案</w:t>
            </w:r>
          </w:p>
        </w:tc>
        <w:tc>
          <w:tcPr>
            <w:tcW w:w="6970" w:type="dxa"/>
            <w:vAlign w:val="center"/>
          </w:tcPr>
          <w:p>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不允许</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2255" w:type="dxa"/>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报价文件份数及签字要求</w:t>
            </w:r>
          </w:p>
        </w:tc>
        <w:tc>
          <w:tcPr>
            <w:tcW w:w="6970" w:type="dxa"/>
            <w:vAlign w:val="center"/>
          </w:tcPr>
          <w:p>
            <w:pPr>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正本壹份，副本</w:t>
            </w:r>
            <w:r>
              <w:rPr>
                <w:rFonts w:hint="eastAsia" w:ascii="宋体" w:hAnsi="宋体" w:eastAsia="宋体" w:cs="宋体"/>
                <w:b w:val="0"/>
                <w:bCs/>
                <w:color w:val="auto"/>
                <w:kern w:val="0"/>
                <w:sz w:val="24"/>
                <w:szCs w:val="24"/>
                <w:highlight w:val="none"/>
                <w:lang w:val="en-US" w:eastAsia="zh-CN"/>
              </w:rPr>
              <w:t>肆</w:t>
            </w:r>
            <w:r>
              <w:rPr>
                <w:rFonts w:hint="eastAsia" w:ascii="宋体" w:hAnsi="宋体" w:eastAsia="宋体" w:cs="宋体"/>
                <w:b w:val="0"/>
                <w:bCs/>
                <w:color w:val="auto"/>
                <w:kern w:val="0"/>
                <w:sz w:val="24"/>
                <w:szCs w:val="24"/>
                <w:highlight w:val="none"/>
              </w:rPr>
              <w:t>份及电子版壹份。</w:t>
            </w:r>
          </w:p>
          <w:p>
            <w:pPr>
              <w:spacing w:line="360" w:lineRule="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报价文件应按竞争性磋商文件的要求加盖企业公章、法人或授权代理人印鉴或签字。</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6970" w:type="dxa"/>
            <w:vAlign w:val="center"/>
          </w:tcPr>
          <w:p>
            <w:pPr>
              <w:shd w:val="clear"/>
              <w:spacing w:line="440" w:lineRule="exac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开标时间：</w:t>
            </w:r>
            <w:r>
              <w:rPr>
                <w:rFonts w:hint="eastAsia" w:ascii="宋体" w:hAnsi="宋体" w:eastAsia="宋体" w:cs="宋体"/>
                <w:b w:val="0"/>
                <w:bCs/>
                <w:sz w:val="24"/>
                <w:szCs w:val="24"/>
                <w:highlight w:val="none"/>
                <w:lang w:eastAsia="zh-CN"/>
              </w:rPr>
              <w:t>202</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年</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eastAsia="zh-CN"/>
              </w:rPr>
              <w:t>月</w:t>
            </w:r>
            <w:r>
              <w:rPr>
                <w:rFonts w:hint="eastAsia" w:ascii="宋体" w:hAnsi="宋体" w:cs="宋体"/>
                <w:b w:val="0"/>
                <w:bCs/>
                <w:sz w:val="24"/>
                <w:szCs w:val="24"/>
                <w:highlight w:val="none"/>
                <w:lang w:val="en-US" w:eastAsia="zh-CN"/>
              </w:rPr>
              <w:t>10</w:t>
            </w:r>
            <w:r>
              <w:rPr>
                <w:rFonts w:hint="eastAsia" w:ascii="宋体" w:hAnsi="宋体" w:eastAsia="宋体" w:cs="宋体"/>
                <w:b w:val="0"/>
                <w:bCs/>
                <w:sz w:val="24"/>
                <w:szCs w:val="24"/>
                <w:highlight w:val="none"/>
                <w:lang w:eastAsia="zh-CN"/>
              </w:rPr>
              <w:t>日</w:t>
            </w:r>
            <w:r>
              <w:rPr>
                <w:rFonts w:hint="eastAsia" w:ascii="宋体" w:hAnsi="宋体" w:cs="宋体"/>
                <w:b w:val="0"/>
                <w:bCs/>
                <w:sz w:val="24"/>
                <w:szCs w:val="24"/>
                <w:highlight w:val="none"/>
                <w:lang w:val="en-US" w:eastAsia="zh-CN"/>
              </w:rPr>
              <w:t>9</w:t>
            </w:r>
            <w:r>
              <w:rPr>
                <w:rFonts w:hint="eastAsia" w:ascii="宋体" w:hAnsi="宋体" w:eastAsia="宋体" w:cs="宋体"/>
                <w:b w:val="0"/>
                <w:bCs/>
                <w:sz w:val="24"/>
                <w:szCs w:val="24"/>
                <w:highlight w:val="none"/>
                <w:lang w:eastAsia="zh-CN"/>
              </w:rPr>
              <w:t>时</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0分</w:t>
            </w:r>
            <w:r>
              <w:rPr>
                <w:rFonts w:hint="eastAsia" w:ascii="宋体" w:hAnsi="宋体" w:eastAsia="宋体" w:cs="宋体"/>
                <w:b w:val="0"/>
                <w:bCs/>
                <w:sz w:val="24"/>
                <w:szCs w:val="24"/>
                <w:highlight w:val="none"/>
              </w:rPr>
              <w:t>（北京时间）</w:t>
            </w:r>
          </w:p>
          <w:p>
            <w:pPr>
              <w:shd w:val="clear"/>
              <w:spacing w:line="440" w:lineRule="exact"/>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开标地点:</w:t>
            </w:r>
            <w:r>
              <w:rPr>
                <w:rFonts w:hint="eastAsia" w:ascii="宋体" w:hAnsi="宋体" w:eastAsia="宋体" w:cs="宋体"/>
                <w:b w:val="0"/>
                <w:bCs/>
                <w:sz w:val="24"/>
                <w:szCs w:val="24"/>
                <w:highlight w:val="none"/>
                <w:lang w:eastAsia="zh-CN"/>
              </w:rPr>
              <w:t>邹城市凫山街道公共资源交易中心开标室</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2255" w:type="dxa"/>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纸质投标文件装订要求</w:t>
            </w:r>
          </w:p>
        </w:tc>
        <w:tc>
          <w:tcPr>
            <w:tcW w:w="6970" w:type="dxa"/>
            <w:vAlign w:val="center"/>
          </w:tcPr>
          <w:p>
            <w:pPr>
              <w:pageBreakBefore w:val="0"/>
              <w:kinsoku/>
              <w:overflowPunct/>
              <w:bidi w:val="0"/>
              <w:spacing w:line="440" w:lineRule="exact"/>
              <w:rPr>
                <w:rFonts w:hint="eastAsia" w:ascii="宋体" w:hAnsi="宋体" w:eastAsia="宋体" w:cs="宋体"/>
                <w:b w:val="0"/>
                <w:bCs/>
                <w:sz w:val="24"/>
                <w:highlight w:val="none"/>
              </w:rPr>
            </w:pPr>
            <w:r>
              <w:rPr>
                <w:rFonts w:hint="eastAsia" w:ascii="宋体" w:hAnsi="宋体" w:eastAsia="宋体" w:cs="宋体"/>
                <w:b w:val="0"/>
                <w:bCs/>
                <w:sz w:val="24"/>
                <w:highlight w:val="none"/>
              </w:rPr>
              <w:t>1、投标文件的正本与副本应分别装订成册。</w:t>
            </w:r>
          </w:p>
          <w:p>
            <w:pPr>
              <w:pageBreakBefore w:val="0"/>
              <w:kinsoku/>
              <w:overflowPunct/>
              <w:bidi w:val="0"/>
              <w:spacing w:line="440" w:lineRule="exact"/>
              <w:rPr>
                <w:rFonts w:hint="eastAsia" w:ascii="宋体" w:hAnsi="宋体" w:eastAsia="宋体" w:cs="宋体"/>
                <w:b w:val="0"/>
                <w:bCs/>
                <w:sz w:val="24"/>
                <w:highlight w:val="none"/>
              </w:rPr>
            </w:pPr>
            <w:r>
              <w:rPr>
                <w:rFonts w:hint="eastAsia" w:ascii="宋体" w:hAnsi="宋体" w:eastAsia="宋体" w:cs="宋体"/>
                <w:b w:val="0"/>
                <w:bCs/>
                <w:sz w:val="24"/>
                <w:highlight w:val="none"/>
              </w:rPr>
              <w:t>2、投标文件每册均须采用胶装方式在左侧装订，装订须牢固不易拆散和换页，不得采用活页方式装订。</w:t>
            </w:r>
          </w:p>
          <w:p>
            <w:pPr>
              <w:pageBreakBefore w:val="0"/>
              <w:kinsoku/>
              <w:overflowPunct/>
              <w:bidi w:val="0"/>
              <w:spacing w:line="440" w:lineRule="exact"/>
              <w:rPr>
                <w:rFonts w:hint="eastAsia" w:ascii="宋体" w:hAnsi="宋体" w:eastAsia="宋体" w:cs="宋体"/>
                <w:b w:val="0"/>
                <w:bCs/>
                <w:sz w:val="24"/>
                <w:highlight w:val="none"/>
              </w:rPr>
            </w:pPr>
            <w:r>
              <w:rPr>
                <w:rFonts w:hint="eastAsia" w:ascii="宋体" w:hAnsi="宋体" w:eastAsia="宋体" w:cs="宋体"/>
                <w:b w:val="0"/>
                <w:bCs/>
                <w:sz w:val="24"/>
                <w:highlight w:val="none"/>
              </w:rPr>
              <w:t>3、投标文件正本和副本的封面上应清楚地标记“正本”或“副本”的字样；正本和副本如有不一致之处，以正本为准。</w:t>
            </w:r>
          </w:p>
          <w:p>
            <w:pPr>
              <w:spacing w:line="400" w:lineRule="exact"/>
              <w:ind w:firstLine="120" w:firstLineChars="50"/>
              <w:rPr>
                <w:rFonts w:hint="eastAsia" w:ascii="宋体" w:hAnsi="宋体" w:eastAsia="宋体" w:cs="宋体"/>
                <w:b w:val="0"/>
                <w:bCs/>
                <w:sz w:val="24"/>
                <w:szCs w:val="24"/>
                <w:highlight w:val="none"/>
              </w:rPr>
            </w:pPr>
            <w:r>
              <w:rPr>
                <w:rFonts w:hint="eastAsia" w:ascii="宋体" w:hAnsi="宋体" w:eastAsia="宋体" w:cs="宋体"/>
                <w:b w:val="0"/>
                <w:bCs/>
                <w:sz w:val="24"/>
                <w:highlight w:val="none"/>
              </w:rPr>
              <w:t>4、未按照上述要求装订的，评标委员会将否决其投标。</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2255" w:type="dxa"/>
            <w:vAlign w:val="center"/>
          </w:tcPr>
          <w:p>
            <w:pPr>
              <w:spacing w:line="360" w:lineRule="auto"/>
              <w:ind w:left="240" w:leftChars="0" w:hanging="240" w:hangingChars="100"/>
              <w:contextualSpacing/>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是否退还投标文件</w:t>
            </w:r>
          </w:p>
        </w:tc>
        <w:tc>
          <w:tcPr>
            <w:tcW w:w="697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szCs w:val="24"/>
                <w:highlight w:val="none"/>
              </w:rPr>
              <w:t>否</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磋商小组的组建</w:t>
            </w:r>
          </w:p>
        </w:tc>
        <w:tc>
          <w:tcPr>
            <w:tcW w:w="6970" w:type="dxa"/>
            <w:vAlign w:val="center"/>
          </w:tcPr>
          <w:p>
            <w:pPr>
              <w:spacing w:line="44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磋商小组构成</w:t>
            </w:r>
            <w:r>
              <w:rPr>
                <w:rFonts w:hint="eastAsia" w:ascii="宋体" w:hAnsi="宋体" w:eastAsia="宋体" w:cs="宋体"/>
                <w:sz w:val="24"/>
                <w:szCs w:val="24"/>
                <w:highlight w:val="none"/>
                <w:u w:val="single"/>
              </w:rPr>
              <w:t>:3人及以上单数。</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9225"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采购控制价</w:t>
            </w:r>
          </w:p>
        </w:tc>
        <w:tc>
          <w:tcPr>
            <w:tcW w:w="6970" w:type="dxa"/>
            <w:vAlign w:val="center"/>
          </w:tcPr>
          <w:p>
            <w:pPr>
              <w:tabs>
                <w:tab w:val="left" w:pos="1782"/>
              </w:tabs>
              <w:snapToGrid w:val="0"/>
              <w:spacing w:line="44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采购控制价：808768.70</w:t>
            </w:r>
            <w:r>
              <w:rPr>
                <w:rFonts w:hint="eastAsia" w:ascii="宋体" w:hAnsi="宋体" w:eastAsia="宋体" w:cs="宋体"/>
                <w:b/>
                <w:sz w:val="24"/>
                <w:szCs w:val="24"/>
                <w:highlight w:val="none"/>
                <w:lang w:val="en-US" w:eastAsia="zh-CN"/>
              </w:rPr>
              <w:t>元</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采购控制价是采购人期望的最高限价，供应商的总报价及各村分项报价均不得高于采购控制价，也不得低于成本价格。供应商报价高于采购预算价的按无效报价处理。</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6970" w:type="dxa"/>
            <w:vAlign w:val="center"/>
          </w:tcPr>
          <w:p>
            <w:pPr>
              <w:tabs>
                <w:tab w:val="left" w:pos="1782"/>
              </w:tabs>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本次磋商非一次性报价，审查通过的供应商按要求进行最终报价，最终报价不得高于首次报价，否则视为报价无效。资质审查不合格、响应性审查未通过的、提供虚假材料的供应商，报价无效。</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w:t>
            </w:r>
          </w:p>
        </w:tc>
        <w:tc>
          <w:tcPr>
            <w:tcW w:w="2255" w:type="dxa"/>
            <w:vAlign w:val="center"/>
          </w:tcPr>
          <w:p>
            <w:pPr>
              <w:pStyle w:val="10"/>
              <w:widowControl/>
              <w:spacing w:line="460" w:lineRule="exact"/>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证件的提交</w:t>
            </w:r>
          </w:p>
        </w:tc>
        <w:tc>
          <w:tcPr>
            <w:tcW w:w="697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color w:val="auto"/>
                <w:kern w:val="0"/>
                <w:sz w:val="24"/>
                <w:szCs w:val="24"/>
                <w:highlight w:val="none"/>
              </w:rPr>
              <w:t>供应商必须在资格审查时提供以下证件以备查验：</w:t>
            </w:r>
          </w:p>
          <w:p>
            <w:pPr>
              <w:spacing w:line="360" w:lineRule="auto"/>
              <w:rPr>
                <w:rFonts w:hint="eastAsia" w:ascii="宋体" w:hAnsi="宋体" w:cs="宋体"/>
                <w:b/>
                <w:sz w:val="24"/>
                <w:szCs w:val="24"/>
                <w:highlight w:val="none"/>
                <w:lang w:eastAsia="zh-CN"/>
              </w:rPr>
            </w:pPr>
            <w:r>
              <w:rPr>
                <w:rFonts w:hint="eastAsia" w:ascii="宋体" w:hAnsi="宋体" w:eastAsia="宋体" w:cs="宋体"/>
                <w:b/>
                <w:sz w:val="24"/>
                <w:szCs w:val="24"/>
                <w:highlight w:val="none"/>
              </w:rPr>
              <w:t>①营业执照</w:t>
            </w:r>
            <w:r>
              <w:rPr>
                <w:rFonts w:hint="eastAsia" w:ascii="宋体" w:hAnsi="宋体" w:cs="宋体"/>
                <w:b/>
                <w:sz w:val="24"/>
                <w:szCs w:val="24"/>
                <w:highlight w:val="none"/>
                <w:lang w:eastAsia="zh-CN"/>
              </w:rPr>
              <w:t>；</w:t>
            </w:r>
          </w:p>
          <w:p>
            <w:pPr>
              <w:spacing w:line="360" w:lineRule="auto"/>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②资质证书；</w:t>
            </w:r>
          </w:p>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③项目负责人证书；</w:t>
            </w:r>
          </w:p>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④安全生产许可证；</w:t>
            </w:r>
          </w:p>
          <w:p>
            <w:pPr>
              <w:spacing w:line="360" w:lineRule="auto"/>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⑤</w:t>
            </w:r>
            <w:r>
              <w:rPr>
                <w:rFonts w:hint="default" w:ascii="宋体" w:hAnsi="宋体" w:eastAsia="宋体" w:cs="宋体"/>
                <w:b/>
                <w:sz w:val="24"/>
                <w:szCs w:val="24"/>
                <w:highlight w:val="none"/>
                <w:lang w:val="en-US" w:eastAsia="zh-CN"/>
              </w:rPr>
              <w:t>缴纳税收和社会保障资金等证明告知承诺书（详见附件）；</w:t>
            </w:r>
          </w:p>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⑥法定代表人身份证或授权委托书及被委托人身份证；</w:t>
            </w:r>
          </w:p>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⑦《中小企业声明函》。</w:t>
            </w:r>
          </w:p>
          <w:p>
            <w:pPr>
              <w:spacing w:line="460" w:lineRule="exact"/>
              <w:rPr>
                <w:rFonts w:hint="eastAsia" w:ascii="宋体" w:hAnsi="宋体" w:eastAsia="宋体" w:cs="宋体"/>
                <w:b w:val="0"/>
                <w:bCs/>
                <w:sz w:val="24"/>
                <w:szCs w:val="24"/>
                <w:highlight w:val="none"/>
              </w:rPr>
            </w:pPr>
            <w:r>
              <w:rPr>
                <w:rFonts w:hint="eastAsia" w:ascii="宋体" w:hAnsi="宋体" w:eastAsia="宋体" w:cs="宋体"/>
                <w:bCs/>
                <w:sz w:val="24"/>
                <w:szCs w:val="24"/>
                <w:highlight w:val="none"/>
              </w:rPr>
              <w:t>供应商应将需要评审小组验证</w:t>
            </w:r>
            <w:r>
              <w:rPr>
                <w:rFonts w:hint="eastAsia" w:ascii="宋体" w:hAnsi="宋体" w:eastAsia="宋体" w:cs="宋体"/>
                <w:b w:val="0"/>
                <w:bCs/>
                <w:spacing w:val="-2"/>
                <w:sz w:val="24"/>
                <w:szCs w:val="24"/>
                <w:highlight w:val="none"/>
                <w:lang w:val="en-US" w:eastAsia="zh-CN"/>
              </w:rPr>
              <w:t>材料</w:t>
            </w:r>
            <w:r>
              <w:rPr>
                <w:rFonts w:hint="eastAsia" w:ascii="宋体" w:hAnsi="宋体" w:eastAsia="宋体" w:cs="宋体"/>
                <w:b w:val="0"/>
                <w:bCs/>
                <w:spacing w:val="-2"/>
                <w:sz w:val="24"/>
                <w:szCs w:val="24"/>
                <w:highlight w:val="none"/>
              </w:rPr>
              <w:t>密封包装，在递交投标文件时一并提交。</w:t>
            </w:r>
          </w:p>
          <w:p>
            <w:pPr>
              <w:spacing w:line="4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注：以上证件需密封包装，在递交投标文件时一并提交，投标单位所提供的所有证件资料如为复印件应加盖公章，并真实有效，否则将做废标处理。</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w:t>
            </w:r>
          </w:p>
        </w:tc>
        <w:tc>
          <w:tcPr>
            <w:tcW w:w="2255" w:type="dxa"/>
            <w:vAlign w:val="center"/>
          </w:tcPr>
          <w:p>
            <w:pPr>
              <w:pStyle w:val="10"/>
              <w:widowControl/>
              <w:spacing w:line="460" w:lineRule="exact"/>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开标时供应商需要携带的证件</w:t>
            </w:r>
          </w:p>
        </w:tc>
        <w:tc>
          <w:tcPr>
            <w:tcW w:w="6970" w:type="dxa"/>
            <w:vAlign w:val="center"/>
          </w:tcPr>
          <w:p>
            <w:pPr>
              <w:spacing w:line="46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供应商的法定代表人（或其委托代理人）应按时参加开标会议。其中，企业法定代表人参加开标会议的，需携带其身份证原件；委托代理人参加开标会议的，需携带其身份证原件及授权委托书原件。未按上述规定提交证件的供应商，其报价文件将被拒绝。（以上资料无需密封）</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w:t>
            </w:r>
          </w:p>
        </w:tc>
        <w:tc>
          <w:tcPr>
            <w:tcW w:w="2255" w:type="dxa"/>
            <w:vAlign w:val="center"/>
          </w:tcPr>
          <w:p>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付款方式</w:t>
            </w:r>
          </w:p>
        </w:tc>
        <w:tc>
          <w:tcPr>
            <w:tcW w:w="6970" w:type="dxa"/>
            <w:vAlign w:val="center"/>
          </w:tcPr>
          <w:p>
            <w:pPr>
              <w:spacing w:line="410" w:lineRule="exact"/>
              <w:ind w:firstLine="482" w:firstLineChars="200"/>
              <w:rPr>
                <w:rFonts w:hint="eastAsia" w:ascii="宋体" w:hAnsi="宋体" w:eastAsia="宋体" w:cs="宋体"/>
                <w:b/>
                <w:sz w:val="24"/>
                <w:szCs w:val="24"/>
                <w:highlight w:val="none"/>
              </w:rPr>
            </w:pPr>
            <w:r>
              <w:rPr>
                <w:rFonts w:hint="eastAsia" w:ascii="宋体" w:hAnsi="宋体" w:eastAsia="宋体" w:cs="宋体"/>
                <w:b/>
                <w:bCs/>
                <w:sz w:val="24"/>
                <w:highlight w:val="none"/>
                <w:lang w:val="en-US" w:eastAsia="zh-CN"/>
              </w:rPr>
              <w:t>工程竣工验收合格后付</w:t>
            </w:r>
            <w:r>
              <w:rPr>
                <w:rFonts w:hint="eastAsia" w:ascii="宋体" w:hAnsi="宋体" w:cs="宋体"/>
                <w:b/>
                <w:bCs/>
                <w:sz w:val="24"/>
                <w:highlight w:val="none"/>
                <w:lang w:val="en-US" w:eastAsia="zh-CN"/>
              </w:rPr>
              <w:t>审计</w:t>
            </w:r>
            <w:r>
              <w:rPr>
                <w:rFonts w:hint="eastAsia" w:ascii="宋体" w:hAnsi="宋体" w:eastAsia="宋体" w:cs="宋体"/>
                <w:b/>
                <w:bCs/>
                <w:sz w:val="24"/>
                <w:highlight w:val="none"/>
                <w:lang w:val="en-US" w:eastAsia="zh-CN"/>
              </w:rPr>
              <w:t>价款的30%，验收合格满一年后付</w:t>
            </w:r>
            <w:r>
              <w:rPr>
                <w:rFonts w:hint="eastAsia" w:ascii="宋体" w:hAnsi="宋体" w:cs="宋体"/>
                <w:b/>
                <w:bCs/>
                <w:sz w:val="24"/>
                <w:highlight w:val="none"/>
                <w:lang w:val="en-US" w:eastAsia="zh-CN"/>
              </w:rPr>
              <w:t>审计</w:t>
            </w:r>
            <w:r>
              <w:rPr>
                <w:rFonts w:hint="eastAsia" w:ascii="宋体" w:hAnsi="宋体" w:eastAsia="宋体" w:cs="宋体"/>
                <w:b/>
                <w:bCs/>
                <w:sz w:val="24"/>
                <w:highlight w:val="none"/>
                <w:lang w:val="en-US" w:eastAsia="zh-CN"/>
              </w:rPr>
              <w:t>价款的20%，验收合格满两年后付</w:t>
            </w:r>
            <w:r>
              <w:rPr>
                <w:rFonts w:hint="eastAsia" w:ascii="宋体" w:hAnsi="宋体" w:cs="宋体"/>
                <w:b/>
                <w:bCs/>
                <w:sz w:val="24"/>
                <w:highlight w:val="none"/>
                <w:lang w:val="en-US" w:eastAsia="zh-CN"/>
              </w:rPr>
              <w:t>审计</w:t>
            </w:r>
            <w:r>
              <w:rPr>
                <w:rFonts w:hint="eastAsia" w:ascii="宋体" w:hAnsi="宋体" w:eastAsia="宋体" w:cs="宋体"/>
                <w:b/>
                <w:bCs/>
                <w:sz w:val="24"/>
                <w:highlight w:val="none"/>
                <w:lang w:val="en-US" w:eastAsia="zh-CN"/>
              </w:rPr>
              <w:t>价款的20%，验收合格满三年后</w:t>
            </w:r>
            <w:r>
              <w:rPr>
                <w:rFonts w:hint="eastAsia" w:ascii="宋体" w:hAnsi="宋体" w:cs="宋体"/>
                <w:b/>
                <w:bCs/>
                <w:sz w:val="24"/>
                <w:highlight w:val="none"/>
                <w:lang w:val="en-US" w:eastAsia="zh-CN"/>
              </w:rPr>
              <w:t>审计</w:t>
            </w:r>
            <w:r>
              <w:rPr>
                <w:rFonts w:hint="eastAsia" w:ascii="宋体" w:hAnsi="宋体" w:eastAsia="宋体" w:cs="宋体"/>
                <w:b/>
                <w:bCs/>
                <w:sz w:val="24"/>
                <w:highlight w:val="none"/>
                <w:lang w:val="en-US" w:eastAsia="zh-CN"/>
              </w:rPr>
              <w:t>价款的20%，质保期结束后</w:t>
            </w:r>
            <w:r>
              <w:rPr>
                <w:rFonts w:hint="eastAsia" w:ascii="宋体" w:hAnsi="宋体" w:cs="宋体"/>
                <w:b/>
                <w:bCs/>
                <w:sz w:val="24"/>
                <w:highlight w:val="none"/>
                <w:lang w:val="en-US" w:eastAsia="zh-CN"/>
              </w:rPr>
              <w:t>余款</w:t>
            </w:r>
            <w:r>
              <w:rPr>
                <w:rFonts w:hint="eastAsia" w:ascii="宋体" w:hAnsi="宋体" w:eastAsia="宋体" w:cs="宋体"/>
                <w:b/>
                <w:bCs/>
                <w:sz w:val="24"/>
                <w:highlight w:val="none"/>
                <w:lang w:val="en-US" w:eastAsia="zh-CN"/>
              </w:rPr>
              <w:t>一次性无息付清。（金额以</w:t>
            </w:r>
            <w:r>
              <w:rPr>
                <w:rFonts w:hint="eastAsia" w:ascii="宋体" w:hAnsi="宋体" w:cs="宋体"/>
                <w:b/>
                <w:bCs/>
                <w:sz w:val="24"/>
                <w:highlight w:val="none"/>
                <w:lang w:val="en-US" w:eastAsia="zh-CN"/>
              </w:rPr>
              <w:t>审计</w:t>
            </w:r>
            <w:r>
              <w:rPr>
                <w:rFonts w:hint="eastAsia" w:ascii="宋体" w:hAnsi="宋体" w:eastAsia="宋体" w:cs="宋体"/>
                <w:b/>
                <w:bCs/>
                <w:sz w:val="24"/>
                <w:highlight w:val="none"/>
                <w:lang w:val="en-US" w:eastAsia="zh-CN"/>
              </w:rPr>
              <w:t>价为准）</w:t>
            </w:r>
          </w:p>
        </w:tc>
      </w:tr>
      <w:tr>
        <w:tblPrEx>
          <w:tblLayout w:type="fixed"/>
        </w:tblPrEx>
        <w:trPr>
          <w:trHeight w:val="2296"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相关费用</w:t>
            </w:r>
          </w:p>
        </w:tc>
        <w:tc>
          <w:tcPr>
            <w:tcW w:w="6970" w:type="dxa"/>
            <w:vAlign w:val="center"/>
          </w:tcPr>
          <w:p>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1、供应商自行承担报价所涉及的一切费用。无论结果如何，采购单位对上述费用不负任何责任。</w:t>
            </w:r>
          </w:p>
          <w:p>
            <w:pPr>
              <w:autoSpaceDE w:val="0"/>
              <w:autoSpaceDN w:val="0"/>
              <w:adjustRightIn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2、采购代理机构参考国家计委计价格[2002]1980号、国家发展和改</w:t>
            </w:r>
            <w:r>
              <w:rPr>
                <w:rFonts w:hint="eastAsia" w:ascii="宋体" w:hAnsi="宋体" w:eastAsia="宋体" w:cs="宋体"/>
                <w:color w:val="auto"/>
                <w:sz w:val="24"/>
                <w:szCs w:val="24"/>
                <w:highlight w:val="none"/>
              </w:rPr>
              <w:t>革委员会办公厅发改办价格[2003]857号文收费标准收取成交代理服务费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12130.50</w:t>
            </w:r>
            <w:r>
              <w:rPr>
                <w:rFonts w:hint="eastAsia" w:ascii="宋体" w:hAnsi="宋体" w:eastAsia="宋体" w:cs="宋体"/>
                <w:color w:val="auto"/>
                <w:sz w:val="24"/>
                <w:szCs w:val="24"/>
                <w:highlight w:val="none"/>
                <w:lang w:val="en-US" w:eastAsia="zh-CN"/>
              </w:rPr>
              <w:t>元；清单编制费</w:t>
            </w:r>
            <w:r>
              <w:rPr>
                <w:rFonts w:hint="eastAsia" w:ascii="宋体" w:hAnsi="宋体" w:cs="宋体"/>
                <w:color w:val="auto"/>
                <w:sz w:val="24"/>
                <w:szCs w:val="24"/>
                <w:highlight w:val="none"/>
                <w:lang w:val="en-US" w:eastAsia="zh-CN"/>
              </w:rPr>
              <w:t>5175.68</w:t>
            </w:r>
            <w:r>
              <w:rPr>
                <w:rFonts w:hint="eastAsia" w:ascii="宋体" w:hAnsi="宋体" w:eastAsia="宋体" w:cs="宋体"/>
                <w:color w:val="auto"/>
                <w:sz w:val="24"/>
                <w:szCs w:val="24"/>
                <w:highlight w:val="none"/>
                <w:lang w:val="en-US" w:eastAsia="zh-CN"/>
              </w:rPr>
              <w:t>元。</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2255" w:type="dxa"/>
            <w:vAlign w:val="top"/>
          </w:tcPr>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0"/>
                <w:highlight w:val="none"/>
              </w:rPr>
            </w:pPr>
          </w:p>
          <w:p>
            <w:pPr>
              <w:pStyle w:val="64"/>
              <w:spacing w:line="460" w:lineRule="exact"/>
              <w:ind w:left="8" w:leftChars="0"/>
              <w:jc w:val="center"/>
              <w:rPr>
                <w:rFonts w:hint="eastAsia" w:ascii="宋体" w:hAnsi="宋体" w:eastAsia="宋体" w:cs="宋体"/>
                <w:sz w:val="24"/>
                <w:szCs w:val="24"/>
                <w:highlight w:val="none"/>
              </w:rPr>
            </w:pPr>
            <w:r>
              <w:rPr>
                <w:rFonts w:hint="eastAsia" w:ascii="宋体" w:hAnsi="宋体" w:eastAsia="宋体" w:cs="宋体"/>
                <w:sz w:val="24"/>
                <w:highlight w:val="none"/>
              </w:rPr>
              <w:t>信用查询及使用</w:t>
            </w:r>
          </w:p>
        </w:tc>
        <w:tc>
          <w:tcPr>
            <w:tcW w:w="6970" w:type="dxa"/>
            <w:vAlign w:val="top"/>
          </w:tcPr>
          <w:p>
            <w:pPr>
              <w:pStyle w:val="64"/>
              <w:numPr>
                <w:ilvl w:val="0"/>
                <w:numId w:val="2"/>
              </w:numPr>
              <w:tabs>
                <w:tab w:val="left" w:pos="708"/>
              </w:tabs>
              <w:spacing w:line="460" w:lineRule="exact"/>
              <w:ind w:hanging="60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信用信息查询渠道：“信用中国”网站</w:t>
            </w: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"http://www.creditchina.gov.cn/" \h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（www.creditchina.gov.cn</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）、“信用山东”网站、“中国政府采购网”网站</w:t>
            </w:r>
          </w:p>
          <w:p>
            <w:pPr>
              <w:pStyle w:val="64"/>
              <w:numPr>
                <w:ilvl w:val="0"/>
                <w:numId w:val="2"/>
              </w:numPr>
              <w:tabs>
                <w:tab w:val="left" w:pos="708"/>
              </w:tabs>
              <w:spacing w:line="460" w:lineRule="exact"/>
              <w:ind w:hanging="60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信用信息查询截止时点：报价截止及公开报价时间。</w:t>
            </w:r>
          </w:p>
          <w:p>
            <w:pPr>
              <w:pStyle w:val="64"/>
              <w:numPr>
                <w:ilvl w:val="0"/>
                <w:numId w:val="2"/>
              </w:numPr>
              <w:tabs>
                <w:tab w:val="left" w:pos="708"/>
              </w:tabs>
              <w:spacing w:line="460" w:lineRule="exact"/>
              <w:ind w:left="106" w:right="359" w:firstLine="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信用信息查询记录和证据留存方式：截屏等可实现留痕的方式。</w:t>
            </w:r>
          </w:p>
          <w:p>
            <w:pPr>
              <w:pStyle w:val="64"/>
              <w:numPr>
                <w:ilvl w:val="0"/>
                <w:numId w:val="2"/>
              </w:numPr>
              <w:tabs>
                <w:tab w:val="left" w:pos="708"/>
              </w:tabs>
              <w:spacing w:line="460" w:lineRule="exact"/>
              <w:ind w:left="106" w:right="359" w:firstLine="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用信息使用规则：对列入失信被执行人、重大税收违法案件当事人名单、政府采购严重违法失信行为记录名单及其它不符合《中华人民共和国政府采购法》第二十二条规定条件的供应商，拒绝其参与政府采购活动。</w:t>
            </w:r>
          </w:p>
          <w:p>
            <w:pPr>
              <w:pStyle w:val="64"/>
              <w:numPr>
                <w:ilvl w:val="0"/>
                <w:numId w:val="2"/>
              </w:numPr>
              <w:tabs>
                <w:tab w:val="left" w:pos="708"/>
              </w:tabs>
              <w:spacing w:line="460" w:lineRule="exact"/>
              <w:ind w:left="106" w:leftChars="0" w:right="359" w:rightChars="0" w:firstLine="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两个以上的自然人、法人或者其他组织组成的一个联合体，以一个供应商的身份共同参加政府采购活动的，应当对所有联合体成员进行信用记录查询，联合体成员存在不良信用记录的，视同联合体存在不良信用记录。</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p>
        </w:tc>
        <w:tc>
          <w:tcPr>
            <w:tcW w:w="2255"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tc>
        <w:tc>
          <w:tcPr>
            <w:tcW w:w="6970" w:type="dxa"/>
            <w:vAlign w:val="center"/>
          </w:tcPr>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报价包括项目所需的一切费用，以及履行磋商文件中约定的所有责任和义务所发生的全部费用。供应商无论何种原因造成报价的遗漏，其风险自担，一旦发生不作为调价依据，除国家法律、行政法规另有规定的。供应商免费提供的项目，应先填写该项目的实际价格，并注明免费。此项不计入总报价，报价有优惠的，请将优惠一并折入报价，本项目不接收报价以外的价格优惠。供应商的报价低于成本价，恶意竞争的，经磋商小组评审认定后其报价将被否决，其报价文件按无效报价处理。</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w:t>
            </w:r>
          </w:p>
        </w:tc>
        <w:tc>
          <w:tcPr>
            <w:tcW w:w="2255" w:type="dxa"/>
            <w:vAlign w:val="top"/>
          </w:tcPr>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ind w:left="131" w:leftChars="0" w:right="121" w:rightChars="0"/>
              <w:jc w:val="center"/>
              <w:rPr>
                <w:rFonts w:hint="eastAsia" w:ascii="宋体" w:hAnsi="宋体" w:eastAsia="宋体" w:cs="宋体"/>
                <w:sz w:val="24"/>
                <w:szCs w:val="24"/>
                <w:highlight w:val="none"/>
              </w:rPr>
            </w:pPr>
            <w:r>
              <w:rPr>
                <w:rFonts w:hint="eastAsia" w:ascii="宋体" w:hAnsi="宋体" w:eastAsia="宋体" w:cs="宋体"/>
                <w:sz w:val="24"/>
                <w:highlight w:val="none"/>
              </w:rPr>
              <w:t>报价单位提报虚假材料应承担的责任</w:t>
            </w:r>
          </w:p>
        </w:tc>
        <w:tc>
          <w:tcPr>
            <w:tcW w:w="6970" w:type="dxa"/>
            <w:vAlign w:val="top"/>
          </w:tcPr>
          <w:p>
            <w:pPr>
              <w:pStyle w:val="64"/>
              <w:spacing w:line="460" w:lineRule="exact"/>
              <w:ind w:left="106" w:right="1"/>
              <w:rPr>
                <w:rFonts w:hint="eastAsia" w:ascii="宋体" w:hAnsi="宋体" w:eastAsia="宋体" w:cs="宋体"/>
                <w:sz w:val="24"/>
                <w:highlight w:val="none"/>
              </w:rPr>
            </w:pPr>
            <w:r>
              <w:rPr>
                <w:rFonts w:hint="eastAsia" w:ascii="宋体" w:hAnsi="宋体" w:eastAsia="宋体" w:cs="宋体"/>
                <w:spacing w:val="-5"/>
                <w:sz w:val="24"/>
                <w:highlight w:val="none"/>
              </w:rPr>
              <w:t>报价单位必须对其响应文件中提供各种资料、说明的真实性负责。在</w:t>
            </w:r>
            <w:r>
              <w:rPr>
                <w:rFonts w:hint="eastAsia" w:ascii="宋体" w:hAnsi="宋体" w:eastAsia="宋体" w:cs="宋体"/>
                <w:spacing w:val="-12"/>
                <w:sz w:val="24"/>
                <w:highlight w:val="none"/>
              </w:rPr>
              <w:t>评标过程中，如有发现报价单位有为谋取成交而提供虚假资料欺骗采</w:t>
            </w:r>
            <w:r>
              <w:rPr>
                <w:rFonts w:hint="eastAsia" w:ascii="宋体" w:hAnsi="宋体" w:eastAsia="宋体" w:cs="宋体"/>
                <w:spacing w:val="-13"/>
                <w:sz w:val="24"/>
                <w:highlight w:val="none"/>
              </w:rPr>
              <w:t>购人和评委的行为，将取消其成交资格。</w:t>
            </w:r>
            <w:r>
              <w:rPr>
                <w:rFonts w:hint="eastAsia" w:ascii="宋体" w:hAnsi="宋体" w:eastAsia="宋体" w:cs="宋体"/>
                <w:spacing w:val="-11"/>
                <w:sz w:val="24"/>
                <w:highlight w:val="none"/>
              </w:rPr>
              <w:t>定标后，采购人有可能对成交人响应文件中的承诺内容和证明材料进</w:t>
            </w:r>
            <w:r>
              <w:rPr>
                <w:rFonts w:hint="eastAsia" w:ascii="宋体" w:hAnsi="宋体" w:eastAsia="宋体" w:cs="宋体"/>
                <w:spacing w:val="-12"/>
                <w:sz w:val="24"/>
                <w:highlight w:val="none"/>
              </w:rPr>
              <w:t>行核查，成交人应无条件配合采购人的核查工作，不得托词拒绝核查</w:t>
            </w:r>
            <w:r>
              <w:rPr>
                <w:rFonts w:hint="eastAsia" w:ascii="宋体" w:hAnsi="宋体" w:eastAsia="宋体" w:cs="宋体"/>
                <w:spacing w:val="-15"/>
                <w:sz w:val="24"/>
                <w:highlight w:val="none"/>
              </w:rPr>
              <w:t>或隐瞒真实情况。若在成交后签订合同时，发现成交人是提供虚假材</w:t>
            </w:r>
            <w:r>
              <w:rPr>
                <w:rFonts w:hint="eastAsia" w:ascii="宋体" w:hAnsi="宋体" w:eastAsia="宋体" w:cs="宋体"/>
                <w:spacing w:val="-17"/>
                <w:sz w:val="24"/>
                <w:highlight w:val="none"/>
              </w:rPr>
              <w:t>料谋取成交等违法违规行为，采购人将取消其成交人资格，给采购人造成损失的，还必须进行赔偿并负相关责任。</w:t>
            </w:r>
          </w:p>
          <w:p>
            <w:pPr>
              <w:pStyle w:val="64"/>
              <w:spacing w:line="460" w:lineRule="exact"/>
              <w:ind w:left="106" w:leftChars="0" w:right="1" w:rightChars="0"/>
              <w:rPr>
                <w:rFonts w:hint="eastAsia" w:ascii="宋体" w:hAnsi="宋体" w:eastAsia="宋体" w:cs="宋体"/>
                <w:sz w:val="24"/>
                <w:szCs w:val="24"/>
                <w:highlight w:val="none"/>
              </w:rPr>
            </w:pPr>
            <w:r>
              <w:rPr>
                <w:rFonts w:hint="eastAsia" w:ascii="宋体" w:hAnsi="宋体" w:eastAsia="宋体" w:cs="宋体"/>
                <w:spacing w:val="-6"/>
                <w:sz w:val="24"/>
                <w:highlight w:val="none"/>
              </w:rPr>
              <w:t>供应商提供虚假资质证书及材料谋取成交的；依据《中华人民共和国</w:t>
            </w:r>
            <w:r>
              <w:rPr>
                <w:rFonts w:hint="eastAsia" w:ascii="宋体" w:hAnsi="宋体" w:eastAsia="宋体" w:cs="宋体"/>
                <w:spacing w:val="-12"/>
                <w:sz w:val="24"/>
                <w:highlight w:val="none"/>
              </w:rPr>
              <w:t>政府采购法》的规定，处以采购金额千分之五以上千分之十以下的罚</w:t>
            </w:r>
            <w:r>
              <w:rPr>
                <w:rFonts w:hint="eastAsia" w:ascii="宋体" w:hAnsi="宋体" w:eastAsia="宋体" w:cs="宋体"/>
                <w:spacing w:val="-13"/>
                <w:sz w:val="24"/>
                <w:highlight w:val="none"/>
              </w:rPr>
              <w:t>款，列入不良行为记录名单，在一至三年内禁止参加政府采购活动，</w:t>
            </w:r>
            <w:r>
              <w:rPr>
                <w:rFonts w:hint="eastAsia" w:ascii="宋体" w:hAnsi="宋体" w:eastAsia="宋体" w:cs="宋体"/>
                <w:spacing w:val="-9"/>
                <w:sz w:val="24"/>
                <w:highlight w:val="none"/>
              </w:rPr>
              <w:t>有违法所得的，并处没收违法所得，情节严重的，由工商行政管理机</w:t>
            </w:r>
            <w:r>
              <w:rPr>
                <w:rFonts w:hint="eastAsia" w:ascii="宋体" w:hAnsi="宋体" w:eastAsia="宋体" w:cs="宋体"/>
                <w:sz w:val="24"/>
                <w:highlight w:val="none"/>
              </w:rPr>
              <w:t>关吊销营业执照；构成犯罪的，依法追究刑事责任。</w:t>
            </w:r>
          </w:p>
        </w:tc>
      </w:tr>
      <w:tr>
        <w:tblPrEx>
          <w:tblLayout w:type="fixed"/>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w:t>
            </w:r>
          </w:p>
        </w:tc>
        <w:tc>
          <w:tcPr>
            <w:tcW w:w="2255" w:type="dxa"/>
            <w:vAlign w:val="center"/>
          </w:tcPr>
          <w:p>
            <w:pPr>
              <w:pStyle w:val="64"/>
              <w:spacing w:line="460" w:lineRule="exact"/>
              <w:ind w:right="99" w:rightChars="0"/>
              <w:jc w:val="center"/>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rPr>
              <w:t>优惠政策</w:t>
            </w:r>
          </w:p>
        </w:tc>
        <w:tc>
          <w:tcPr>
            <w:tcW w:w="6970" w:type="dxa"/>
            <w:vAlign w:val="center"/>
          </w:tcPr>
          <w:p>
            <w:pPr>
              <w:pStyle w:val="64"/>
              <w:spacing w:line="460" w:lineRule="exact"/>
              <w:ind w:firstLine="480" w:firstLineChars="20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lt;1&gt;根据财政部，工信部印发的《政府采购促进中小企业发展暂行办法》。提供本企业制造的货物、承担的工程或服务，或提供其他中小企业制造的货物，本项所称货物不包括使用大型企业注册商标的货物；小型微型企业提供中型企业制造的货物的，视同为中型企业。对小型和微型企业的价格给予10%的扣除，但必须提供中小企业声明函（格式附后），否则不予价格扣除。若同一合同包内的小型、微型企业产品仅是构成报价产品的部件、组件或零件的，则该报价产品不给予价格扣除。中小企业划分标准详见工业和信息化部、国家统计局、国家发展和改革委员会、财政部出台的工信部联企业[2011]300号文件。成交人为小微企业的，随成交结果同时公告其《中小企业声明函》，接受社会监督。供应商提供的《中小企业声明函》与事实不符的，依照《政府采购法》第七十七条第一款的规定追究法律责任。供应商须在报价系统内上传《中小企业声明函》扫描件。</w:t>
            </w:r>
          </w:p>
          <w:p>
            <w:pPr>
              <w:pStyle w:val="64"/>
              <w:spacing w:line="460" w:lineRule="exact"/>
              <w:ind w:firstLine="480" w:firstLineChars="20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lt;2&g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复印件加盖公章）。具体采购项目评审时，监狱企业报价给予10%的价格扣除优惠。</w:t>
            </w:r>
          </w:p>
          <w:p>
            <w:pPr>
              <w:pStyle w:val="64"/>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rPr>
              <w:t>&lt;3&gt;残疾人福利性单位给予10%的价格扣除优惠。依据《关于促进残疾人就业政府采购政策的通知财库〔2019〕141号》文件，属于残疾人福利性单位的需提供《残疾人福利性单位声明函》（见附件），残疾人福利性单位属于小型、微型企业的，不重复享受政策。成交人为残疾人福利性单位的，随成交结果同时公告其《残疾人福利性单位声明函》，接受社会监督。供应商提供的《残疾人福利性单位声明函》与事实不符的，依照《政府采购法》第七十七条第一款的规定追究法律责任。供应商须在报价系统内上传《残疾人福利性单位声明函》扫描件。</w:t>
            </w:r>
          </w:p>
        </w:tc>
      </w:tr>
    </w:tbl>
    <w:p>
      <w:pPr>
        <w:tabs>
          <w:tab w:val="left" w:pos="780"/>
        </w:tabs>
        <w:spacing w:after="156" w:afterLines="50"/>
        <w:rPr>
          <w:rFonts w:hint="eastAsia" w:ascii="宋体" w:hAnsi="宋体" w:eastAsia="宋体" w:cs="宋体"/>
          <w:sz w:val="28"/>
          <w:szCs w:val="28"/>
          <w:highlight w:val="none"/>
        </w:rPr>
      </w:pPr>
      <w:r>
        <w:rPr>
          <w:rFonts w:hint="eastAsia" w:ascii="宋体" w:hAnsi="宋体" w:eastAsia="宋体" w:cs="宋体"/>
          <w:color w:val="000000"/>
          <w:kern w:val="2"/>
          <w:sz w:val="24"/>
          <w:szCs w:val="24"/>
          <w:highlight w:val="none"/>
          <w:lang w:val="en-US" w:eastAsia="zh-CN" w:bidi="ar-SA"/>
        </w:rPr>
        <w:t>注：前附表内容如与正文内容不一致的，以本前附表内容为准。</w:t>
      </w:r>
      <w:r>
        <w:rPr>
          <w:rFonts w:hint="eastAsia" w:ascii="宋体" w:hAnsi="宋体" w:eastAsia="宋体" w:cs="宋体"/>
          <w:sz w:val="28"/>
          <w:szCs w:val="28"/>
          <w:highlight w:val="none"/>
        </w:rPr>
        <w:tab/>
      </w:r>
    </w:p>
    <w:p>
      <w:pPr>
        <w:spacing w:line="360" w:lineRule="exact"/>
        <w:jc w:val="center"/>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p>
    <w:p>
      <w:pPr>
        <w:spacing w:after="156" w:afterLines="50"/>
        <w:jc w:val="center"/>
        <w:outlineLvl w:val="1"/>
        <w:rPr>
          <w:rFonts w:hint="eastAsia" w:ascii="宋体" w:hAnsi="宋体" w:eastAsia="宋体" w:cs="宋体"/>
          <w:sz w:val="28"/>
          <w:szCs w:val="28"/>
          <w:highlight w:val="none"/>
        </w:rPr>
      </w:pPr>
      <w:r>
        <w:rPr>
          <w:rFonts w:hint="eastAsia" w:ascii="宋体" w:hAnsi="宋体" w:eastAsia="宋体" w:cs="宋体"/>
          <w:b/>
          <w:sz w:val="28"/>
          <w:szCs w:val="28"/>
          <w:highlight w:val="none"/>
        </w:rPr>
        <w:t>供应商须知正文部分</w:t>
      </w:r>
    </w:p>
    <w:p>
      <w:pPr>
        <w:spacing w:line="500" w:lineRule="exact"/>
        <w:ind w:firstLine="482" w:firstLineChars="200"/>
        <w:rPr>
          <w:rFonts w:hint="eastAsia" w:ascii="宋体" w:hAnsi="宋体" w:eastAsia="宋体" w:cs="宋体"/>
          <w:b/>
          <w:sz w:val="24"/>
          <w:highlight w:val="none"/>
        </w:rPr>
      </w:pPr>
      <w:bookmarkStart w:id="4" w:name="_Toc199817388"/>
      <w:bookmarkStart w:id="5" w:name="_Toc196637386"/>
      <w:bookmarkStart w:id="6" w:name="_Toc196637622"/>
      <w:bookmarkStart w:id="7" w:name="_Toc196637740"/>
      <w:bookmarkStart w:id="8" w:name="_Toc184635071"/>
      <w:bookmarkStart w:id="9" w:name="_Toc152045542"/>
      <w:bookmarkStart w:id="10" w:name="_Toc269310930"/>
      <w:bookmarkStart w:id="11" w:name="_Toc152042318"/>
      <w:bookmarkStart w:id="12" w:name="_Toc312072240"/>
      <w:bookmarkStart w:id="13" w:name="_Toc144974510"/>
      <w:r>
        <w:rPr>
          <w:rFonts w:hint="eastAsia" w:ascii="宋体" w:hAnsi="宋体" w:eastAsia="宋体" w:cs="宋体"/>
          <w:b/>
          <w:sz w:val="24"/>
          <w:highlight w:val="none"/>
        </w:rPr>
        <w:t>1．总则</w:t>
      </w:r>
      <w:bookmarkEnd w:id="4"/>
      <w:bookmarkEnd w:id="5"/>
      <w:bookmarkEnd w:id="6"/>
      <w:bookmarkEnd w:id="7"/>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1.1项目概况</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1.1.1根据《中华人民共和国招标投标法》、《中华人民共和国政府采购法》等有关法律、法规和规章的规定，本采购项目己具备采购条件，现对本项目以竞争性磋商方式进行采购。</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1.1.2本采购项目采购单位：见供应商须知前附表。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1.1.3本项目采购代理机构：见供应商须知前附表。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1.1.4本采购项目名称：见供应商须知前附表。</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1.2资金来源和落实情况</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1.2.1本采购项目的资金来源：见供应商须知前附表。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1.2.2本采购项目的资金落实情况：见供应商须知前附表。</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1.3采购范围、工期和质量要求</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1.3.1本次采购范围：见供应商须知前附表。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1.3.2本项目的工期：见供应商须知前附表。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1.3.3本项目的质量要求：见供应商须知前附表。</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1.4供应商资格要求</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1.4.1供应商应具备承担本项目的资质条件、能力和信誉。</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(l)资质条件：见供应商须知前附表；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(2)财务要求：见供应商须知前附表；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(3)其他要求：见供应商须知前附表。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1.4.2供应商存在下列情形之一的，按无效报价处理：</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(1)被责令停业的；</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(2)被暂停或取消报价资格的；</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(3)财产被接管或冻结的；</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(4)在最近三年内有骗取成交或严重违约或重大质量问题的。</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1.5费用承担</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供应商准备和参加报价活动发生的费用自理。</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1.6保密</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参与采购报价活动的各方应对磋商文件和磋商响应文件中的商业和技术等秘密保密，违者应对由此造成的后果承担法律责任。</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1.7语言文字</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除专用术语外，与采购报价有关的语言均使用简体中文。必要时专用术语应附有中文注释。</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1.8计量单位</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所有计量均采用中华人民共和国法定计量单位。</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1.9踏勘现场</w:t>
      </w:r>
    </w:p>
    <w:p>
      <w:pPr>
        <w:spacing w:line="5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1.9.1采购人不统一组织踏勘现场，由供应商自行踏勘项目现场。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1.9.2供应商踏勘现场发生的费用自理。</w:t>
      </w:r>
    </w:p>
    <w:p>
      <w:pPr>
        <w:spacing w:line="500" w:lineRule="exact"/>
        <w:ind w:firstLine="482" w:firstLineChars="200"/>
        <w:rPr>
          <w:rFonts w:hint="eastAsia" w:ascii="宋体" w:hAnsi="宋体" w:eastAsia="宋体" w:cs="宋体"/>
          <w:b/>
          <w:sz w:val="24"/>
          <w:highlight w:val="none"/>
          <w:lang w:eastAsia="zh-CN"/>
        </w:rPr>
      </w:pPr>
      <w:r>
        <w:rPr>
          <w:rFonts w:hint="eastAsia" w:ascii="宋体" w:hAnsi="宋体" w:eastAsia="宋体" w:cs="宋体"/>
          <w:b/>
          <w:sz w:val="24"/>
          <w:highlight w:val="none"/>
        </w:rPr>
        <w:t>1.10报价预备会</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不召开报价预备会。</w:t>
      </w:r>
    </w:p>
    <w:p>
      <w:pPr>
        <w:spacing w:line="5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1.11分包</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本项目不允许分包。</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1.12偏离</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供应商须知前附表允许磋商响应文件偏离磋商文件某些要求的，偏离应当符合磋商文件规定的偏离范围和幅度。</w:t>
      </w:r>
    </w:p>
    <w:p>
      <w:pPr>
        <w:spacing w:line="500" w:lineRule="exact"/>
        <w:ind w:firstLine="482" w:firstLineChars="200"/>
        <w:rPr>
          <w:rFonts w:hint="eastAsia" w:ascii="宋体" w:hAnsi="宋体" w:eastAsia="宋体" w:cs="宋体"/>
          <w:b/>
          <w:sz w:val="24"/>
          <w:highlight w:val="none"/>
        </w:rPr>
      </w:pPr>
      <w:bookmarkStart w:id="14" w:name="_Toc196637387"/>
      <w:bookmarkStart w:id="15" w:name="_Toc196637623"/>
      <w:bookmarkStart w:id="16" w:name="_Toc196637741"/>
      <w:bookmarkStart w:id="17" w:name="_Toc199817389"/>
      <w:r>
        <w:rPr>
          <w:rFonts w:hint="eastAsia" w:ascii="宋体" w:hAnsi="宋体" w:eastAsia="宋体" w:cs="宋体"/>
          <w:b/>
          <w:sz w:val="24"/>
          <w:highlight w:val="none"/>
        </w:rPr>
        <w:t>2．</w:t>
      </w:r>
      <w:bookmarkEnd w:id="14"/>
      <w:bookmarkEnd w:id="15"/>
      <w:bookmarkEnd w:id="16"/>
      <w:bookmarkEnd w:id="17"/>
      <w:r>
        <w:rPr>
          <w:rFonts w:hint="eastAsia" w:ascii="宋体" w:hAnsi="宋体" w:eastAsia="宋体" w:cs="宋体"/>
          <w:b/>
          <w:sz w:val="24"/>
          <w:highlight w:val="none"/>
        </w:rPr>
        <w:t>竞争性磋商文件</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2.1竞争性磋商文件的组成</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本磋商文件由磋商文件目录所列内容组成。</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第一章竞争性磋商公告</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第二章供应商须知及前附表</w:t>
      </w:r>
    </w:p>
    <w:p>
      <w:pPr>
        <w:spacing w:line="5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第三章工程量清单</w:t>
      </w:r>
      <w:r>
        <w:rPr>
          <w:rFonts w:hint="eastAsia" w:ascii="宋体" w:hAnsi="宋体" w:eastAsia="宋体" w:cs="宋体"/>
          <w:sz w:val="24"/>
          <w:highlight w:val="none"/>
          <w:lang w:eastAsia="zh-CN"/>
        </w:rPr>
        <w:t>及图纸</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第四章合同条款及格式</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第五章响应文件格式</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第六章评分办法</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2.2磋商文件的澄清、修改</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w:t>
      </w:r>
      <w:bookmarkStart w:id="18" w:name="_Toc196637388"/>
      <w:bookmarkStart w:id="19" w:name="_Toc196637742"/>
      <w:bookmarkStart w:id="20" w:name="_Toc199817390"/>
      <w:bookmarkStart w:id="21" w:name="_Toc196637624"/>
      <w:r>
        <w:rPr>
          <w:rFonts w:hint="eastAsia" w:ascii="宋体" w:hAnsi="宋体" w:eastAsia="宋体" w:cs="宋体"/>
          <w:sz w:val="24"/>
          <w:highlight w:val="none"/>
        </w:rPr>
        <w:t>供应商获取磋商文件后，应仔细检查磋商文件的所有内容，如有残缺等问题应在获得磋商文件当日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该响应文件有可能被拒绝。</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.2.2磋商文件的澄清或修改</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对磋商文件提出的澄清要求，登录系统利用在线提问功能进行。采购人、采购代理机构对已发出的磋商文件进行必要的澄清时或者修改的，将在磋商文件要求提交响应文件截止时间5日前发布变更公告。该澄清或者修改的内容作为磋商文件的组成部分，对所有供应商具有约束力。</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w:t>
      </w:r>
      <w:bookmarkEnd w:id="18"/>
      <w:bookmarkEnd w:id="19"/>
      <w:bookmarkEnd w:id="20"/>
      <w:bookmarkEnd w:id="21"/>
      <w:r>
        <w:rPr>
          <w:rFonts w:hint="eastAsia" w:ascii="宋体" w:hAnsi="宋体" w:eastAsia="宋体" w:cs="宋体"/>
          <w:b/>
          <w:sz w:val="24"/>
          <w:highlight w:val="none"/>
        </w:rPr>
        <w:t>磋商响应文件</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.1报价函部分主要包括下列内容：</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一、</w:t>
      </w:r>
      <w:r>
        <w:rPr>
          <w:rFonts w:hint="eastAsia" w:ascii="宋体" w:hAnsi="宋体" w:eastAsia="宋体" w:cs="宋体"/>
          <w:b w:val="0"/>
          <w:bCs/>
          <w:sz w:val="24"/>
          <w:highlight w:val="none"/>
        </w:rPr>
        <w:t>报价函</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二、法定代表人身份证明</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三、授权委托书</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四、</w:t>
      </w:r>
      <w:r>
        <w:rPr>
          <w:rFonts w:hint="eastAsia" w:ascii="宋体" w:hAnsi="宋体" w:eastAsia="宋体" w:cs="宋体"/>
          <w:b w:val="0"/>
          <w:bCs/>
          <w:sz w:val="24"/>
          <w:highlight w:val="none"/>
        </w:rPr>
        <w:t>报价一览表</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五、</w:t>
      </w:r>
      <w:r>
        <w:rPr>
          <w:rFonts w:hint="eastAsia" w:ascii="宋体" w:hAnsi="宋体" w:eastAsia="宋体" w:cs="宋体"/>
          <w:b w:val="0"/>
          <w:bCs/>
          <w:sz w:val="24"/>
          <w:highlight w:val="none"/>
        </w:rPr>
        <w:t>报价明细表</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六、</w:t>
      </w:r>
      <w:r>
        <w:rPr>
          <w:rFonts w:hint="eastAsia" w:ascii="宋体" w:hAnsi="宋体" w:eastAsia="宋体" w:cs="宋体"/>
          <w:b w:val="0"/>
          <w:bCs/>
          <w:sz w:val="24"/>
          <w:highlight w:val="none"/>
        </w:rPr>
        <w:t>中小企业声明函（如有）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七、</w:t>
      </w:r>
      <w:r>
        <w:rPr>
          <w:rFonts w:hint="eastAsia" w:ascii="宋体" w:hAnsi="宋体" w:eastAsia="宋体" w:cs="宋体"/>
          <w:b w:val="0"/>
          <w:bCs/>
          <w:sz w:val="24"/>
          <w:highlight w:val="none"/>
        </w:rPr>
        <w:t>监狱企业证明文件（如有）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八、</w:t>
      </w:r>
      <w:r>
        <w:rPr>
          <w:rFonts w:hint="eastAsia" w:ascii="宋体" w:hAnsi="宋体" w:eastAsia="宋体" w:cs="宋体"/>
          <w:b w:val="0"/>
          <w:bCs/>
          <w:sz w:val="24"/>
          <w:highlight w:val="none"/>
        </w:rPr>
        <w:t>残疾人福利性单位声明（如有）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九、</w:t>
      </w:r>
      <w:r>
        <w:rPr>
          <w:rFonts w:hint="eastAsia" w:ascii="宋体" w:hAnsi="宋体" w:eastAsia="宋体" w:cs="宋体"/>
          <w:b w:val="0"/>
          <w:bCs/>
          <w:sz w:val="24"/>
          <w:highlight w:val="none"/>
        </w:rPr>
        <w:t>节能（非强制类产品）标志产品加分明细表（如有）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十、</w:t>
      </w:r>
      <w:r>
        <w:rPr>
          <w:rFonts w:hint="eastAsia" w:ascii="宋体" w:hAnsi="宋体" w:eastAsia="宋体" w:cs="宋体"/>
          <w:b w:val="0"/>
          <w:bCs/>
          <w:sz w:val="24"/>
          <w:highlight w:val="none"/>
        </w:rPr>
        <w:t>节能（非强制类产品）产品证明文件（如有）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十一、</w:t>
      </w:r>
      <w:r>
        <w:rPr>
          <w:rFonts w:hint="eastAsia" w:ascii="宋体" w:hAnsi="宋体" w:eastAsia="宋体" w:cs="宋体"/>
          <w:b w:val="0"/>
          <w:bCs/>
          <w:sz w:val="24"/>
          <w:highlight w:val="none"/>
        </w:rPr>
        <w:t>环境标志产品加分明细表（如有）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十二、</w:t>
      </w:r>
      <w:r>
        <w:rPr>
          <w:rFonts w:hint="eastAsia" w:ascii="宋体" w:hAnsi="宋体" w:eastAsia="宋体" w:cs="宋体"/>
          <w:b w:val="0"/>
          <w:bCs/>
          <w:sz w:val="24"/>
          <w:highlight w:val="none"/>
        </w:rPr>
        <w:t>环境标志产品证明文件（如有）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十三、</w:t>
      </w:r>
      <w:r>
        <w:rPr>
          <w:rFonts w:hint="eastAsia" w:ascii="宋体" w:hAnsi="宋体" w:eastAsia="宋体" w:cs="宋体"/>
          <w:b w:val="0"/>
          <w:bCs/>
          <w:sz w:val="24"/>
          <w:highlight w:val="none"/>
        </w:rPr>
        <w:t>磋商文件要求供应商提交或供应商认为有必要提交的其他资料</w:t>
      </w:r>
    </w:p>
    <w:p>
      <w:pPr>
        <w:spacing w:line="500" w:lineRule="exact"/>
        <w:ind w:firstLine="482" w:firstLineChars="200"/>
        <w:rPr>
          <w:rFonts w:hint="eastAsia" w:ascii="宋体" w:hAnsi="宋体" w:eastAsia="宋体" w:cs="宋体"/>
          <w:b/>
          <w:bCs w:val="0"/>
          <w:sz w:val="24"/>
          <w:highlight w:val="none"/>
          <w:lang w:eastAsia="zh-CN"/>
        </w:rPr>
      </w:pPr>
      <w:r>
        <w:rPr>
          <w:rFonts w:hint="eastAsia" w:ascii="宋体" w:hAnsi="宋体" w:eastAsia="宋体" w:cs="宋体"/>
          <w:b/>
          <w:bCs w:val="0"/>
          <w:sz w:val="24"/>
          <w:highlight w:val="none"/>
          <w:lang w:val="en-US" w:eastAsia="zh-CN"/>
        </w:rPr>
        <w:t>3</w:t>
      </w:r>
      <w:r>
        <w:rPr>
          <w:rFonts w:hint="eastAsia" w:ascii="宋体" w:hAnsi="宋体" w:eastAsia="宋体" w:cs="宋体"/>
          <w:b/>
          <w:bCs w:val="0"/>
          <w:sz w:val="24"/>
          <w:highlight w:val="none"/>
        </w:rPr>
        <w:t>.2资格（资质）证明材料</w:t>
      </w:r>
    </w:p>
    <w:p>
      <w:pPr>
        <w:spacing w:line="500" w:lineRule="exact"/>
        <w:ind w:firstLine="482" w:firstLineChars="200"/>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3</w:t>
      </w:r>
      <w:r>
        <w:rPr>
          <w:rFonts w:hint="eastAsia" w:ascii="宋体" w:hAnsi="宋体" w:eastAsia="宋体" w:cs="宋体"/>
          <w:b/>
          <w:bCs w:val="0"/>
          <w:sz w:val="24"/>
          <w:highlight w:val="none"/>
        </w:rPr>
        <w:t>.3施工组织设计</w:t>
      </w:r>
    </w:p>
    <w:p>
      <w:pPr>
        <w:spacing w:line="500" w:lineRule="exact"/>
        <w:ind w:firstLine="482" w:firstLineChars="200"/>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3</w:t>
      </w:r>
      <w:r>
        <w:rPr>
          <w:rFonts w:hint="eastAsia" w:ascii="宋体" w:hAnsi="宋体" w:eastAsia="宋体" w:cs="宋体"/>
          <w:b/>
          <w:bCs w:val="0"/>
          <w:sz w:val="24"/>
          <w:highlight w:val="none"/>
        </w:rPr>
        <w:t>.</w:t>
      </w:r>
      <w:r>
        <w:rPr>
          <w:rFonts w:hint="eastAsia" w:ascii="宋体" w:hAnsi="宋体" w:eastAsia="宋体" w:cs="宋体"/>
          <w:b/>
          <w:bCs w:val="0"/>
          <w:sz w:val="24"/>
          <w:highlight w:val="none"/>
          <w:lang w:val="en-US" w:eastAsia="zh-CN"/>
        </w:rPr>
        <w:t>4</w:t>
      </w:r>
      <w:r>
        <w:rPr>
          <w:rFonts w:hint="eastAsia" w:ascii="宋体" w:hAnsi="宋体" w:eastAsia="宋体" w:cs="宋体"/>
          <w:b/>
          <w:bCs w:val="0"/>
          <w:sz w:val="24"/>
          <w:highlight w:val="none"/>
        </w:rPr>
        <w:t>供应商认为需要提交的其他文件</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磋商报价</w:t>
      </w:r>
    </w:p>
    <w:p>
      <w:pPr>
        <w:spacing w:line="500" w:lineRule="exact"/>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4.1.1本次磋商报价为两次报价，两次报价且只允许提供一个方案，第二次报价不得高于第一次报价，且两次报价均不得超过本项目预算金额，否则按无效报价处理。第二次报价即为最终报价。</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4.1.2</w:t>
      </w:r>
      <w:r>
        <w:rPr>
          <w:rFonts w:hint="eastAsia" w:ascii="宋体" w:hAnsi="宋体" w:eastAsia="宋体" w:cs="宋体"/>
          <w:sz w:val="24"/>
          <w:highlight w:val="none"/>
        </w:rPr>
        <w:t>报价币种：人民币。</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4.1.3</w:t>
      </w:r>
      <w:r>
        <w:rPr>
          <w:rFonts w:hint="eastAsia" w:ascii="宋体" w:hAnsi="宋体" w:eastAsia="宋体" w:cs="宋体"/>
          <w:sz w:val="24"/>
          <w:highlight w:val="none"/>
        </w:rPr>
        <w:t>报价：本项目报价包括项目所需的一切费用。供应商的报价，应是完成本项目的所有费用，以及履行磋商文件中约定的所有责任和义务所发生的全部费用。供应商无论何种原因造成报价的遗漏，其风险自担，一旦发生不作为调价依据，除国家法律、行政法规另有规定的。供应商免费提供的项目，应先填写该项目的实际价格，并注明免费。此项不计入总报价，报价有优惠的，请将优惠一并折入报价，本项目不接收报价以外的价格优惠。</w:t>
      </w:r>
    </w:p>
    <w:p>
      <w:pPr>
        <w:spacing w:line="500" w:lineRule="exact"/>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4.2.响应有效期</w:t>
      </w:r>
    </w:p>
    <w:p>
      <w:pPr>
        <w:spacing w:line="500" w:lineRule="exact"/>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4.2.1从递交响应文件截止之日起，有效期为90日历天。响应文件的有效期比本须知规定的有效期短的，将被称为非响应文件，采购人有权拒绝。</w:t>
      </w:r>
    </w:p>
    <w:p>
      <w:pPr>
        <w:spacing w:line="500" w:lineRule="exact"/>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4.2.2出现特殊情况需要延长响应有效期的，采购人将通过邹城外宣网通知所有供应商延长响应有效期。供应商同意延长的，应相应延长其响应的有效期，但不得要求修改或撤销其响应文件；供应商拒绝延长的，其响应失效。</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4.3</w:t>
      </w:r>
      <w:r>
        <w:rPr>
          <w:rFonts w:hint="eastAsia" w:ascii="宋体" w:hAnsi="宋体" w:eastAsia="宋体" w:cs="宋体"/>
          <w:b/>
          <w:sz w:val="24"/>
          <w:highlight w:val="none"/>
        </w:rPr>
        <w:t>磋商保证金</w:t>
      </w:r>
    </w:p>
    <w:p>
      <w:pPr>
        <w:spacing w:line="5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无</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备选报价方案</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供应商不得提交备选报价方案。</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4.5</w:t>
      </w:r>
      <w:r>
        <w:rPr>
          <w:rFonts w:hint="eastAsia" w:ascii="宋体" w:hAnsi="宋体" w:eastAsia="宋体" w:cs="宋体"/>
          <w:b w:val="0"/>
          <w:bCs/>
          <w:sz w:val="24"/>
          <w:highlight w:val="none"/>
        </w:rPr>
        <w:t>磋商响应文件的编制</w:t>
      </w:r>
    </w:p>
    <w:p>
      <w:pPr>
        <w:spacing w:line="500" w:lineRule="exact"/>
        <w:ind w:firstLine="480" w:firstLineChars="200"/>
        <w:rPr>
          <w:rFonts w:hint="eastAsia" w:ascii="宋体" w:hAnsi="宋体" w:eastAsia="宋体" w:cs="宋体"/>
          <w:b w:val="0"/>
          <w:bCs/>
          <w:sz w:val="24"/>
          <w:highlight w:val="none"/>
        </w:rPr>
      </w:pPr>
      <w:bookmarkStart w:id="22" w:name="_Toc196637743"/>
      <w:bookmarkStart w:id="23" w:name="_Toc199817391"/>
      <w:bookmarkStart w:id="24" w:name="_Toc196637389"/>
      <w:bookmarkStart w:id="25" w:name="_Toc196637625"/>
      <w:r>
        <w:rPr>
          <w:rFonts w:hint="eastAsia" w:ascii="宋体" w:hAnsi="宋体" w:eastAsia="宋体" w:cs="宋体"/>
          <w:b w:val="0"/>
          <w:bCs/>
          <w:sz w:val="24"/>
          <w:highlight w:val="none"/>
          <w:lang w:val="en-US" w:eastAsia="zh-CN"/>
        </w:rPr>
        <w:t>4.5</w:t>
      </w:r>
      <w:r>
        <w:rPr>
          <w:rFonts w:hint="eastAsia" w:ascii="宋体" w:hAnsi="宋体" w:eastAsia="宋体" w:cs="宋体"/>
          <w:b w:val="0"/>
          <w:bCs/>
          <w:sz w:val="24"/>
          <w:highlight w:val="none"/>
        </w:rPr>
        <w:t>.1磋商响应文件应按“磋商响应文件格式”进行编写，如有必要，可以增加附页，作为磋商响应文件的组成部分。其中，报价函附录在满足磋商文件实质性要求的基础上，可以提出比磋商文件要求更有利于采购单位的承诺。</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4.5</w:t>
      </w:r>
      <w:r>
        <w:rPr>
          <w:rFonts w:hint="eastAsia" w:ascii="宋体" w:hAnsi="宋体" w:eastAsia="宋体" w:cs="宋体"/>
          <w:b w:val="0"/>
          <w:bCs/>
          <w:sz w:val="24"/>
          <w:highlight w:val="none"/>
        </w:rPr>
        <w:t>.2磋商响应文件应当对磋商文件有关工期、报价有效期、质量要求、技术标准和要求、采购范围等实质性内容作出响应。</w:t>
      </w:r>
      <w:bookmarkStart w:id="26" w:name="_Toc327370315"/>
      <w:bookmarkStart w:id="27" w:name="_Toc324425869"/>
    </w:p>
    <w:bookmarkEnd w:id="26"/>
    <w:bookmarkEnd w:id="27"/>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4.5</w:t>
      </w:r>
      <w:r>
        <w:rPr>
          <w:rFonts w:hint="eastAsia" w:ascii="宋体" w:hAnsi="宋体" w:eastAsia="宋体" w:cs="宋体"/>
          <w:b w:val="0"/>
          <w:bCs/>
          <w:sz w:val="24"/>
          <w:highlight w:val="none"/>
        </w:rPr>
        <w:t>.3成交供应商的磋商响应报价文件应采用不褪色的材料书写或打印，并由供应商的法定代表人或其委托代理人签字或盖单位章。委托代理人签字的，磋商响应文件应附法定代表人签署的授权委托书。磋商响应文件应尽量避免涂改、行间插字或删除。如果出现上述情况，改动之处应加盖单位章或由供应商的法定代表人或其授权的代理人签字确认。签字或盖章的具体要求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b w:val="0"/>
          <w:bCs/>
          <w:sz w:val="24"/>
          <w:highlight w:val="none"/>
          <w:lang w:val="en-US" w:eastAsia="zh-CN"/>
        </w:rPr>
        <w:t>4.5</w:t>
      </w:r>
      <w:r>
        <w:rPr>
          <w:rFonts w:hint="eastAsia" w:ascii="宋体" w:hAnsi="宋体" w:eastAsia="宋体" w:cs="宋体"/>
          <w:sz w:val="24"/>
          <w:highlight w:val="none"/>
        </w:rPr>
        <w:t>.4成交供应商的磋商纸质响应文件应胶装成册，并编制目录，具体装订要求见供应商须知前附表规定。</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．竞标</w:t>
      </w:r>
      <w:bookmarkEnd w:id="22"/>
      <w:bookmarkEnd w:id="23"/>
      <w:bookmarkEnd w:id="24"/>
      <w:bookmarkEnd w:id="25"/>
    </w:p>
    <w:p>
      <w:pPr>
        <w:spacing w:line="500" w:lineRule="exact"/>
        <w:ind w:firstLine="482" w:firstLineChars="200"/>
        <w:rPr>
          <w:rFonts w:hint="eastAsia" w:ascii="宋体" w:hAnsi="宋体" w:eastAsia="宋体" w:cs="宋体"/>
          <w:b/>
          <w:sz w:val="24"/>
          <w:highlight w:val="none"/>
          <w:u w:val="single"/>
        </w:rPr>
      </w:pP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.1磋商响应报价文件递交：详见前附表</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.2磋商响应文件的修改与撤回</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.2.1在报价截止时间前，供应商可以修改或撤回已递交的磋商响应文件。</w:t>
      </w:r>
    </w:p>
    <w:p>
      <w:pPr>
        <w:spacing w:line="500" w:lineRule="exact"/>
        <w:ind w:firstLine="482" w:firstLineChars="200"/>
        <w:rPr>
          <w:rFonts w:hint="eastAsia" w:ascii="宋体" w:hAnsi="宋体" w:eastAsia="宋体" w:cs="宋体"/>
          <w:b/>
          <w:sz w:val="24"/>
          <w:highlight w:val="none"/>
        </w:rPr>
      </w:pPr>
      <w:bookmarkStart w:id="28" w:name="_Toc196637626"/>
      <w:bookmarkStart w:id="29" w:name="_Toc199817392"/>
      <w:bookmarkStart w:id="30" w:name="_Toc196637744"/>
      <w:bookmarkStart w:id="31" w:name="_Toc196637390"/>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w:t>
      </w:r>
      <w:bookmarkEnd w:id="28"/>
      <w:bookmarkEnd w:id="29"/>
      <w:bookmarkEnd w:id="30"/>
      <w:bookmarkEnd w:id="31"/>
      <w:r>
        <w:rPr>
          <w:rFonts w:hint="eastAsia" w:ascii="宋体" w:hAnsi="宋体" w:eastAsia="宋体" w:cs="宋体"/>
          <w:b/>
          <w:sz w:val="24"/>
          <w:highlight w:val="none"/>
        </w:rPr>
        <w:t>报价</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.1报价时间和地点</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在规定的报价截止时间（开标时间）和供应商须知前附表规定的方式递交响应报价文件。</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.2磋商程序</w:t>
      </w:r>
    </w:p>
    <w:p>
      <w:pPr>
        <w:spacing w:line="500" w:lineRule="exact"/>
        <w:ind w:firstLine="480" w:firstLineChars="200"/>
        <w:rPr>
          <w:rFonts w:hint="eastAsia" w:ascii="宋体" w:hAnsi="宋体" w:eastAsia="宋体" w:cs="宋体"/>
          <w:sz w:val="24"/>
          <w:highlight w:val="none"/>
        </w:rPr>
      </w:pPr>
      <w:bookmarkStart w:id="32" w:name="_Toc196637627"/>
      <w:bookmarkStart w:id="33" w:name="_Toc196637391"/>
      <w:bookmarkStart w:id="34" w:name="_Toc199817393"/>
      <w:bookmarkStart w:id="35" w:name="_Toc196637745"/>
      <w:r>
        <w:rPr>
          <w:rFonts w:hint="eastAsia" w:ascii="宋体" w:hAnsi="宋体" w:eastAsia="宋体" w:cs="宋体"/>
          <w:sz w:val="24"/>
          <w:highlight w:val="none"/>
        </w:rPr>
        <w:t>采购代理机构项目负责人在规定的时间、地点开标，具体程序详见供应商须知前附表。</w:t>
      </w:r>
    </w:p>
    <w:bookmarkEnd w:id="32"/>
    <w:bookmarkEnd w:id="33"/>
    <w:bookmarkEnd w:id="34"/>
    <w:bookmarkEnd w:id="35"/>
    <w:p>
      <w:pPr>
        <w:spacing w:line="500" w:lineRule="exact"/>
        <w:ind w:firstLine="482" w:firstLineChars="200"/>
        <w:rPr>
          <w:rFonts w:hint="eastAsia" w:ascii="宋体" w:hAnsi="宋体" w:eastAsia="宋体" w:cs="宋体"/>
          <w:b/>
          <w:sz w:val="24"/>
          <w:highlight w:val="none"/>
        </w:rPr>
      </w:pPr>
      <w:bookmarkStart w:id="36" w:name="_Toc482695908"/>
      <w:bookmarkStart w:id="37" w:name="_Toc482628608"/>
      <w:bookmarkStart w:id="38" w:name="_Toc482628499"/>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．磋商</w:t>
      </w:r>
      <w:bookmarkEnd w:id="36"/>
      <w:bookmarkEnd w:id="37"/>
      <w:bookmarkEnd w:id="38"/>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.1磋商小组</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1.1评审由采购人依法组建的磋商小组负责。磋商小组成员在政府依法组建的专家库中随机抽取，由有关技术、经济等方面的专家3人及以上的单数组成，磋商小组负责对磋商响应文件进行综合评审，推荐3名合格的成交候选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.1.2磋商小组成员有下列情形之一的，应当回避：</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(1）采购单位或供应商的主要负责人的近亲属；</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(2）项目主管部门或者行政监督部门的人员；</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(3）与供应商有经济利益关系，可能影响对报价公正评审的；</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(4）曾因在采购、评审以及其他与采购报价有关活动中从事违法行为而受过行政处罚或刑事处罚的。</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.2磋商原则与评审方法</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.2.1评审原则</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“公平、公正、诚实、信用”为本次竞争性磋商的基本原则，磋商小组按照这一原则的要求，公正、平等地对待各供应商。同时，在磋商过程中恪守以下原则：</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2、统一性原则：磋商小组将按照统一的原则和方法，对各供应商的报价文件进行评审。</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3、独立性原则：评审工作在磋商小组内部独立进行，不受外界任何因素的干扰和影响，磋商小组成员对出具的专家意见承担个人责任。</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4、保密性原则：磋商小组成员及有关工作人员将保守供应商的商业秘密。</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.2.2评审方法</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详见第六章评审办法。</w:t>
      </w:r>
    </w:p>
    <w:p>
      <w:pPr>
        <w:spacing w:line="500" w:lineRule="exact"/>
        <w:ind w:firstLine="482" w:firstLineChars="200"/>
        <w:rPr>
          <w:rFonts w:hint="eastAsia" w:ascii="宋体" w:hAnsi="宋体" w:eastAsia="宋体" w:cs="宋体"/>
          <w:b/>
          <w:sz w:val="24"/>
          <w:highlight w:val="none"/>
        </w:rPr>
      </w:pPr>
      <w:bookmarkStart w:id="39" w:name="_Toc199817394"/>
      <w:bookmarkStart w:id="40" w:name="_Toc482695909"/>
      <w:bookmarkStart w:id="41" w:name="_Toc482628500"/>
      <w:bookmarkStart w:id="42" w:name="_Toc196637746"/>
      <w:bookmarkStart w:id="43" w:name="_Toc482628609"/>
      <w:bookmarkStart w:id="44" w:name="_Toc196637628"/>
      <w:bookmarkStart w:id="45" w:name="_Toc196637392"/>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．合同授予</w:t>
      </w:r>
      <w:bookmarkEnd w:id="39"/>
      <w:bookmarkEnd w:id="40"/>
      <w:bookmarkEnd w:id="41"/>
      <w:bookmarkEnd w:id="42"/>
      <w:bookmarkEnd w:id="43"/>
      <w:bookmarkEnd w:id="44"/>
      <w:bookmarkEnd w:id="45"/>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.1定标方式</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1.1磋商小组根据既定的评审方法及原则，对磋商响应文件进行评审和比较，向采购人提出书面评审报告，并按最终得分高低排列顺序，推荐3名合格的成交候选人。若最终得分相同，以报价较低的确定成交供应商；若报价相同以企业资质高低顺序排列确定成交供应商。采购人根据提出的书面评标报告和推荐的成交候选人，确定排名第一的成交候选人为成交供应商。排名第一的成交候选人放弃成交、因不可抗力提出不能履行合同或者因违反相关规定被依法取消其成交资格的，采购人可以确定排名第二的成交候选人为成交供应商。排名第二的成交候选人因前款规定的同样原因不能签订合同的，采购人可以确定排名第三的成交候选人为成交供应商，也可重新招标。</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.1.2编制评审报告</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磋商小组向采购人提交评审报告。评审报告应当由全体磋商小组成员确认。评审报告应当包括以下内容：</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（1）基本情况和数据表；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（2）磋商小组成员名单；</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（3）开标记录；</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（4）符合要求的报价一览表；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（5）否决投标情况说明；</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（6）磋商标准、磋商方法或者磋商因素一览表；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（7）经评审的价格一览表（包括磋商小组在磋商过程中所形成的所有记载磋商结果、结论的表格、说明、记录等文件）；</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（8）经评审的供应商排序；</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（9）确定的成交供应商与签订合同前要处理的事宜；</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（10）澄清、说明、补正事项纪要。</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1.3评审报告由磋商小组全体成员签字。对磋商结论持有异议的磋商小组成员可以书面方式阐述其不同意见和理由。磋商小组成员拒绝在评审报告上签字且不陈述其不同意见和理由的，视为同意磋商结论。磋商小组应当对此作出书面说明并记录在案。</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.1.4向采购人提交书面评审报告后，磋商小组即告解散。</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.1.5磋商小组经评审，认为所有报价都不符合采购文件要求的，可以否决所有报价。所有报价被否决后，采购人应当依法重新采购。</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.1.6特殊情况的处置程序</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.1.7.1关于磋商活动暂停</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磋商小组应当执行连续磋商的原则，按磋商办法中规定的程序、内容、方法、标准完成全部磋商工作。只有发生不可抗力导致磋商工作无法继续时，磋商活动方可暂停。</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发生磋商暂停情况时，磋商小组应当封存全部磋商响应文件和磋商记录，待不可抗力的影响结束且具备继续磋商的条件时，由原磋商小组继续磋商。</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.1.7.2关于磋商中途更换评委</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除非发生下列情况之一，磋商小组成员不得在磋商中途更换：</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（1）因不可抗拒的客观原因，不能到场或需在磋商中途退出磋商活动。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（2）根据法律法规规定，某个或某几个磋商小组成员需要回避。</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退出磋商的磋商小组成员，其已完成的磋商行为无效。由采购人根据本采购文件规定的磋商小组成员产生方式另行确定替代者进行磋商。</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.1.7.3关于记名投票表决评审结论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在任何磋商环节中，需磋商小组就某项定性的评审结论做出表决的，由磋商小组全体成员按照少数服从多数的原则，以记名投票方式表决。</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.2成交公示及成交通知书：</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采购单位以《成交通知书》的方式通知成交供应商其报价被接受。</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.3签订合同</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.3.1采购单位和成交供应商应当自成交通知书发出之日起</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日内，根据磋商文件和成交供应商的磋商响应文件订立书面合同。订立书面合同7日内，成交供应商将两份合同原件备案。</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.3.2发出成交通知书后，采购单位无正当理由拒签合同的，给成交供应商造成损失的，应当赔偿损失。</w:t>
      </w:r>
    </w:p>
    <w:p>
      <w:pPr>
        <w:spacing w:line="500" w:lineRule="exact"/>
        <w:ind w:firstLine="482" w:firstLineChars="200"/>
        <w:rPr>
          <w:rFonts w:hint="eastAsia" w:ascii="宋体" w:hAnsi="宋体" w:eastAsia="宋体" w:cs="宋体"/>
          <w:b/>
          <w:sz w:val="24"/>
          <w:highlight w:val="none"/>
        </w:rPr>
      </w:pPr>
      <w:bookmarkStart w:id="46" w:name="_Toc482695910"/>
      <w:bookmarkStart w:id="47" w:name="_Toc482628501"/>
      <w:bookmarkStart w:id="48" w:name="_Toc196637749"/>
      <w:bookmarkStart w:id="49" w:name="_Toc196637631"/>
      <w:bookmarkStart w:id="50" w:name="_Toc196637395"/>
      <w:bookmarkStart w:id="51" w:name="_Toc482628610"/>
      <w:bookmarkStart w:id="52" w:name="_Toc199817397"/>
      <w:r>
        <w:rPr>
          <w:rFonts w:hint="eastAsia" w:ascii="宋体" w:hAnsi="宋体" w:eastAsia="宋体" w:cs="宋体"/>
          <w:b/>
          <w:sz w:val="24"/>
          <w:highlight w:val="none"/>
          <w:lang w:val="en-US" w:eastAsia="zh-CN"/>
        </w:rPr>
        <w:t>9</w:t>
      </w:r>
      <w:r>
        <w:rPr>
          <w:rFonts w:hint="eastAsia" w:ascii="宋体" w:hAnsi="宋体" w:eastAsia="宋体" w:cs="宋体"/>
          <w:b/>
          <w:sz w:val="24"/>
          <w:highlight w:val="none"/>
        </w:rPr>
        <w:t>、需要补充的其他内容</w:t>
      </w:r>
      <w:bookmarkEnd w:id="46"/>
      <w:bookmarkEnd w:id="47"/>
      <w:bookmarkEnd w:id="48"/>
      <w:bookmarkEnd w:id="49"/>
      <w:bookmarkEnd w:id="50"/>
      <w:bookmarkEnd w:id="51"/>
      <w:bookmarkEnd w:id="52"/>
    </w:p>
    <w:bookmarkEnd w:id="8"/>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需要补充的其他内容：见供应商须知前附表。</w:t>
      </w:r>
    </w:p>
    <w:p>
      <w:pPr>
        <w:spacing w:line="500" w:lineRule="exact"/>
        <w:ind w:firstLine="480" w:firstLineChars="200"/>
        <w:rPr>
          <w:rFonts w:hint="eastAsia" w:ascii="宋体" w:hAnsi="宋体" w:eastAsia="宋体" w:cs="宋体"/>
          <w:sz w:val="24"/>
          <w:highlight w:val="none"/>
        </w:rPr>
      </w:pPr>
    </w:p>
    <w:p>
      <w:pPr>
        <w:spacing w:line="500" w:lineRule="exact"/>
        <w:ind w:firstLine="480" w:firstLineChars="200"/>
        <w:rPr>
          <w:rFonts w:hint="eastAsia" w:ascii="宋体" w:hAnsi="宋体" w:eastAsia="宋体" w:cs="宋体"/>
          <w:sz w:val="24"/>
          <w:highlight w:val="none"/>
        </w:rPr>
      </w:pPr>
    </w:p>
    <w:p>
      <w:pPr>
        <w:numPr>
          <w:ilvl w:val="0"/>
          <w:numId w:val="3"/>
        </w:numPr>
        <w:jc w:val="center"/>
        <w:outlineLvl w:val="0"/>
        <w:rPr>
          <w:rFonts w:hint="eastAsia" w:ascii="宋体" w:hAnsi="宋体" w:eastAsia="宋体" w:cs="宋体"/>
          <w:b/>
          <w:sz w:val="36"/>
          <w:szCs w:val="36"/>
          <w:highlight w:val="none"/>
          <w:lang w:eastAsia="zh-CN"/>
        </w:rPr>
      </w:pPr>
      <w:r>
        <w:rPr>
          <w:rFonts w:hint="eastAsia" w:ascii="宋体" w:hAnsi="宋体" w:eastAsia="宋体" w:cs="宋体"/>
          <w:sz w:val="24"/>
          <w:highlight w:val="none"/>
        </w:rPr>
        <w:br w:type="page"/>
      </w:r>
      <w:bookmarkEnd w:id="9"/>
      <w:bookmarkEnd w:id="10"/>
      <w:bookmarkEnd w:id="11"/>
      <w:bookmarkEnd w:id="12"/>
      <w:bookmarkEnd w:id="13"/>
      <w:bookmarkStart w:id="53" w:name="_Toc669"/>
      <w:bookmarkStart w:id="54" w:name="_Toc393470541"/>
      <w:bookmarkStart w:id="55" w:name="_Toc392920743"/>
      <w:r>
        <w:rPr>
          <w:rFonts w:hint="eastAsia" w:ascii="宋体" w:hAnsi="宋体" w:eastAsia="宋体" w:cs="宋体"/>
          <w:b/>
          <w:sz w:val="36"/>
          <w:szCs w:val="36"/>
          <w:highlight w:val="none"/>
          <w:lang w:eastAsia="zh-CN"/>
        </w:rPr>
        <w:t>工程量清单</w:t>
      </w:r>
      <w:bookmarkEnd w:id="53"/>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0"/>
        <w:gridCol w:w="2176"/>
        <w:gridCol w:w="3061"/>
        <w:gridCol w:w="420"/>
        <w:gridCol w:w="1530"/>
        <w:gridCol w:w="1953"/>
      </w:tblGrid>
      <w:tr>
        <w:tblPrEx>
          <w:tblLayout w:type="fixed"/>
        </w:tblPrEx>
        <w:trPr>
          <w:trHeight w:val="365" w:hRule="exact"/>
        </w:trPr>
        <w:tc>
          <w:tcPr>
            <w:tcW w:w="10460" w:type="dxa"/>
            <w:gridSpan w:val="6"/>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安装工程招标控制价汇总表</w:t>
            </w:r>
          </w:p>
        </w:tc>
      </w:tr>
      <w:tr>
        <w:tblPrEx>
          <w:tblLayout w:type="fixed"/>
        </w:tblPrEx>
        <w:trPr>
          <w:trHeight w:val="503" w:hRule="exact"/>
        </w:trPr>
        <w:tc>
          <w:tcPr>
            <w:tcW w:w="3496" w:type="dxa"/>
            <w:gridSpan w:val="2"/>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81" w:type="dxa"/>
            <w:gridSpan w:val="2"/>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83" w:type="dxa"/>
            <w:gridSpan w:val="2"/>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Layout w:type="fixed"/>
        </w:tblPrEx>
        <w:trPr>
          <w:trHeight w:val="292" w:hRule="exact"/>
        </w:trPr>
        <w:tc>
          <w:tcPr>
            <w:tcW w:w="132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23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汇总名称</w:t>
            </w:r>
          </w:p>
        </w:tc>
        <w:tc>
          <w:tcPr>
            <w:tcW w:w="3903"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r>
      <w:tr>
        <w:tblPrEx>
          <w:tblLayout w:type="fixed"/>
        </w:tblPrEx>
        <w:trPr>
          <w:trHeight w:val="292" w:hRule="exact"/>
        </w:trPr>
        <w:tc>
          <w:tcPr>
            <w:tcW w:w="1320"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523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其中暂估价（元）</w:t>
            </w: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664461.79</w:t>
            </w: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K、给排水、采暖、燃气工程</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664461.79</w:t>
            </w: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措施项目</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26629.00</w:t>
            </w: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单价措施费</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总价措施费</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26629.00</w:t>
            </w: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其他项目</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暂列金额</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专业工程暂估价</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特殊项目暂估价</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计日工</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采购保管费</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其他检验试验费</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总承包服务费</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50898.84</w:t>
            </w: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设备费</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66779.07</w:t>
            </w: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合计=1+2+3+4+5+6</w:t>
            </w: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808768.70</w:t>
            </w: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4976" w:hRule="exact"/>
        </w:trPr>
        <w:tc>
          <w:tcPr>
            <w:tcW w:w="132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523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195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95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92" w:hRule="exact"/>
        </w:trPr>
        <w:tc>
          <w:tcPr>
            <w:tcW w:w="3496" w:type="dxa"/>
            <w:gridSpan w:val="2"/>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81" w:type="dxa"/>
            <w:gridSpan w:val="2"/>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83" w:type="dxa"/>
            <w:gridSpan w:val="2"/>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Layout w:type="fixed"/>
        </w:tblPrEx>
        <w:trPr>
          <w:trHeight w:val="450" w:hRule="exact"/>
        </w:trPr>
        <w:tc>
          <w:tcPr>
            <w:tcW w:w="10490" w:type="dxa"/>
            <w:gridSpan w:val="10"/>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Layout w:type="fixed"/>
        </w:tblPrEx>
        <w:trPr>
          <w:trHeight w:val="30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bookmarkStart w:id="203" w:name="_GoBack"/>
            <w:bookmarkEnd w:id="203"/>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共3页</w:t>
            </w:r>
          </w:p>
        </w:tc>
      </w:tr>
      <w:tr>
        <w:tblPrEx>
          <w:tblLayout w:type="fixed"/>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Layout w:type="fixed"/>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Layout w:type="fixed"/>
        </w:tblPrEx>
        <w:trPr>
          <w:trHeight w:val="420" w:hRule="exact"/>
        </w:trPr>
        <w:tc>
          <w:tcPr>
            <w:tcW w:w="10490" w:type="dxa"/>
            <w:gridSpan w:val="10"/>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b/>
                <w:color w:val="000000"/>
                <w:sz w:val="18"/>
                <w:szCs w:val="24"/>
              </w:rPr>
            </w:pPr>
            <w:r>
              <w:rPr>
                <w:rFonts w:hint="eastAsia" w:ascii="Arial" w:hAnsi="Arial"/>
                <w:b/>
                <w:color w:val="000000"/>
                <w:sz w:val="18"/>
                <w:szCs w:val="24"/>
              </w:rPr>
              <w:t>给排水、采暖、燃气工程</w:t>
            </w:r>
          </w:p>
        </w:tc>
      </w:tr>
      <w:tr>
        <w:tblPrEx>
          <w:tblLayout w:type="fixed"/>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PE给水管Dn125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3.材质、规格：聚乙烯PE100管Dn125、压力</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等级PN=0.8MPa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纸设计要求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450</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33.43</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15043.5</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PE给水管Dn110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3.材质、规格：聚乙烯PE100管Dn110、压力</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等级PN=0.8MPa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纸设计要求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687</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26.05</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17896.35</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PE给水管Dn90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3.材质、规格：聚乙烯PE100管Dn90、压力等</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级PN=0.8MPa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纸设计要求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327</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7089.36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PE给水管Dn75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3.材质、规格：聚乙烯PE100管Dn75、压力等</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级PN=0.8MPa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纸设计要求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446</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20.01</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8924.46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031001006005</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PE给水管Dn32</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3.材质、规格：聚乙烯PE100管Dn32、压力等</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级PN=0.8MPa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纸设计要求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660</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7.16</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4725.6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031001006006</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入户管Dn20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3.材质、规格：Dn20，压力等级PN=1.6MPa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4.连接形式：热熔连接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纸设计要求；</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入户支管每户预留5米</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34708</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242261.84</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335"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球 阀DN15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1.类型：球阀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2.材质：铜质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3.规格、压力等级：DN15、Pn=0.8MPa</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4.连接形式：水表前/后侧</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1402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29161.6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325102.71</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325102.71</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3"/>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Layout w:type="fixed"/>
        </w:tblPrEx>
        <w:trPr>
          <w:trHeight w:val="450" w:hRule="exact"/>
        </w:trPr>
        <w:tc>
          <w:tcPr>
            <w:tcW w:w="10490" w:type="dxa"/>
            <w:gridSpan w:val="10"/>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Layout w:type="fixed"/>
        </w:tblPrEx>
        <w:trPr>
          <w:trHeight w:val="30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共3页</w:t>
            </w:r>
          </w:p>
        </w:tc>
      </w:tr>
      <w:tr>
        <w:tblPrEx>
          <w:tblLayout w:type="fixed"/>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Layout w:type="fixed"/>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Layout w:type="fixed"/>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040502003001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分水器DN32</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1.种类：分水器</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2.材质及规格：De32、PE100</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125</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6.39</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798.75</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闸阀DN125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3.规格、压力等级：DN125</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240.13</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480.26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031003002002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闸阀DN90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3.规格、压力等级：DN90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169.5</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169.5</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031003002003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闸阀DN110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3.规格、压力等级：DN1210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200.48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400.96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031003002004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闸阀DN75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3.规格、压力等级：DN75</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121.3</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242.6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排气阀DN25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1.类型：排气阀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2.材质：铜质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3.规格、压力等级：DN75、压力等级</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PN=0.8MPa</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4.连接形式：丝接</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23.33</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139.98</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5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040504001001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水表井</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1.砖砌体:M10水泥砂浆砌筑Mu15烧结煤矸石</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砖,1:2水泥砂浆内抹面；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2.支墩必须托住阀底,四周用M7.5号水泥砂</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浆抹八字填实；</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3.阀门井位于铺装地面下,井口应高出地面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50mm,布置在高位置处；</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4.井口保温,水表及其井内管道保温,具体</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做法详见S147；</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5.井盖采用球墨铸铁防盗盖板670*880,双</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开扇,厂家定制；</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6.本井适用于室外给水4~6块水表井。7.含</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土方开挖回填</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123</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1720.01</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211561.23</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655"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040504001002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水表井</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1.砖砌体:M10水泥砂浆砌筑Mu15烧结煤矸石</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砖,1:2水泥砂浆内抹面；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2.支墩必须托住阀底,四周用M7.5号水泥砂</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浆抹八字填实；</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3.阀门井位于铺装地面下,井口应高出地面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50mm,布置在高位置处；</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4.井口保温,水表及其井内管道保温,具体</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做法详见S147；</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5.井盖采用球墨铸铁防盗盖板670*440,单开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扇,厂家定制；</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6.本井适用于室外给水1~3块水表井。7.含</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土方开挖回填</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1720.01</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3440.02</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217233.3</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542336.01</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3"/>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Layout w:type="fixed"/>
        </w:tblPrEx>
        <w:trPr>
          <w:trHeight w:val="435" w:hRule="exact"/>
        </w:trPr>
        <w:tc>
          <w:tcPr>
            <w:tcW w:w="10490" w:type="dxa"/>
            <w:gridSpan w:val="10"/>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Layout w:type="fixed"/>
        </w:tblPrEx>
        <w:trPr>
          <w:trHeight w:val="29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第3页  共3页</w:t>
            </w:r>
          </w:p>
        </w:tc>
      </w:tr>
      <w:tr>
        <w:tblPrEx>
          <w:tblLayout w:type="fixed"/>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Layout w:type="fixed"/>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Layout w:type="fixed"/>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040504001003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排气阀井</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1.砖砌圆形排气井</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2.安装及做法参见国标图集07MS101-2-52；</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3.含土方开挖回填</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1241.18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7447.08</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040504001004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阀门井</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1.砖砌圆井直径1200mm.</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2.做法参见图集07MS101-2-14</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3.含土方开挖回填</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1241.18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9929.44</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031003013001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2.型号、规格：旋翼式水表,充值刷卡</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701</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77.42</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54271.42</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031003013002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2.型号、规格：旋翼式水表,充值刷卡</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3.拆除加安装</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77.42</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50477.84</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分部小计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664461.79</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7062"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122125.78</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664461.79</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3"/>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Layout w:type="fixed"/>
        </w:tblPrEx>
        <w:trPr>
          <w:trHeight w:val="450" w:hRule="exact"/>
        </w:trPr>
        <w:tc>
          <w:tcPr>
            <w:tcW w:w="10490" w:type="dxa"/>
            <w:gridSpan w:val="1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Layout w:type="fixed"/>
        </w:tblPrEx>
        <w:trPr>
          <w:trHeight w:val="30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5"/>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共4页</w:t>
            </w:r>
          </w:p>
        </w:tc>
      </w:tr>
      <w:tr>
        <w:tblPrEx>
          <w:tblLayout w:type="fixed"/>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综合</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r>
      <w:tr>
        <w:tblPrEx>
          <w:tblLayout w:type="fixed"/>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计费</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管理费</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center"/>
              <w:rPr>
                <w:rFonts w:hint="default"/>
                <w:sz w:val="20"/>
                <w:szCs w:val="24"/>
              </w:rPr>
            </w:pPr>
          </w:p>
        </w:tc>
      </w:tr>
      <w:tr>
        <w:tblPrEx>
          <w:tblLayout w:type="fixed"/>
        </w:tblPrEx>
        <w:trPr>
          <w:trHeight w:val="162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PE给水管Dn125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3.材质、规格：聚乙烯PE100管Dn125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、压力等级PN=0.8MPa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范及图纸设计要求</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20.58</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2.26</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6.80</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33.43</w:t>
            </w:r>
          </w:p>
        </w:tc>
      </w:tr>
      <w:tr>
        <w:tblPrEx>
          <w:tblLayout w:type="fixed"/>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10-1-264调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给排水室外塑料给水管(热熔连接) 公</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称外径 125mm以内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0.26</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2.26</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PE给水管Dn125</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1.015</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20.27</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室外塑料给水管热熔管件Dn125</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62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PE给水管Dn110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3.材质、规格：聚乙烯PE100管Dn110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、压力等级PN=0.8MPa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范及图纸设计要求</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16.56</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6.99</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6.08</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26.05</w:t>
            </w:r>
          </w:p>
        </w:tc>
      </w:tr>
      <w:tr>
        <w:tblPrEx>
          <w:tblLayout w:type="fixed"/>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10-1-263调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给排水室外塑料给水管(热熔连接) 公</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称外径 110mm以内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0.28</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PE给水管Dn110</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1.015</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15.84</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室外塑料给水管热熔管件Dn110</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0.273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62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PE给水管Dn90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3.材质、规格：聚乙烯PE100管Dn90、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压力等级PN=0.8MPa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范及图纸设计要求</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13.24</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5.41</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21.68</w:t>
            </w:r>
          </w:p>
        </w:tc>
      </w:tr>
      <w:tr>
        <w:tblPrEx>
          <w:tblLayout w:type="fixed"/>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10-1-262调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给排水室外塑料给水管(热熔连接) 公</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称外径 90mm以内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0.21</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zc1_0006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PE给水管Dn90</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1.015</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12.77</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室外塑料给水管热熔管件Dn90</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0.273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0.26</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62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PE给水管Dn75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3.材质、规格：聚乙烯PE100管Dn75、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压力等级PN=0.8MPa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范及图纸设计要求</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12.11</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5.82</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5.06</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20.01</w:t>
            </w:r>
          </w:p>
        </w:tc>
      </w:tr>
      <w:tr>
        <w:tblPrEx>
          <w:tblLayout w:type="fixed"/>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10-1-261调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给排水室外塑料给水管(热熔连接) 公</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称外径 75mm以内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0.17</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zc1_0005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PE给水管Dn75</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1.015</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11.74</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95"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室外塑料给水管热熔管件Dn75</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0.281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0.20</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5"/>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Layout w:type="fixed"/>
        </w:tblPrEx>
        <w:trPr>
          <w:trHeight w:val="450" w:hRule="exact"/>
        </w:trPr>
        <w:tc>
          <w:tcPr>
            <w:tcW w:w="10490" w:type="dxa"/>
            <w:gridSpan w:val="1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Layout w:type="fixed"/>
        </w:tblPrEx>
        <w:trPr>
          <w:trHeight w:val="30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5"/>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共4页</w:t>
            </w:r>
          </w:p>
        </w:tc>
      </w:tr>
      <w:tr>
        <w:tblPrEx>
          <w:tblLayout w:type="fixed"/>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综合</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r>
      <w:tr>
        <w:tblPrEx>
          <w:tblLayout w:type="fixed"/>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计费</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管理费</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center"/>
              <w:rPr>
                <w:rFonts w:hint="default"/>
                <w:sz w:val="20"/>
                <w:szCs w:val="24"/>
              </w:rPr>
            </w:pPr>
          </w:p>
        </w:tc>
      </w:tr>
      <w:tr>
        <w:tblPrEx>
          <w:tblLayout w:type="fixed"/>
        </w:tblPrEx>
        <w:trPr>
          <w:trHeight w:val="162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PE给水管Dn32</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3.材质、规格：聚乙烯PE100管Dn32、</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压力等级PN=0.8MPa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范及图纸设计要求</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1.40</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3.69</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7.16</w:t>
            </w:r>
          </w:p>
        </w:tc>
      </w:tr>
      <w:tr>
        <w:tblPrEx>
          <w:tblLayout w:type="fixed"/>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10-1-257调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给排水室外塑料给水管(热熔连接) 公</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称外径 32mm以内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zc1_0004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PE给水管Dn32</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1.29</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室外塑料给水管热熔管件Dn32</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0.283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0.04</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80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入户管Dn20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3.材质、规格：Dn20，压力等级</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PN=1.6MPa</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4.连接形式：热熔连接</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范及图纸设计要求；</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入户支管每户预留5米</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3.69</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6.98</w:t>
            </w:r>
          </w:p>
        </w:tc>
      </w:tr>
      <w:tr>
        <w:tblPrEx>
          <w:tblLayout w:type="fixed"/>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10-1-257调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给排水室外塑料给水管(热熔连接) 公</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称外径 32mm以内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PE给水管Dn20</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1.11</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室外塑料给水管热熔管件Dn20</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0.283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0.04</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球 阀DN15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1.类型：球阀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2.材质：铜质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3.规格、压力等级：DN15、Pn=0.8MPa</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4.连接形式：水表前/后侧</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10.93</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6.96</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6.06</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20.8</w:t>
            </w: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10-5-1调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螺纹阀门安装 公称直径 15mm以内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3.35</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zc1_0009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球阀Dn15</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7.58</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040502003001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分水器DN32</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1.种类：分水器</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2.材质及规格：De32、PE100</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0.99</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3.26</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6.39</w:t>
            </w: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5-3-101借调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承插塑料管件安装(粘接) ≤DN32</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zc1_0007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分水器Dn32</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闸阀DN125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3.规格、压力等级：DN125</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27.76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155.97</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6.65</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57.19</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49.75</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240.13</w:t>
            </w: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10-5-43调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法兰阀门安装 公称直径 125mm以内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27.76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17.21</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6.65</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闸阀Dn125</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138.76</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275"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031003002002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闸阀DN90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3.规格、压力等级：DN90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22.51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105.18</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46.37</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40.34</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169.5</w:t>
            </w:r>
          </w:p>
        </w:tc>
      </w:tr>
      <w:tr>
        <w:tblPrEx>
          <w:tblLayout w:type="fixed"/>
        </w:tblPrEx>
        <w:trPr>
          <w:trHeight w:val="36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5"/>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Layout w:type="fixed"/>
        </w:tblPrEx>
        <w:trPr>
          <w:trHeight w:val="450" w:hRule="exact"/>
        </w:trPr>
        <w:tc>
          <w:tcPr>
            <w:tcW w:w="10490" w:type="dxa"/>
            <w:gridSpan w:val="1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Layout w:type="fixed"/>
        </w:tblPrEx>
        <w:trPr>
          <w:trHeight w:val="30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5"/>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第3页  共4页</w:t>
            </w:r>
          </w:p>
        </w:tc>
      </w:tr>
      <w:tr>
        <w:tblPrEx>
          <w:tblLayout w:type="fixed"/>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综合</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r>
      <w:tr>
        <w:tblPrEx>
          <w:tblLayout w:type="fixed"/>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计费</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管理费</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center"/>
              <w:rPr>
                <w:rFonts w:hint="default"/>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10-5-42调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法兰阀门安装 公称直径 100mm以内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22.51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15.98</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zc1_0020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闸阀Dn90</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89.20</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031003002003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闸阀DN110</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3.规格、压力等级：DN1210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27.76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116.32</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6.65</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57.19</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49.75</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200.48</w:t>
            </w: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10-5-43调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法兰阀门安装 公称直径 125mm以内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27.76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17.21</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6.65</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闸阀Dn110</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99.11</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031003002004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闸阀DN75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3.规格、压力等级：DN75</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16.51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73.99</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34.00</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29.58</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121.3</w:t>
            </w: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10-5-41调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法兰阀门安装 公称直径 80mm以内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16.51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12.04</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闸阀Dn75</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61.95</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排气阀DN25</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1.类型：排气阀</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2.材质：铜质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3.规格、压力等级：DN75、压力等级</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PN=0.8MPa</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4.连接形式：丝接</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13.46</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6.96</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6.06</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23.33</w:t>
            </w: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10-5-1调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螺纹阀门安装 公称直径 15mm以内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3.35</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zc1_0008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排气阀Dn25</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10.11</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52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040504001001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水表井</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1.砖砌体:M10水泥砂浆砌筑Mu15烧结</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煤矸石砖,1:2水泥砂浆内抹面；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2.支墩必须托住阀底,四周用M7.5号</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水泥砂浆抹八字填实；</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3.阀门井位于铺装地面下,井口应高</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出地面50mm,布置在高位置处；</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4.井口保温,水表及其井内管道保温</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,具体做法详见S147；</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5.井盖采用球墨铸铁防盗盖板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670*880,双开扇,厂家定制；</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6.本井适用于室外给水4~6块水表井</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。7.含土方开挖回填</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163.14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1285.84</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23.18</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284.89</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247.85</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1720.01</w:t>
            </w:r>
          </w:p>
        </w:tc>
      </w:tr>
      <w:tr>
        <w:tblPrEx>
          <w:tblLayout w:type="fixed"/>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5-6-70借调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砖砌矩形水表井 长X宽X高 </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1.0X0.8X0.6</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248.53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1675.69</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28.91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2895"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5-6-71借调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砖砌矩形水表井 长X宽X高 </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1.5X1.0X1.4 每增0.2m</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-85.39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-389.85</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5"/>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Layout w:type="fixed"/>
        </w:tblPrEx>
        <w:trPr>
          <w:trHeight w:val="435" w:hRule="exact"/>
        </w:trPr>
        <w:tc>
          <w:tcPr>
            <w:tcW w:w="10490" w:type="dxa"/>
            <w:gridSpan w:val="1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Layout w:type="fixed"/>
        </w:tblPrEx>
        <w:trPr>
          <w:trHeight w:val="29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5"/>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第4页  共4页</w:t>
            </w:r>
          </w:p>
        </w:tc>
      </w:tr>
      <w:tr>
        <w:tblPrEx>
          <w:tblLayout w:type="fixed"/>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综合</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r>
      <w:tr>
        <w:tblPrEx>
          <w:tblLayout w:type="fixed"/>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计费</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管理费</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center"/>
              <w:rPr>
                <w:rFonts w:hint="default"/>
                <w:sz w:val="20"/>
                <w:szCs w:val="24"/>
              </w:rPr>
            </w:pPr>
          </w:p>
        </w:tc>
      </w:tr>
      <w:tr>
        <w:tblPrEx>
          <w:tblLayout w:type="fixed"/>
        </w:tblPrEx>
        <w:trPr>
          <w:trHeight w:val="2436"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040504001002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水表井</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1.砖砌体:M10水泥砂浆砌筑Mu15烧结</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煤矸石砖,1:2水泥砂浆内抹面；</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2.支墩必须托住阀底,四周用M7.5号</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水泥砂浆抹八字填实；</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3.阀门井位于铺装地面下,井口应高出</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地面50mm,布置在高位置处；</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4.井口保温,水表及其井内管道保温</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,具体做法详见S147；</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5.井盖采用球墨铸铁防盗盖板</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670*440,单开扇,厂家定制；</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6.本井适用于室外给水1~3块水表井</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。7.含土方开挖回填</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163.14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1285.84</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23.18</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284.89</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247.85</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1720.01</w:t>
            </w:r>
          </w:p>
        </w:tc>
      </w:tr>
      <w:tr>
        <w:tblPrEx>
          <w:tblLayout w:type="fixed"/>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5-6-70借调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砖砌矩形水表井 长X宽X高 </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0.5*0.4*0.6</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248.53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1675.69</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28.91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5-6-71借调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砖砌矩形水表井 长X宽X高 </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1.5X1.0X1.4 每增0.2m</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-85.39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-389.85</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44"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040504001003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排气阀井</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1.砖砌圆形排气井</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2.安装及做法参见国标图集07MS101-</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2-52；</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3.含土方开挖回填</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108.59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950.78</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16.84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189.62</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164.97</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1241.18</w:t>
            </w:r>
          </w:p>
        </w:tc>
      </w:tr>
      <w:tr>
        <w:tblPrEx>
          <w:tblLayout w:type="fixed"/>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5-6-1借调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砖砌圆形立式闸阀井 直径X高</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≤φ1.2X1.2m 井深0.7m</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193.98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1340.63</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22.57</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5-6-71借</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砖砌矩形水表井 长X宽X高 </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1.5X1.0X1.4 每增0.2m</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-85.39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-389.85</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040504001004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阀门井</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1.砖砌圆井直径1200mm.</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2.做法参见图集07MS101-2-14</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3.含土方开挖回填</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108.59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950.78</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16.84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189.62</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164.97</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1241.18</w:t>
            </w:r>
          </w:p>
        </w:tc>
      </w:tr>
      <w:tr>
        <w:tblPrEx>
          <w:tblLayout w:type="fixed"/>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5-6-1借调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砖砌圆形立式闸阀井 直径X高</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≤φ1.2X1.2m 井深0.7m</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193.98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1340.63</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22.57</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5-6-71借</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砖砌矩形水表井 长X宽X高 </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1.5X1.0X1.4 每增0.2m</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-85.39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-389.85</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-5.73</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696"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031003013001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2.型号、规格：旋翼式水表,充值刷卡</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60.58</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12.36</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10.76</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77.42</w:t>
            </w:r>
          </w:p>
        </w:tc>
      </w:tr>
      <w:tr>
        <w:tblPrEx>
          <w:tblLayout w:type="fixed"/>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10-5-287调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普通水表安装(螺纹连接) 公称直径 </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15mm以内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1.11</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旋翼式水表DN15</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59.47</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031003013002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2.型号、规格：旋翼式水表,充值刷卡</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3.拆除加安装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60.58</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12.36</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10.76</w:t>
            </w: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77.42</w:t>
            </w:r>
          </w:p>
        </w:tc>
      </w:tr>
      <w:tr>
        <w:tblPrEx>
          <w:tblLayout w:type="fixed"/>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10-5-287调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普通水表安装(螺纹连接) 公称直径 </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15mm以内</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1.11</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zc1_0016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旋翼式水表DN15</w:t>
            </w: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59.47</w:t>
            </w: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1058" w:hRule="exact"/>
        </w:trPr>
        <w:tc>
          <w:tcPr>
            <w:tcW w:w="39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5"/>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1731"/>
        <w:gridCol w:w="3491"/>
        <w:gridCol w:w="693"/>
        <w:gridCol w:w="2799"/>
      </w:tblGrid>
      <w:tr>
        <w:tblPrEx>
          <w:tblLayout w:type="fixed"/>
        </w:tblPrEx>
        <w:trPr>
          <w:trHeight w:val="435" w:hRule="exact"/>
        </w:trPr>
        <w:tc>
          <w:tcPr>
            <w:tcW w:w="10490" w:type="dxa"/>
            <w:gridSpan w:val="5"/>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措施项目清单计价汇总表</w:t>
            </w:r>
          </w:p>
        </w:tc>
      </w:tr>
      <w:tr>
        <w:tblPrEx>
          <w:tblLayout w:type="fixed"/>
        </w:tblPrEx>
        <w:trPr>
          <w:trHeight w:val="290" w:hRule="exact"/>
        </w:trPr>
        <w:tc>
          <w:tcPr>
            <w:tcW w:w="3507" w:type="dxa"/>
            <w:gridSpan w:val="2"/>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Layout w:type="fixed"/>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Layout w:type="fixed"/>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26629</w:t>
            </w:r>
          </w:p>
        </w:tc>
      </w:tr>
      <w:tr>
        <w:tblPrEx>
          <w:tblLayout w:type="fixed"/>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27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26629</w:t>
            </w:r>
          </w:p>
        </w:tc>
      </w:tr>
      <w:tr>
        <w:tblPrEx>
          <w:tblLayout w:type="fixed"/>
        </w:tblPrEx>
        <w:trPr>
          <w:trHeight w:val="348" w:hRule="exact"/>
        </w:trPr>
        <w:tc>
          <w:tcPr>
            <w:tcW w:w="3507" w:type="dxa"/>
            <w:gridSpan w:val="2"/>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Layout w:type="fixed"/>
        </w:tblPrEx>
        <w:trPr>
          <w:trHeight w:val="435" w:hRule="exact"/>
        </w:trPr>
        <w:tc>
          <w:tcPr>
            <w:tcW w:w="10490" w:type="dxa"/>
            <w:gridSpan w:val="7"/>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Layout w:type="fixed"/>
        </w:tblPrEx>
        <w:trPr>
          <w:trHeight w:val="290" w:hRule="exact"/>
        </w:trPr>
        <w:tc>
          <w:tcPr>
            <w:tcW w:w="3507" w:type="dxa"/>
            <w:gridSpan w:val="2"/>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2"/>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Layout w:type="fixed"/>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228502.66</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50</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8197.53</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2856.28</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1570.95</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914.01</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6468.45</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1919.42</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1055.68</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614.21</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8624.6</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2559.23</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1407.58</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818.95</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3338.42</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685.51</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377.03</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219.36</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26629</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8020.44</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4411.24</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2566.53</w:t>
            </w:r>
          </w:p>
        </w:tc>
      </w:tr>
      <w:tr>
        <w:tblPrEx>
          <w:tblLayout w:type="fixed"/>
        </w:tblPrEx>
        <w:trPr>
          <w:trHeight w:val="3146"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3507" w:type="dxa"/>
            <w:gridSpan w:val="2"/>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2"/>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tblPrEx>
          <w:tblLayout w:type="fixed"/>
        </w:tblPrEx>
        <w:trPr>
          <w:trHeight w:val="435" w:hRule="exact"/>
        </w:trPr>
        <w:tc>
          <w:tcPr>
            <w:tcW w:w="10490" w:type="dxa"/>
            <w:gridSpan w:val="10"/>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单价措施项目清单与计价表</w:t>
            </w:r>
          </w:p>
        </w:tc>
      </w:tr>
      <w:tr>
        <w:tblPrEx>
          <w:tblLayout w:type="fixed"/>
        </w:tblPrEx>
        <w:trPr>
          <w:trHeight w:val="29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Layout w:type="fixed"/>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Layout w:type="fixed"/>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吊装加固</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金属抱杆安装、拆除、</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移位</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平台铺设、拆除</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顶升、提升装置</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大型设备专用机具</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焊接工艺评定</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胎（模）具制作、安装</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、拆除</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防护棚制作、安装、拆</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除</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特殊地区施工增加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2.10</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安装与生产同时进行施</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在有害身体健康环境中</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工程系统检测、检验</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设备、管道施工的安全</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、防冻和焊接保护</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焦炉烘炉、热态工程</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管道安拆后的充气保护</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696"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隧道内施工的通风、供</w:t>
            </w:r>
          </w:p>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水、供气、供电、照明</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及通讯设施费</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脚手架搭拆</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非夜间施工增加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高层施工增加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814"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3"/>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039"/>
        <w:gridCol w:w="2047"/>
        <w:gridCol w:w="180"/>
        <w:gridCol w:w="843"/>
        <w:gridCol w:w="918"/>
        <w:gridCol w:w="722"/>
        <w:gridCol w:w="828"/>
        <w:gridCol w:w="211"/>
        <w:gridCol w:w="707"/>
        <w:gridCol w:w="1039"/>
        <w:gridCol w:w="707"/>
        <w:gridCol w:w="828"/>
      </w:tblGrid>
      <w:tr>
        <w:tblPrEx>
          <w:tblLayout w:type="fixed"/>
        </w:tblPrEx>
        <w:trPr>
          <w:trHeight w:val="450" w:hRule="exact"/>
        </w:trPr>
        <w:tc>
          <w:tcPr>
            <w:tcW w:w="10490" w:type="dxa"/>
            <w:gridSpan w:val="1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Layout w:type="fixed"/>
        </w:tblPrEx>
        <w:trPr>
          <w:trHeight w:val="30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5"/>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共3页</w:t>
            </w:r>
          </w:p>
        </w:tc>
      </w:tr>
      <w:tr>
        <w:tblPrEx>
          <w:tblLayout w:type="fixed"/>
        </w:tblPrEx>
        <w:trPr>
          <w:trHeight w:val="360" w:hRule="exact"/>
        </w:trPr>
        <w:tc>
          <w:tcPr>
            <w:tcW w:w="42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22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84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1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761"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174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153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Layout w:type="fixed"/>
        </w:tblPrEx>
        <w:trPr>
          <w:trHeight w:val="360" w:hRule="exact"/>
        </w:trPr>
        <w:tc>
          <w:tcPr>
            <w:tcW w:w="421"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039"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222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84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1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00010030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综合工日（安装）</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1375.6892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138.00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189845.11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67.00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92171.18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00010040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综合工日（市政)</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331.0389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117.00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38731.55</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67.00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22179.61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J200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01290183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热轧厚钢板 δ8.0～15.0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72.8793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3.89</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283.50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283.50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01290193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热轧厚钢板 δ12～20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18.0136</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67.73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67.73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02010007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橡胶板 δ1～3</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17.2061</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182.38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182.38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02090013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塑料薄膜</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278.0960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517.26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517.26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02270025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破布</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0.0315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03010511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六角螺栓</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36.2962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321.58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321.58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03010677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六角螺栓带螺母、垫圈 M16</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×65～80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9.2288</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14.49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14.49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03010681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六角螺栓带螺母、垫圈 M16</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×85～140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23.0720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42.22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42.22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03110123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尼龙砂轮片 φ400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片</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3.1539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33.49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33.49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03110167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钢锯条</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条</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2.1000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03110171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锯条(各种规格)</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根</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293.4762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129.13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129.13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03110179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铁砂布</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张</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61.4430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47.93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47.93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03110183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砂纸</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张</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0.0315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03130133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低碳钢焊条 J422 φ3.2</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37.1529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394.56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394.56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04010019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普通硅酸盐水泥 42.5MPa</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442.48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442.48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04030003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黄砂(过筛中砂)</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271.84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271.84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04130001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烧结煤矸石普通砖 </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240×115×53</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千块</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33.0820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737.86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24409.88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737.86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24409.88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04270075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钢筋混凝土盖板</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25.3237</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1292.04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32719.23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1292.04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32719.23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11310001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铸铁踏步</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179.2733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32.30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5790.53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32.30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5790.53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13010071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煤焦油沥青漆 L01-17</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-12.6443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-85.73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-85.73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13350045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聚四氟乙烯生料带 宽20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1942.6423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854.76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854.76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14070003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白铅油</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0.4032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14070011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机油</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15.3965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140.42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140.42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14330041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丙酮</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0.7000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14390001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氧气</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33.5102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179.28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179.28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14390005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乙炔气</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11.2816</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14.61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164.82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14.61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164.82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14410097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粘接剂</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0.5600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12.39</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12.39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15010071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石棉橡胶板(低压) δ0.8～</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6.0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2.4790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17.18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17.18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17010023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焊接钢管 DN20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31.9123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185.41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185.41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75"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17070029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无缝钢管 D22×2</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2.4025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5"/>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039"/>
        <w:gridCol w:w="2047"/>
        <w:gridCol w:w="180"/>
        <w:gridCol w:w="843"/>
        <w:gridCol w:w="918"/>
        <w:gridCol w:w="722"/>
        <w:gridCol w:w="828"/>
        <w:gridCol w:w="211"/>
        <w:gridCol w:w="707"/>
        <w:gridCol w:w="1039"/>
        <w:gridCol w:w="707"/>
        <w:gridCol w:w="828"/>
      </w:tblGrid>
      <w:tr>
        <w:tblPrEx>
          <w:tblLayout w:type="fixed"/>
        </w:tblPrEx>
        <w:trPr>
          <w:trHeight w:val="450" w:hRule="exact"/>
        </w:trPr>
        <w:tc>
          <w:tcPr>
            <w:tcW w:w="10490" w:type="dxa"/>
            <w:gridSpan w:val="1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Layout w:type="fixed"/>
        </w:tblPrEx>
        <w:trPr>
          <w:trHeight w:val="30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5"/>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共3页</w:t>
            </w:r>
          </w:p>
        </w:tc>
      </w:tr>
      <w:tr>
        <w:tblPrEx>
          <w:tblLayout w:type="fixed"/>
        </w:tblPrEx>
        <w:trPr>
          <w:trHeight w:val="360" w:hRule="exact"/>
        </w:trPr>
        <w:tc>
          <w:tcPr>
            <w:tcW w:w="42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22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84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1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761"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174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153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Layout w:type="fixed"/>
        </w:tblPrEx>
        <w:trPr>
          <w:trHeight w:val="360" w:hRule="exact"/>
        </w:trPr>
        <w:tc>
          <w:tcPr>
            <w:tcW w:w="421"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039"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222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84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1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17190009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输水软管 φ25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4.8020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50.57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50.57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17270035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橡胶软管 DN20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14.7099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17290001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钢筋混凝土管 d300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39.9319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79.65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3180.58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79.65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3180.58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18150149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热镀锌活接头 DN15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796.3648</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2293.53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2293.53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18150167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热镀锌六角内接头 DN15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637.0919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656.20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656.20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18250235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热镀锌管箍 DN15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765.2568</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895.35</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895.35</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19000009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 DN15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4.8020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11.68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56.09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11.68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56.09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19000011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 DN20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8.4037</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210.76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210.76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24110005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弹簧压力表 Y-100 0～</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1.6MPa</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块</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9.0172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24.42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220.20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24.42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220.20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24590013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压力表弯管 DN15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9.0172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63.84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63.84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34110003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142.1483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904.06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904.06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34110009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kW·h</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1332.3490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1065.88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1065.88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36010005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铸铁井盖、井座 φ700重型</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77.8400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648.58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50485.47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648.58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50485.47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80010045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预拌砌筑砂浆(干拌) DM </w:t>
            </w:r>
          </w:p>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M7.5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17.0683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582.52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9942.63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582.52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9942.63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80050009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1:2</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3.2995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544.30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1795.92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544.30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1795.92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80210041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预拌混凝土 C10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52.3880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398.06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20853.57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398.06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20853.57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80210051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预拌混凝土 C25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56.1904</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417.48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23458.37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417.48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23458.37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88000053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其他材料费</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705.62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705.62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705.62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705.62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J302</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柴油</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J303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kW·h</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990304004</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汽车式起重机 8t</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3.2787</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724.50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2375.42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724.50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2375.42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990401020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载重汽车 5t</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0.1058</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400.21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42.34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400.21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42.34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990401030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载重汽车 8t</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2.0389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475.14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968.76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475.14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968.76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990406010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机动翻斗车 1t</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2.2103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206.55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456.54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206.55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456.54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990503030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电动单筒慢速卷扬机 50kN</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0.0516</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207.80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10.72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207.80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10.72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990611010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干混砂浆罐式搅拌机</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0.9184</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249.48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229.12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249.48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229.12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990706010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木工圆锯机 500mm</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0.2520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28.23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28.23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990745520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砂轮切割机 φ400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0.7885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23.98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18.91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23.98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18.91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990748010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管子切断套丝机 159mm</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9.2770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212.91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212.91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990801020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电动单级离心清水泵 100mm</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2.3593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86.94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86.94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990813010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试压泵 3MPa</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7.3035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18.86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137.74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18.86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137.74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990911010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热熔对接焊机 160mm</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3.0240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22.61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68.37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22.61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68.37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735"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990919710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电焊机(综合)</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7.9663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71.38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568.63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71.38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568.63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6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5"/>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039"/>
        <w:gridCol w:w="2047"/>
        <w:gridCol w:w="180"/>
        <w:gridCol w:w="843"/>
        <w:gridCol w:w="918"/>
        <w:gridCol w:w="722"/>
        <w:gridCol w:w="828"/>
        <w:gridCol w:w="211"/>
        <w:gridCol w:w="707"/>
        <w:gridCol w:w="1039"/>
        <w:gridCol w:w="707"/>
        <w:gridCol w:w="828"/>
      </w:tblGrid>
      <w:tr>
        <w:tblPrEx>
          <w:tblLayout w:type="fixed"/>
        </w:tblPrEx>
        <w:trPr>
          <w:trHeight w:val="435" w:hRule="exact"/>
        </w:trPr>
        <w:tc>
          <w:tcPr>
            <w:tcW w:w="10490" w:type="dxa"/>
            <w:gridSpan w:val="1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Layout w:type="fixed"/>
        </w:tblPrEx>
        <w:trPr>
          <w:trHeight w:val="290"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5"/>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第3页  共3页</w:t>
            </w:r>
          </w:p>
        </w:tc>
      </w:tr>
      <w:tr>
        <w:tblPrEx>
          <w:tblLayout w:type="fixed"/>
        </w:tblPrEx>
        <w:trPr>
          <w:trHeight w:val="348" w:hRule="exact"/>
        </w:trPr>
        <w:tc>
          <w:tcPr>
            <w:tcW w:w="42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22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84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1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761"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174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153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Layout w:type="fixed"/>
        </w:tblPrEx>
        <w:trPr>
          <w:trHeight w:val="348" w:hRule="exact"/>
        </w:trPr>
        <w:tc>
          <w:tcPr>
            <w:tcW w:w="421"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1039"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222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84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91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spacing w:beforeLines="0" w:afterLines="0"/>
              <w:jc w:val="left"/>
              <w:rPr>
                <w:rFonts w:hint="default"/>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Layout w:type="fixed"/>
        </w:tblPrEx>
        <w:trPr>
          <w:trHeight w:val="377" w:hRule="exact"/>
        </w:trPr>
        <w:tc>
          <w:tcPr>
            <w:tcW w:w="6170"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417134.40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302908.53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w:t>
            </w:r>
          </w:p>
        </w:tc>
      </w:tr>
      <w:tr>
        <w:tblPrEx>
          <w:tblLayout w:type="fixed"/>
        </w:tblPrEx>
        <w:trPr>
          <w:trHeight w:val="348"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5"/>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
        <w:gridCol w:w="2544"/>
        <w:gridCol w:w="1264"/>
        <w:gridCol w:w="1430"/>
        <w:gridCol w:w="797"/>
        <w:gridCol w:w="632"/>
        <w:gridCol w:w="1430"/>
        <w:gridCol w:w="1430"/>
      </w:tblGrid>
      <w:tr>
        <w:tblPrEx>
          <w:tblLayout w:type="fixed"/>
        </w:tblPrEx>
        <w:trPr>
          <w:trHeight w:val="435" w:hRule="exact"/>
        </w:trPr>
        <w:tc>
          <w:tcPr>
            <w:tcW w:w="10490" w:type="dxa"/>
            <w:gridSpan w:val="8"/>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主材汇总表</w:t>
            </w:r>
          </w:p>
        </w:tc>
      </w:tr>
      <w:tr>
        <w:tblPrEx>
          <w:tblLayout w:type="fixed"/>
        </w:tblPrEx>
        <w:trPr>
          <w:trHeight w:val="290" w:hRule="exact"/>
        </w:trPr>
        <w:tc>
          <w:tcPr>
            <w:tcW w:w="3507" w:type="dxa"/>
            <w:gridSpan w:val="2"/>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3"/>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PE给水管Dn110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697.30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27.86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19426.92</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PE给水管Dn125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456.75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35.66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16287.71</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PE给水管Dn20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35402.16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1.94</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68680.19</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PE给水管Dn32</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673.20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1521.43</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PE给水管Dn75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452.69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20.66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9352.58</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PE给水管Dn90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331.90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22.46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7454.59</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分水器Dn32</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125.00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196.25</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排气阀Dn25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17.88</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108.35</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球阀Dn15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1416.02</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13.41</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18988.83</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室外塑料给水管热熔管件Dn110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187.55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543.90</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室外塑料给水管热熔管件dn125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36.45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41.92</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室外塑料给水管热熔管件Dn20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9822.36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2553.81</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室外塑料给水管热熔管件Dn32</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186.78</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48.56</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室外塑料给水管热熔管件Dn75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125.33</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156.66</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室外塑料给水管热熔管件Dn90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89.27</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150.87</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旋翼式水表DN15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1353.00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106.19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143675.07</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闸阀Dn110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176.99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353.98</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闸阀Dn125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247.79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495.58</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闸阀Dn75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110.62</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221.24</w:t>
            </w:r>
          </w:p>
        </w:tc>
      </w:tr>
      <w:tr>
        <w:tblPrEx>
          <w:tblLayout w:type="fixed"/>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闸阀Dn90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159.29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159.29</w:t>
            </w:r>
          </w:p>
        </w:tc>
      </w:tr>
      <w:tr>
        <w:tblPrEx>
          <w:tblLayout w:type="fixed"/>
        </w:tblPrEx>
        <w:trPr>
          <w:trHeight w:val="5206"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77" w:hRule="exact"/>
        </w:trPr>
        <w:tc>
          <w:tcPr>
            <w:tcW w:w="9060"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290417.73</w:t>
            </w:r>
          </w:p>
        </w:tc>
      </w:tr>
      <w:tr>
        <w:tblPrEx>
          <w:tblLayout w:type="fixed"/>
        </w:tblPrEx>
        <w:trPr>
          <w:trHeight w:val="348" w:hRule="exact"/>
        </w:trPr>
        <w:tc>
          <w:tcPr>
            <w:tcW w:w="3507" w:type="dxa"/>
            <w:gridSpan w:val="2"/>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3"/>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934"/>
        <w:gridCol w:w="1836"/>
        <w:gridCol w:w="1113"/>
        <w:gridCol w:w="632"/>
        <w:gridCol w:w="482"/>
        <w:gridCol w:w="1099"/>
        <w:gridCol w:w="165"/>
        <w:gridCol w:w="933"/>
        <w:gridCol w:w="1099"/>
        <w:gridCol w:w="1460"/>
      </w:tblGrid>
      <w:tr>
        <w:tblPrEx>
          <w:tblLayout w:type="fixed"/>
        </w:tblPrEx>
        <w:trPr>
          <w:trHeight w:val="435" w:hRule="exact"/>
        </w:trPr>
        <w:tc>
          <w:tcPr>
            <w:tcW w:w="10490" w:type="dxa"/>
            <w:gridSpan w:val="11"/>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安装工程设备明细表</w:t>
            </w:r>
          </w:p>
        </w:tc>
      </w:tr>
      <w:tr>
        <w:tblPrEx>
          <w:tblLayout w:type="fixed"/>
        </w:tblPrEx>
        <w:trPr>
          <w:trHeight w:val="290" w:hRule="exact"/>
        </w:trPr>
        <w:tc>
          <w:tcPr>
            <w:tcW w:w="5252" w:type="dxa"/>
            <w:gridSpan w:val="5"/>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5238" w:type="dxa"/>
            <w:gridSpan w:val="6"/>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Layout w:type="fixed"/>
        </w:tblPrEx>
        <w:trPr>
          <w:trHeight w:val="348" w:hRule="exact"/>
        </w:trPr>
        <w:tc>
          <w:tcPr>
            <w:tcW w:w="73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编码</w:t>
            </w:r>
          </w:p>
        </w:tc>
        <w:tc>
          <w:tcPr>
            <w:tcW w:w="294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w:t>
            </w:r>
          </w:p>
        </w:tc>
        <w:tc>
          <w:tcPr>
            <w:tcW w:w="111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09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w:t>
            </w:r>
          </w:p>
        </w:tc>
        <w:tc>
          <w:tcPr>
            <w:tcW w:w="146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备注</w:t>
            </w:r>
          </w:p>
        </w:tc>
      </w:tr>
      <w:tr>
        <w:tblPrEx>
          <w:tblLayout w:type="fixed"/>
        </w:tblPrEx>
        <w:trPr>
          <w:trHeight w:val="12166" w:hRule="exact"/>
        </w:trPr>
        <w:tc>
          <w:tcPr>
            <w:tcW w:w="73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294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111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09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c>
          <w:tcPr>
            <w:tcW w:w="146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r>
      <w:tr>
        <w:tblPrEx>
          <w:tblLayout w:type="fixed"/>
        </w:tblPrEx>
        <w:trPr>
          <w:trHeight w:val="377" w:hRule="exact"/>
        </w:trPr>
        <w:tc>
          <w:tcPr>
            <w:tcW w:w="7931" w:type="dxa"/>
            <w:gridSpan w:val="9"/>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0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w:t>
            </w:r>
          </w:p>
        </w:tc>
        <w:tc>
          <w:tcPr>
            <w:tcW w:w="146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r>
      <w:tr>
        <w:tblPrEx>
          <w:tblLayout w:type="fixed"/>
        </w:tblPrEx>
        <w:trPr>
          <w:trHeight w:val="348" w:hRule="exact"/>
        </w:trPr>
        <w:tc>
          <w:tcPr>
            <w:tcW w:w="3507" w:type="dxa"/>
            <w:gridSpan w:val="3"/>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5"/>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Layout w:type="fixed"/>
        </w:tblPrEx>
        <w:trPr>
          <w:trHeight w:val="435" w:hRule="exact"/>
        </w:trPr>
        <w:tc>
          <w:tcPr>
            <w:tcW w:w="10490" w:type="dxa"/>
            <w:gridSpan w:val="7"/>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tblPrEx>
          <w:tblLayout w:type="fixed"/>
        </w:tblPrEx>
        <w:trPr>
          <w:trHeight w:val="290" w:hRule="exact"/>
        </w:trPr>
        <w:tc>
          <w:tcPr>
            <w:tcW w:w="3507" w:type="dxa"/>
            <w:gridSpan w:val="2"/>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工程名称：邹城市凫山街道后庙社区</w:t>
            </w:r>
            <w:r>
              <w:rPr>
                <w:rFonts w:hint="eastAsia" w:ascii="Arial" w:hAnsi="Arial"/>
                <w:color w:val="000000"/>
                <w:sz w:val="18"/>
                <w:szCs w:val="24"/>
                <w:lang w:eastAsia="zh-CN"/>
              </w:rPr>
              <w:t>自来水管改造</w:t>
            </w:r>
            <w:r>
              <w:rPr>
                <w:rFonts w:hint="eastAsia" w:ascii="Arial" w:hAnsi="Arial"/>
                <w:color w:val="000000"/>
                <w:sz w:val="18"/>
                <w:szCs w:val="24"/>
              </w:rPr>
              <w:t>工程</w:t>
            </w:r>
          </w:p>
        </w:tc>
        <w:tc>
          <w:tcPr>
            <w:tcW w:w="3491" w:type="dxa"/>
            <w:gridSpan w:val="2"/>
            <w:tcBorders>
              <w:top w:val="nil"/>
              <w:left w:val="nil"/>
              <w:bottom w:val="nil"/>
              <w:right w:val="nil"/>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Layout w:type="fixed"/>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691090.79</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50898.84</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34416.32</w:t>
            </w:r>
          </w:p>
        </w:tc>
      </w:tr>
      <w:tr>
        <w:tblPrEx>
          <w:tblLayout w:type="fixed"/>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分部分项工程费+措施项目费+其他</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2.34</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16171.52</w:t>
            </w:r>
          </w:p>
        </w:tc>
      </w:tr>
      <w:tr>
        <w:tblPrEx>
          <w:tblLayout w:type="fixed"/>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分部分项工程费+措施项目费+其他</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0.29</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2004.16</w:t>
            </w:r>
          </w:p>
        </w:tc>
      </w:tr>
      <w:tr>
        <w:tblPrEx>
          <w:tblLayout w:type="fixed"/>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分部分项工程费+措施项目费+其他</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4077.44</w:t>
            </w:r>
          </w:p>
        </w:tc>
      </w:tr>
      <w:tr>
        <w:tblPrEx>
          <w:tblLayout w:type="fixed"/>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分部分项工程费+措施项目费+其他</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1.76</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12163.2</w:t>
            </w:r>
          </w:p>
        </w:tc>
      </w:tr>
      <w:tr>
        <w:tblPrEx>
          <w:tblLayout w:type="fixed"/>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分部分项工程费+措施项目费+其他</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10504.58</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4077.44</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环境保护税</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0.17</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1174.85</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725.65</w:t>
            </w:r>
          </w:p>
        </w:tc>
      </w:tr>
      <w:tr>
        <w:tblPrEx>
          <w:tblLayout w:type="fixed"/>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分部分项工程费+措施项目费+其他</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分部分项工程费+措施项目费+其他</w:t>
            </w:r>
          </w:p>
          <w:p>
            <w:pPr>
              <w:spacing w:beforeLines="0" w:afterLines="0"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项目费+规费+设备费-甲供材料费-</w:t>
            </w:r>
          </w:p>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66779.07</w:t>
            </w:r>
          </w:p>
        </w:tc>
      </w:tr>
      <w:tr>
        <w:tblPrEx>
          <w:tblLayout w:type="fixed"/>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117677.91</w:t>
            </w:r>
          </w:p>
        </w:tc>
      </w:tr>
      <w:tr>
        <w:tblPrEx>
          <w:tblLayout w:type="fixed"/>
        </w:tblPrEx>
        <w:trPr>
          <w:trHeight w:val="558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beforeLines="0" w:afterLines="0"/>
              <w:jc w:val="right"/>
              <w:rPr>
                <w:rFonts w:hint="eastAsia" w:ascii="Arial" w:hAnsi="Arial"/>
                <w:color w:val="000000"/>
                <w:sz w:val="20"/>
                <w:szCs w:val="24"/>
              </w:rPr>
            </w:pPr>
          </w:p>
        </w:tc>
      </w:tr>
      <w:tr>
        <w:tblPrEx>
          <w:tblLayout w:type="fixed"/>
        </w:tblPrEx>
        <w:trPr>
          <w:trHeight w:val="348" w:hRule="exact"/>
        </w:trPr>
        <w:tc>
          <w:tcPr>
            <w:tcW w:w="3507" w:type="dxa"/>
            <w:gridSpan w:val="2"/>
            <w:tcBorders>
              <w:top w:val="nil"/>
              <w:left w:val="nil"/>
              <w:bottom w:val="nil"/>
              <w:right w:val="nil"/>
              <w:tl2br w:val="nil"/>
              <w:tr2bl w:val="nil"/>
            </w:tcBorders>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日期：2023-03-20</w:t>
            </w:r>
          </w:p>
        </w:tc>
        <w:tc>
          <w:tcPr>
            <w:tcW w:w="3491" w:type="dxa"/>
            <w:gridSpan w:val="2"/>
            <w:tcBorders>
              <w:top w:val="nil"/>
              <w:left w:val="nil"/>
              <w:bottom w:val="nil"/>
              <w:right w:val="nil"/>
              <w:tl2br w:val="nil"/>
              <w:tr2bl w:val="nil"/>
            </w:tcBorders>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eastAsia" w:ascii="宋体" w:hAnsi="宋体" w:eastAsia="宋体" w:cs="宋体"/>
          <w:sz w:val="24"/>
          <w:szCs w:val="24"/>
          <w:highlight w:val="none"/>
        </w:rPr>
        <w:sectPr>
          <w:pgSz w:w="11861" w:h="16775"/>
          <w:pgMar w:top="1121" w:right="598" w:bottom="1121" w:left="747" w:header="720" w:footer="720" w:gutter="0"/>
          <w:lnNumType w:countBy="0" w:distance="360"/>
          <w:cols w:space="720" w:num="1"/>
        </w:sectPr>
      </w:pPr>
    </w:p>
    <w:bookmarkEnd w:id="54"/>
    <w:bookmarkEnd w:id="55"/>
    <w:p>
      <w:pPr>
        <w:numPr>
          <w:ilvl w:val="0"/>
          <w:numId w:val="4"/>
        </w:numPr>
        <w:spacing w:after="156" w:afterLines="50"/>
        <w:jc w:val="center"/>
        <w:outlineLvl w:val="0"/>
        <w:rPr>
          <w:rFonts w:hint="eastAsia" w:ascii="宋体" w:hAnsi="宋体" w:eastAsia="宋体" w:cs="宋体"/>
          <w:b/>
          <w:sz w:val="36"/>
          <w:szCs w:val="36"/>
          <w:highlight w:val="none"/>
        </w:rPr>
      </w:pPr>
      <w:bookmarkStart w:id="56" w:name="_Toc10258"/>
      <w:r>
        <w:rPr>
          <w:rFonts w:hint="eastAsia" w:ascii="宋体" w:hAnsi="宋体" w:eastAsia="宋体" w:cs="宋体"/>
          <w:b/>
          <w:sz w:val="36"/>
          <w:szCs w:val="36"/>
          <w:highlight w:val="none"/>
        </w:rPr>
        <w:t>合同</w:t>
      </w:r>
      <w:bookmarkEnd w:id="56"/>
    </w:p>
    <w:p>
      <w:pPr>
        <w:pStyle w:val="12"/>
        <w:rPr>
          <w:rFonts w:hint="eastAsia" w:ascii="宋体" w:hAnsi="宋体" w:eastAsia="宋体" w:cs="宋体"/>
          <w:b/>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p>
    <w:p>
      <w:pPr>
        <w:widowControl/>
        <w:spacing w:line="360" w:lineRule="auto"/>
        <w:ind w:firstLine="420" w:firstLineChars="200"/>
        <w:rPr>
          <w:rFonts w:hint="eastAsia" w:ascii="宋体" w:hAnsi="宋体" w:eastAsia="宋体" w:cs="宋体"/>
          <w:kern w:val="0"/>
          <w:szCs w:val="21"/>
          <w:highlight w:val="none"/>
        </w:rPr>
      </w:pPr>
      <w:bookmarkStart w:id="57" w:name="_Toc445584706"/>
      <w:bookmarkStart w:id="58" w:name="_Toc445623606"/>
      <w:bookmarkStart w:id="59" w:name="_Toc445648685"/>
      <w:bookmarkStart w:id="60" w:name="_Toc445648589"/>
      <w:bookmarkStart w:id="61" w:name="_Toc445650764"/>
      <w:bookmarkStart w:id="62" w:name="_Toc445649317"/>
      <w:bookmarkStart w:id="63" w:name="_Toc445623514"/>
      <w:bookmarkStart w:id="64" w:name="_Toc445622894"/>
      <w:bookmarkStart w:id="65" w:name="_Toc445649503"/>
      <w:bookmarkStart w:id="66" w:name="_Toc445584627"/>
      <w:bookmarkStart w:id="67" w:name="_Toc445652816"/>
      <w:bookmarkStart w:id="68" w:name="_Toc445648501"/>
      <w:bookmarkStart w:id="69" w:name="_Toc445649249"/>
      <w:bookmarkStart w:id="70" w:name="_Toc445651168"/>
      <w:bookmarkStart w:id="71" w:name="_Toc445651411"/>
      <w:bookmarkStart w:id="72" w:name="_Toc445650997"/>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sz w:val="44"/>
          <w:szCs w:val="44"/>
          <w:highlight w:val="none"/>
        </w:rPr>
        <w:br w:type="page"/>
      </w:r>
      <w:bookmarkStart w:id="73" w:name="_Toc196637648"/>
      <w:bookmarkStart w:id="74" w:name="_Toc196637412"/>
      <w:bookmarkStart w:id="75" w:name="_Toc196637766"/>
      <w:bookmarkStart w:id="76" w:name="_Toc184635097"/>
      <w:bookmarkStart w:id="77" w:name="_Toc416701274"/>
      <w:r>
        <w:rPr>
          <w:rFonts w:hint="eastAsia" w:ascii="宋体" w:hAnsi="宋体" w:eastAsia="宋体" w:cs="宋体"/>
          <w:b/>
          <w:kern w:val="0"/>
          <w:sz w:val="24"/>
          <w:highlight w:val="none"/>
        </w:rPr>
        <w:t>第一节通用合同条款</w:t>
      </w:r>
      <w:bookmarkEnd w:id="73"/>
      <w:bookmarkEnd w:id="74"/>
      <w:bookmarkEnd w:id="75"/>
      <w:bookmarkEnd w:id="76"/>
    </w:p>
    <w:bookmarkEnd w:id="77"/>
    <w:p>
      <w:pPr>
        <w:spacing w:line="360" w:lineRule="auto"/>
        <w:jc w:val="center"/>
        <w:rPr>
          <w:rFonts w:hint="eastAsia" w:ascii="宋体" w:hAnsi="宋体" w:eastAsia="宋体" w:cs="宋体"/>
          <w:b/>
          <w:highlight w:val="none"/>
        </w:rPr>
      </w:pPr>
      <w:bookmarkStart w:id="78" w:name="_Toc885"/>
      <w:bookmarkStart w:id="79" w:name="_Toc420341474"/>
      <w:bookmarkStart w:id="80" w:name="_Toc30012"/>
      <w:bookmarkStart w:id="81" w:name="_Toc27333"/>
      <w:bookmarkStart w:id="82" w:name="_Toc13742"/>
      <w:bookmarkStart w:id="83" w:name="_Toc19503"/>
      <w:r>
        <w:rPr>
          <w:rFonts w:hint="eastAsia" w:ascii="宋体" w:hAnsi="宋体" w:eastAsia="宋体" w:cs="宋体"/>
          <w:kern w:val="0"/>
          <w:sz w:val="24"/>
          <w:highlight w:val="none"/>
        </w:rPr>
        <w:t>通用合同条款（见《中华人民共和国标准施工招标文件》2007年版</w:t>
      </w:r>
      <w:r>
        <w:rPr>
          <w:rFonts w:hint="eastAsia" w:ascii="宋体" w:hAnsi="宋体" w:eastAsia="宋体" w:cs="宋体"/>
          <w:kern w:val="0"/>
          <w:szCs w:val="21"/>
          <w:highlight w:val="none"/>
        </w:rPr>
        <w:br w:type="page"/>
      </w:r>
      <w:bookmarkEnd w:id="78"/>
      <w:bookmarkEnd w:id="79"/>
      <w:bookmarkEnd w:id="80"/>
      <w:bookmarkEnd w:id="81"/>
      <w:bookmarkEnd w:id="82"/>
      <w:bookmarkEnd w:id="83"/>
      <w:r>
        <w:rPr>
          <w:rFonts w:hint="eastAsia" w:ascii="宋体" w:hAnsi="宋体" w:eastAsia="宋体" w:cs="宋体"/>
          <w:b/>
          <w:kern w:val="0"/>
          <w:sz w:val="24"/>
          <w:highlight w:val="none"/>
        </w:rPr>
        <w:t>第二节</w:t>
      </w:r>
      <w:r>
        <w:rPr>
          <w:rFonts w:hint="eastAsia" w:ascii="宋体" w:hAnsi="宋体" w:eastAsia="宋体" w:cs="宋体"/>
          <w:b/>
          <w:highlight w:val="none"/>
        </w:rPr>
        <w:t>专用合同条款</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1.一般约定</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1.1词语定义</w:t>
      </w:r>
    </w:p>
    <w:p>
      <w:pPr>
        <w:spacing w:before="57" w:beforeLines="20"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highlight w:val="none"/>
        </w:rPr>
        <w:t>1.1.2合同当事人和人员</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1.1.2.2发包人：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1.1.2.6监理人：。</w:t>
      </w:r>
    </w:p>
    <w:p>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1.1.3工程和设备</w:t>
      </w:r>
    </w:p>
    <w:p>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1.1.4日期</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1.1.4.5缺陷责任期期限：。</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1.1.6其他</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合同条款。</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1.4合同文件的优先顺序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合同文件的优先解释顺序如下：</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(1)合同协议书；</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(2)中标通知书；</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(3)投标函及投标函附录；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(4)专用合同条款；</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(5)通用合同条款；</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(6)技术标准和要求；</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(7)图纸；</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(8)已标价工程量清单；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(9)其他合同文件。</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合同协议书中约定采用总价合同形式的，已标价工程量清单中的各项工程量对合同双方不具合同约束力。</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图纸与技术标准和要求之间有矛盾或者不一致的，以其中要求较严格的标准为准。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合同双方在合同履行过程中签订的补充协议亦构成合同文件的组成部分，其解释顺序视其内容与其他合同文件的相互关系而定。</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1.5合同协议书</w:t>
      </w:r>
    </w:p>
    <w:p>
      <w:pPr>
        <w:spacing w:before="143" w:beforeLines="50" w:after="143" w:afterLines="50"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合同生效的条件：</w:t>
      </w:r>
      <w:r>
        <w:rPr>
          <w:rFonts w:hint="eastAsia" w:ascii="宋体" w:hAnsi="宋体" w:eastAsia="宋体" w:cs="宋体"/>
          <w:highlight w:val="none"/>
          <w:u w:val="single"/>
        </w:rPr>
        <w:t>发包人和承包人的法定代表人或其委托代理人在合同协议书上签字并盖单位章后，合同生效</w:t>
      </w:r>
      <w:r>
        <w:rPr>
          <w:rFonts w:hint="eastAsia" w:ascii="宋体" w:hAnsi="宋体" w:eastAsia="宋体" w:cs="宋体"/>
          <w:highlight w:val="none"/>
        </w:rPr>
        <w:t>。</w:t>
      </w:r>
    </w:p>
    <w:p>
      <w:pPr>
        <w:pStyle w:val="5"/>
        <w:spacing w:line="400" w:lineRule="exact"/>
        <w:rPr>
          <w:rFonts w:hint="eastAsia" w:ascii="宋体" w:hAnsi="宋体" w:eastAsia="宋体" w:cs="宋体"/>
          <w:sz w:val="21"/>
          <w:szCs w:val="21"/>
          <w:highlight w:val="none"/>
        </w:rPr>
      </w:pPr>
      <w:bookmarkStart w:id="84" w:name="_Toc25787"/>
      <w:r>
        <w:rPr>
          <w:rFonts w:hint="eastAsia" w:ascii="宋体" w:hAnsi="宋体" w:eastAsia="宋体" w:cs="宋体"/>
          <w:sz w:val="21"/>
          <w:szCs w:val="21"/>
          <w:highlight w:val="none"/>
        </w:rPr>
        <w:t>4.2履约担保</w:t>
      </w:r>
      <w:bookmarkEnd w:id="84"/>
    </w:p>
    <w:p>
      <w:pPr>
        <w:spacing w:line="560" w:lineRule="exact"/>
        <w:jc w:val="left"/>
        <w:rPr>
          <w:rFonts w:hint="eastAsia" w:ascii="宋体" w:hAnsi="宋体" w:eastAsia="宋体" w:cs="宋体"/>
          <w:b/>
          <w:szCs w:val="21"/>
          <w:highlight w:val="none"/>
        </w:rPr>
      </w:pPr>
      <w:r>
        <w:rPr>
          <w:rFonts w:hint="eastAsia" w:ascii="宋体" w:hAnsi="宋体" w:eastAsia="宋体" w:cs="宋体"/>
          <w:b/>
          <w:szCs w:val="21"/>
          <w:highlight w:val="none"/>
        </w:rPr>
        <w:t>4.2.1履约保证金的格式和金额</w:t>
      </w:r>
    </w:p>
    <w:p>
      <w:pPr>
        <w:spacing w:line="560" w:lineRule="exact"/>
        <w:jc w:val="left"/>
        <w:rPr>
          <w:rFonts w:hint="eastAsia" w:ascii="宋体" w:hAnsi="宋体" w:eastAsia="宋体" w:cs="宋体"/>
          <w:szCs w:val="21"/>
          <w:highlight w:val="none"/>
        </w:rPr>
      </w:pPr>
      <w:r>
        <w:rPr>
          <w:rFonts w:hint="eastAsia" w:ascii="宋体" w:hAnsi="宋体" w:eastAsia="宋体" w:cs="宋体"/>
          <w:szCs w:val="21"/>
          <w:highlight w:val="none"/>
        </w:rPr>
        <w:t>承包人应在签订合同前，按照发包人在磋商文件中规定的格式或者其他经过发包人认可的格式向发包人递交一份履约保证金。经过发包人事先书面认可的其他格式的履约保证金，其担保条款的实质性内容应当与发包人在磋商文件中规定的格式内容保持一致。履约保证金的金额为</w:t>
      </w:r>
      <w:r>
        <w:rPr>
          <w:rFonts w:hint="eastAsia" w:ascii="宋体" w:hAnsi="宋体" w:eastAsia="宋体" w:cs="宋体"/>
          <w:b/>
          <w:szCs w:val="21"/>
          <w:highlight w:val="none"/>
        </w:rPr>
        <w:t>。</w:t>
      </w:r>
      <w:r>
        <w:rPr>
          <w:rFonts w:hint="eastAsia" w:ascii="宋体" w:hAnsi="宋体" w:eastAsia="宋体" w:cs="宋体"/>
          <w:szCs w:val="21"/>
          <w:highlight w:val="none"/>
        </w:rPr>
        <w:t>履约保证金是本合同的附件。</w:t>
      </w:r>
    </w:p>
    <w:p>
      <w:pPr>
        <w:spacing w:line="560" w:lineRule="exact"/>
        <w:jc w:val="left"/>
        <w:rPr>
          <w:rFonts w:hint="eastAsia" w:ascii="宋体" w:hAnsi="宋体" w:eastAsia="宋体" w:cs="宋体"/>
          <w:b/>
          <w:szCs w:val="21"/>
          <w:highlight w:val="none"/>
        </w:rPr>
      </w:pPr>
      <w:r>
        <w:rPr>
          <w:rFonts w:hint="eastAsia" w:ascii="宋体" w:hAnsi="宋体" w:eastAsia="宋体" w:cs="宋体"/>
          <w:b/>
          <w:szCs w:val="21"/>
          <w:highlight w:val="none"/>
        </w:rPr>
        <w:t>4.2.2履约保证金的有效期</w:t>
      </w:r>
    </w:p>
    <w:p>
      <w:pPr>
        <w:spacing w:line="560" w:lineRule="exact"/>
        <w:jc w:val="left"/>
        <w:rPr>
          <w:rFonts w:hint="eastAsia" w:ascii="宋体" w:hAnsi="宋体" w:eastAsia="宋体" w:cs="宋体"/>
          <w:szCs w:val="21"/>
          <w:highlight w:val="none"/>
        </w:rPr>
      </w:pPr>
      <w:r>
        <w:rPr>
          <w:rFonts w:hint="eastAsia" w:ascii="宋体" w:hAnsi="宋体" w:eastAsia="宋体" w:cs="宋体"/>
          <w:szCs w:val="21"/>
          <w:highlight w:val="none"/>
        </w:rPr>
        <w:t>履约保证金的有效期应当自本合同生效之日起至发包人签认并由监理人向承包人出具工程接收证书之日止。</w:t>
      </w:r>
    </w:p>
    <w:p>
      <w:pPr>
        <w:spacing w:line="560" w:lineRule="exact"/>
        <w:jc w:val="left"/>
        <w:rPr>
          <w:rFonts w:hint="eastAsia" w:ascii="宋体" w:hAnsi="宋体" w:eastAsia="宋体" w:cs="宋体"/>
          <w:b/>
          <w:szCs w:val="21"/>
          <w:highlight w:val="none"/>
        </w:rPr>
      </w:pPr>
      <w:r>
        <w:rPr>
          <w:rFonts w:hint="eastAsia" w:ascii="宋体" w:hAnsi="宋体" w:eastAsia="宋体" w:cs="宋体"/>
          <w:b/>
          <w:szCs w:val="21"/>
          <w:highlight w:val="none"/>
        </w:rPr>
        <w:t>4.2.3履约保证金的退还</w:t>
      </w:r>
    </w:p>
    <w:p>
      <w:pPr>
        <w:spacing w:line="560" w:lineRule="exact"/>
        <w:jc w:val="left"/>
        <w:rPr>
          <w:rFonts w:hint="eastAsia" w:ascii="宋体" w:hAnsi="宋体" w:eastAsia="宋体" w:cs="宋体"/>
          <w:szCs w:val="21"/>
          <w:highlight w:val="none"/>
        </w:rPr>
      </w:pPr>
      <w:r>
        <w:rPr>
          <w:rFonts w:hint="eastAsia" w:ascii="宋体" w:hAnsi="宋体" w:eastAsia="宋体" w:cs="宋体"/>
          <w:szCs w:val="21"/>
          <w:highlight w:val="none"/>
        </w:rPr>
        <w:t>履约保证金应在监理人向承包人颁发(出具)工程接收证书之日后退还给承包人。</w:t>
      </w:r>
    </w:p>
    <w:p>
      <w:pPr>
        <w:spacing w:line="560" w:lineRule="exact"/>
        <w:jc w:val="left"/>
        <w:rPr>
          <w:rFonts w:hint="eastAsia" w:ascii="宋体" w:hAnsi="宋体" w:eastAsia="宋体" w:cs="宋体"/>
          <w:szCs w:val="21"/>
          <w:highlight w:val="none"/>
        </w:rPr>
      </w:pPr>
      <w:r>
        <w:rPr>
          <w:rFonts w:hint="eastAsia" w:ascii="宋体" w:hAnsi="宋体" w:eastAsia="宋体" w:cs="宋体"/>
          <w:szCs w:val="21"/>
          <w:highlight w:val="none"/>
        </w:rPr>
        <w:t>发包人不承担承包人与履约保证金有关的任何利息或其它类似的费用或者收益。</w:t>
      </w:r>
    </w:p>
    <w:p>
      <w:pPr>
        <w:pStyle w:val="12"/>
        <w:rPr>
          <w:rFonts w:hint="eastAsia" w:ascii="宋体" w:hAnsi="宋体" w:eastAsia="宋体" w:cs="宋体"/>
          <w:highlight w:val="none"/>
        </w:rPr>
      </w:pP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11.5承包人的工期延误</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逾期竣工违约金的计算标准：</w:t>
      </w:r>
      <w:r>
        <w:rPr>
          <w:rFonts w:hint="eastAsia" w:ascii="宋体" w:hAnsi="宋体" w:eastAsia="宋体" w:cs="宋体"/>
          <w:highlight w:val="none"/>
          <w:u w:val="single"/>
        </w:rPr>
        <w:t>/</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逾期竣工违约金的计算方法：。</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逾期竣工违约金的限额：</w:t>
      </w:r>
      <w:r>
        <w:rPr>
          <w:rFonts w:hint="eastAsia" w:ascii="宋体" w:hAnsi="宋体" w:eastAsia="宋体" w:cs="宋体"/>
          <w:b/>
          <w:bCs/>
          <w:highlight w:val="none"/>
          <w:u w:val="single"/>
        </w:rPr>
        <w:t>最高赔偿金额不超过签约合同价的</w:t>
      </w:r>
      <w:r>
        <w:rPr>
          <w:rFonts w:hint="eastAsia" w:ascii="宋体" w:hAnsi="宋体" w:eastAsia="宋体" w:cs="宋体"/>
          <w:b/>
          <w:bCs/>
          <w:highlight w:val="none"/>
          <w:u w:val="single"/>
          <w:lang w:val="en-US" w:eastAsia="zh-CN"/>
        </w:rPr>
        <w:t>1</w:t>
      </w:r>
      <w:r>
        <w:rPr>
          <w:rFonts w:hint="eastAsia" w:ascii="宋体" w:hAnsi="宋体" w:eastAsia="宋体" w:cs="宋体"/>
          <w:b/>
          <w:bCs/>
          <w:highlight w:val="none"/>
          <w:u w:val="single"/>
        </w:rPr>
        <w:t>2%。</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13.1工程质量要求</w:t>
      </w:r>
    </w:p>
    <w:p>
      <w:pPr>
        <w:spacing w:after="85" w:afterLines="30" w:line="360" w:lineRule="auto"/>
        <w:ind w:firstLine="420" w:firstLineChars="200"/>
        <w:rPr>
          <w:rFonts w:hint="eastAsia" w:ascii="宋体" w:hAnsi="宋体" w:eastAsia="宋体" w:cs="宋体"/>
          <w:b/>
          <w:szCs w:val="21"/>
          <w:highlight w:val="none"/>
          <w:u w:val="single"/>
        </w:rPr>
      </w:pPr>
      <w:r>
        <w:rPr>
          <w:rFonts w:hint="eastAsia" w:ascii="宋体" w:hAnsi="宋体" w:eastAsia="宋体" w:cs="宋体"/>
          <w:highlight w:val="none"/>
        </w:rPr>
        <w:t>13.1.2</w:t>
      </w:r>
      <w:r>
        <w:rPr>
          <w:rFonts w:hint="eastAsia" w:ascii="宋体" w:hAnsi="宋体" w:eastAsia="宋体" w:cs="宋体"/>
          <w:b/>
          <w:szCs w:val="21"/>
          <w:highlight w:val="none"/>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给发包人所造成的一切损失均由承包人赔偿。</w:t>
      </w:r>
    </w:p>
    <w:p>
      <w:pPr>
        <w:spacing w:line="360" w:lineRule="auto"/>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rPr>
        <w:t>承包人负责提供的材料，技术标准和质量要求必须达到发包人要求、且优于或等同于国家技术标准。承包人负责提供的材料必须经发包人和监理人共同确定，经发包人确定后的材料、规格后方可投入使用于本工程、否则一切损失由承包人承担。</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15.变更</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15.4变更的估价原则</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15.4.5合同协议书约定采用单价合同形式时，因非承包人原因引起已标价工程量清单中列明的工程量发生增减，按政府工程变更报批程序办理。</w:t>
      </w:r>
    </w:p>
    <w:p>
      <w:pPr>
        <w:spacing w:line="360" w:lineRule="auto"/>
        <w:ind w:firstLine="420" w:firstLineChars="200"/>
        <w:rPr>
          <w:rFonts w:hint="eastAsia" w:ascii="宋体" w:hAnsi="宋体" w:eastAsia="宋体" w:cs="宋体"/>
          <w:b/>
          <w:bCs/>
          <w:color w:val="000000"/>
          <w:highlight w:val="none"/>
          <w:u w:val="single"/>
          <w:lang w:eastAsia="zh-CN"/>
        </w:rPr>
      </w:pPr>
      <w:r>
        <w:rPr>
          <w:rFonts w:hint="eastAsia" w:ascii="宋体" w:hAnsi="宋体" w:eastAsia="宋体" w:cs="宋体"/>
          <w:szCs w:val="21"/>
          <w:highlight w:val="none"/>
        </w:rPr>
        <w:t>15.4.6因变更引起价格调整的其他处理方式：</w:t>
      </w:r>
      <w:r>
        <w:rPr>
          <w:rFonts w:hint="eastAsia" w:ascii="宋体" w:hAnsi="宋体" w:eastAsia="宋体" w:cs="宋体"/>
          <w:b/>
          <w:szCs w:val="21"/>
          <w:highlight w:val="none"/>
          <w:u w:val="single"/>
        </w:rPr>
        <w:t>因设计变更或新增项目等出现的已招标项目工程量清单中未设置的清单项目，成交人应当按照招标控制价的编制依据、编制原则、编制方法编制该部分项目预算，经财政或审计部门审核后，按照本工程招标时投标总报价相对招标控制总价的下浮比例确定该部分项目的价格。（增加的工程量清单项目，其综合单价按下列方法确定：1.合同中已有适用工程项目综合单价的，按合同中已有的综合单价确定；2.合同中有类似工程项目综合单价的，可以参照合同中的类似项目综合单价组价原则确定；3.合同中没有适用或类似工程项目综合单价的，按中标清单中人工、材料、机械、取费等编制方法进行编制，执行同期材料指导价及市场材料价格。变更不允许超出中标</w:t>
      </w:r>
      <w:r>
        <w:rPr>
          <w:rFonts w:hint="eastAsia" w:ascii="宋体" w:hAnsi="宋体" w:eastAsia="宋体" w:cs="宋体"/>
          <w:b/>
          <w:szCs w:val="21"/>
          <w:highlight w:val="none"/>
          <w:u w:val="single"/>
          <w:lang w:eastAsia="zh-CN"/>
        </w:rPr>
        <w:t>合同价的</w:t>
      </w:r>
      <w:r>
        <w:rPr>
          <w:rFonts w:hint="eastAsia" w:ascii="宋体" w:hAnsi="宋体" w:eastAsia="宋体" w:cs="宋体"/>
          <w:b/>
          <w:szCs w:val="21"/>
          <w:highlight w:val="none"/>
          <w:u w:val="single"/>
        </w:rPr>
        <w:t>10%。</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15.5承包人的合理化建议</w:t>
      </w:r>
    </w:p>
    <w:p>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eastAsia="宋体" w:cs="宋体"/>
          <w:highlight w:val="none"/>
        </w:rPr>
        <w:t>15.5.2对承包人提出合理化建议的奖励方法：</w:t>
      </w:r>
      <w:r>
        <w:rPr>
          <w:rFonts w:hint="eastAsia" w:ascii="宋体" w:hAnsi="宋体" w:eastAsia="宋体" w:cs="宋体"/>
          <w:highlight w:val="none"/>
          <w:u w:val="single"/>
        </w:rPr>
        <w:t>无</w:t>
      </w:r>
    </w:p>
    <w:p>
      <w:pPr>
        <w:spacing w:line="360" w:lineRule="auto"/>
        <w:rPr>
          <w:rFonts w:hint="eastAsia" w:ascii="宋体" w:hAnsi="宋体" w:eastAsia="宋体" w:cs="宋体"/>
          <w:b/>
          <w:bCs/>
          <w:highlight w:val="none"/>
          <w:u w:val="single"/>
        </w:rPr>
      </w:pPr>
      <w:r>
        <w:rPr>
          <w:rFonts w:hint="eastAsia" w:ascii="宋体" w:hAnsi="宋体" w:eastAsia="宋体" w:cs="宋体"/>
          <w:b/>
          <w:bCs/>
          <w:szCs w:val="21"/>
          <w:highlight w:val="none"/>
        </w:rPr>
        <w:t>15.8</w:t>
      </w:r>
      <w:r>
        <w:rPr>
          <w:rFonts w:hint="eastAsia" w:ascii="宋体" w:hAnsi="宋体" w:eastAsia="宋体" w:cs="宋体"/>
          <w:b/>
          <w:bCs/>
          <w:szCs w:val="21"/>
          <w:highlight w:val="none"/>
          <w:u w:val="single"/>
        </w:rPr>
        <w:t>暂估价原则上不突破事前确定的控制价。购买前承包方提出申请，经发包方批准同意后，由发包方组织有关单位参加，进行考察、对比、调研及竞价采购。暂估价项目属于必须招标的范围并达到规定的规模标准的，应当按照《招标投标法》、《政府采购法》的相关规定进行招标或者政府采购。考察结束后形成考察报告（附考察报价单位原始材料）发包方签字后、作为工程结算、审计材料价格调整的依据。未经发包人事先考察核对同意，承包人擅自采购使用的发包方不予调整此材料价格。</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16.价格调整</w:t>
      </w:r>
    </w:p>
    <w:p>
      <w:pPr>
        <w:pStyle w:val="5"/>
        <w:rPr>
          <w:rFonts w:hint="eastAsia" w:ascii="宋体" w:hAnsi="宋体" w:eastAsia="宋体" w:cs="宋体"/>
          <w:highlight w:val="none"/>
          <w:lang w:eastAsia="zh-CN"/>
        </w:rPr>
      </w:pPr>
      <w:r>
        <w:rPr>
          <w:rFonts w:hint="eastAsia" w:ascii="宋体" w:hAnsi="宋体" w:eastAsia="宋体" w:cs="宋体"/>
          <w:sz w:val="21"/>
          <w:szCs w:val="21"/>
          <w:highlight w:val="none"/>
        </w:rPr>
        <w:t>16.1物价波动引起的价格调整</w:t>
      </w:r>
      <w:r>
        <w:rPr>
          <w:rFonts w:hint="eastAsia" w:ascii="宋体" w:hAnsi="宋体" w:eastAsia="宋体" w:cs="宋体"/>
          <w:sz w:val="21"/>
          <w:szCs w:val="21"/>
          <w:highlight w:val="none"/>
          <w:u w:val="single"/>
        </w:rPr>
        <w:t>不调整</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17.计量与支付</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17.1计量</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highlight w:val="none"/>
        </w:rPr>
        <w:t>17.1.2计量方法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工程量计算规则执行国家标准《建设工程工程量清单计价规范》(</w:t>
      </w:r>
      <w:r>
        <w:rPr>
          <w:rFonts w:hint="eastAsia" w:ascii="宋体" w:hAnsi="宋体" w:eastAsia="宋体" w:cs="宋体"/>
          <w:szCs w:val="21"/>
          <w:highlight w:val="none"/>
          <w:lang w:bidi="ar"/>
        </w:rPr>
        <w:t>GB50500—2013</w:t>
      </w:r>
      <w:r>
        <w:rPr>
          <w:rFonts w:hint="eastAsia" w:ascii="宋体" w:hAnsi="宋体" w:eastAsia="宋体" w:cs="宋体"/>
          <w:highlight w:val="none"/>
        </w:rPr>
        <w:t>)、《山东省建设工程工程量清单计价规则》或其适用的修订版本。</w:t>
      </w:r>
    </w:p>
    <w:p>
      <w:pPr>
        <w:spacing w:before="57" w:beforeLines="20" w:after="57" w:afterLines="20"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17.1.5总价子目的计量一按实际完成工程量计量</w:t>
      </w:r>
    </w:p>
    <w:p>
      <w:pPr>
        <w:spacing w:line="360" w:lineRule="auto"/>
        <w:ind w:firstLine="422" w:firstLineChars="200"/>
        <w:rPr>
          <w:rFonts w:hint="eastAsia" w:ascii="宋体" w:hAnsi="宋体" w:eastAsia="宋体" w:cs="宋体"/>
          <w:highlight w:val="none"/>
        </w:rPr>
      </w:pPr>
      <w:r>
        <w:rPr>
          <w:rFonts w:hint="eastAsia" w:ascii="宋体" w:hAnsi="宋体" w:eastAsia="宋体" w:cs="宋体"/>
          <w:b/>
          <w:bCs/>
          <w:highlight w:val="none"/>
          <w:u w:val="single"/>
        </w:rPr>
        <w:t>除按照第15条约定的变更外，在竣工结算时总价子目的工程量按实际发生计量。</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17.2预付款</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17.3工程进度付款</w:t>
      </w:r>
    </w:p>
    <w:p>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kern w:val="2"/>
          <w:sz w:val="21"/>
          <w:szCs w:val="24"/>
          <w:highlight w:val="none"/>
          <w:u w:val="single"/>
          <w:lang w:val="en-US" w:eastAsia="zh-CN" w:bidi="ar-SA"/>
        </w:rPr>
      </w:pPr>
      <w:r>
        <w:rPr>
          <w:rFonts w:hint="eastAsia" w:ascii="宋体" w:hAnsi="宋体" w:eastAsia="宋体" w:cs="宋体"/>
          <w:b/>
          <w:bCs/>
          <w:kern w:val="2"/>
          <w:sz w:val="21"/>
          <w:szCs w:val="24"/>
          <w:highlight w:val="none"/>
          <w:u w:val="single"/>
          <w:lang w:val="en-US" w:eastAsia="zh-CN" w:bidi="ar-SA"/>
        </w:rPr>
        <w:t>工程竣工验收合格后付审计价款的30%，验收合格满一年后付审计价款的20%，验收合格满两年后付审计价款的20%，验收合格满三年后审计价款的20%，质保期结束后余款一次性无息付清。（金额以审计价为准）</w:t>
      </w:r>
    </w:p>
    <w:p>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kern w:val="2"/>
          <w:sz w:val="21"/>
          <w:szCs w:val="24"/>
          <w:highlight w:val="none"/>
          <w:u w:val="single"/>
          <w:lang w:val="en-US" w:eastAsia="zh-CN" w:bidi="ar-SA"/>
        </w:rPr>
      </w:pPr>
      <w:r>
        <w:rPr>
          <w:rFonts w:hint="eastAsia" w:ascii="宋体" w:hAnsi="宋体" w:eastAsia="宋体" w:cs="宋体"/>
          <w:b/>
          <w:bCs/>
          <w:kern w:val="2"/>
          <w:sz w:val="21"/>
          <w:szCs w:val="24"/>
          <w:highlight w:val="none"/>
          <w:u w:val="single"/>
          <w:lang w:val="en-US" w:eastAsia="zh-CN" w:bidi="ar-SA"/>
        </w:rPr>
        <w:t>为确保工程保质保量按期完工，本项目工程款承包人必须专款专用，如发现承包人挪用工程款现象，由此造成的一切损失均有承包人承担。如出现拖欠农民工工资现象，农民工每上访一次，罚款3万元。(从工程款中扣除）。</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17.</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竣工结算</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highlight w:val="none"/>
        </w:rPr>
        <w:t>17.5.3竣工结算办法</w:t>
      </w:r>
    </w:p>
    <w:p>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工程竣工验收合格后承包人应将工程竣工结算（含合同价款及价款调整）以及所有与工程价款核定有关的一切资料（包括各种变更签证、价格签证、月度工程划线、竣工图、隐蔽验收记录</w:t>
      </w:r>
      <w:r>
        <w:rPr>
          <w:rFonts w:hint="eastAsia" w:ascii="宋体" w:hAnsi="宋体" w:eastAsia="宋体" w:cs="宋体"/>
          <w:b/>
          <w:bCs/>
          <w:highlight w:val="none"/>
          <w:lang w:eastAsia="zh-CN"/>
        </w:rPr>
        <w:t>及影像资料</w:t>
      </w:r>
      <w:r>
        <w:rPr>
          <w:rFonts w:hint="eastAsia" w:ascii="宋体" w:hAnsi="宋体" w:eastAsia="宋体" w:cs="宋体"/>
          <w:b/>
          <w:bCs/>
          <w:highlight w:val="none"/>
        </w:rPr>
        <w:t>、各种实验报告、产品合格证明、暂估材料及暂估综合单价项目的采购签批资料、工程施工日志等）报监理人。监理人在收到承包人提交的竣工付款申请单和竣工结算资料后的7天内完成核查，送发包人审计。发包人收到后委托有资质的中介机构审计完毕（对审计结果不认同的除外），出具审计报告。以审计结果为准作为结算的依据。</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18.竣工验收</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18.2竣工验收申请报告</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发包人根据《建筑工程施工及验收规范》及合同进度计划安排，在全部工程竣工时，由承包人提出经发包人同意，可进行单位工程验收。验收合格后，由监理人向承包人出具经发包人签认的单位工程验收证书。</w:t>
      </w:r>
    </w:p>
    <w:p>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highlight w:val="none"/>
          <w:u w:val="single"/>
        </w:rPr>
        <w:t>按照国家和地方现行有关规范规定要求</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竣工验收资料的份数：</w:t>
      </w:r>
      <w:r>
        <w:rPr>
          <w:rFonts w:hint="eastAsia" w:ascii="宋体" w:hAnsi="宋体" w:eastAsia="宋体" w:cs="宋体"/>
          <w:highlight w:val="none"/>
          <w:u w:val="single"/>
        </w:rPr>
        <w:t>按照国家和地方现行有关规范规定要求</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竣工验收资料的费用支付方式：</w:t>
      </w:r>
      <w:r>
        <w:rPr>
          <w:rFonts w:hint="eastAsia" w:ascii="宋体" w:hAnsi="宋体" w:eastAsia="宋体" w:cs="宋体"/>
          <w:highlight w:val="none"/>
          <w:u w:val="single"/>
        </w:rPr>
        <w:t>由承包人承担，费用包括在合同价中</w:t>
      </w:r>
      <w:r>
        <w:rPr>
          <w:rFonts w:hint="eastAsia" w:ascii="宋体" w:hAnsi="宋体" w:eastAsia="宋体" w:cs="宋体"/>
          <w:highlight w:val="none"/>
        </w:rPr>
        <w:t>。</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19.缺陷责任与保修责任</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24.争议的解决</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24.1争议的解决方式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highlight w:val="none"/>
          <w:u w:val="single"/>
        </w:rPr>
        <w:t>贰</w:t>
      </w:r>
      <w:r>
        <w:rPr>
          <w:rFonts w:hint="eastAsia" w:ascii="宋体" w:hAnsi="宋体" w:eastAsia="宋体" w:cs="宋体"/>
          <w:highlight w:val="none"/>
        </w:rPr>
        <w:t>种方式解决：</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u w:val="single"/>
        </w:rPr>
        <w:t>（壹）</w:t>
      </w:r>
      <w:r>
        <w:rPr>
          <w:rFonts w:hint="eastAsia" w:ascii="宋体" w:hAnsi="宋体" w:eastAsia="宋体" w:cs="宋体"/>
          <w:highlight w:val="none"/>
        </w:rPr>
        <w:t>提请</w:t>
      </w:r>
      <w:r>
        <w:rPr>
          <w:rFonts w:hint="eastAsia" w:ascii="宋体" w:hAnsi="宋体" w:eastAsia="宋体" w:cs="宋体"/>
          <w:highlight w:val="none"/>
          <w:u w:val="single"/>
        </w:rPr>
        <w:t>济宁</w:t>
      </w:r>
      <w:r>
        <w:rPr>
          <w:rFonts w:hint="eastAsia" w:ascii="宋体" w:hAnsi="宋体" w:eastAsia="宋体" w:cs="宋体"/>
          <w:highlight w:val="none"/>
        </w:rPr>
        <w:t>仲裁委员会按照该会仲裁规则进行仲裁，仲裁裁决是终局的，对合同双方均有约束力。</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u w:val="single"/>
        </w:rPr>
        <w:t>（贰）</w:t>
      </w:r>
      <w:r>
        <w:rPr>
          <w:rFonts w:hint="eastAsia" w:ascii="宋体" w:hAnsi="宋体" w:eastAsia="宋体" w:cs="宋体"/>
          <w:highlight w:val="none"/>
        </w:rPr>
        <w:t>向有管辖权的人民法院提起诉讼。</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24.3争议评审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24.3.4争议评审组邀请合同双方代表人和有关人员举行调查会的期限：</w:t>
      </w:r>
      <w:r>
        <w:rPr>
          <w:rFonts w:hint="eastAsia" w:ascii="宋体" w:hAnsi="宋体" w:eastAsia="宋体" w:cs="宋体"/>
          <w:highlight w:val="none"/>
          <w:u w:val="single"/>
        </w:rPr>
        <w:t>/</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24.3.5争议评审组在调查会后作出争议评审意见的期限：</w:t>
      </w:r>
      <w:r>
        <w:rPr>
          <w:rFonts w:hint="eastAsia" w:ascii="宋体" w:hAnsi="宋体" w:eastAsia="宋体" w:cs="宋体"/>
          <w:highlight w:val="none"/>
          <w:u w:val="single"/>
        </w:rPr>
        <w:t>/</w:t>
      </w:r>
      <w:r>
        <w:rPr>
          <w:rFonts w:hint="eastAsia" w:ascii="宋体" w:hAnsi="宋体" w:eastAsia="宋体" w:cs="宋体"/>
          <w:highlight w:val="none"/>
        </w:rPr>
        <w:t>。</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25.补充条款</w:t>
      </w:r>
    </w:p>
    <w:p>
      <w:pPr>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highlight w:val="none"/>
        </w:rPr>
        <w:t>25.1施工单位在施工期间的施工安全问题自负，施工期间的地方关系或个体关系由施工单位自行处理。</w:t>
      </w:r>
      <w:r>
        <w:rPr>
          <w:rFonts w:hint="eastAsia" w:ascii="宋体" w:hAnsi="宋体" w:eastAsia="宋体" w:cs="宋体"/>
          <w:b/>
          <w:bCs/>
          <w:szCs w:val="21"/>
          <w:highlight w:val="none"/>
        </w:rPr>
        <w:t>由于安全问题产生的责任、费用均由承包人承担，由此给发包人造成的一些损失由承包人进行赔偿。</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25.2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25.4禁止中标单位将承包的工程进行转包、违法分包，禁止中标单位转让、出借企业资质证书或者以其他方式允许他人经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25.5承包人在施工过程中故意刁难发包人或因其他原因给发包人造成损失，应全额赔偿发包人的损失，发包人有权终止合同另行选择施工单位。</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25.6承包人在施工期间未经发包人同意，不得擅自停工，如发现上述情况，发包人将立即终止合同，已完工程按已完工程造价的50%支付工程款。</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25.7若承包人未在承诺的工期内完成工程，发包人将有权终止合同。</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25.8农民工工资保证金的金额为中标价的2%，农民工工资保证金必须由成交供应商在签订合同前缴纳至采购人指定账户，否则视为无效。未按磋商文件规定缴纳的，依法承担违约责任。</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不拖欠农民工工资保证金应在上级主管部门验收合格后无息退还给承包人</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25.9、本工程承包人报价包括全部人工费、材料费、机械费、安全施工费、管理费、措施费、检测试验费、环境检测费、暂估价、利润、规费、税金、验收、保修服务费、环境保护及扬尘治理并考虑风险及其他一切费用。</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25.10、本合同包含材料价格上涨等一切风险因素；</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25.11承包人对建设工地扬尘污染防治措施落实工作承担主体责任。承包人应当结合工程建设项目实际和施工合同约定，建立健全扬尘污染防治责任制，制定扬尘污染防治专项方案，落实各项防治具体措施。</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住房城乡建设部门对承包人的安全文明生产进行监督管理，施工过程中发现承包人降低安全生产条件的，提出整改要求；情节严重的，责令工程项目停止施工并限期整改，整改仍达不到要求或拒不停工整改的，按照规定程序及时向省住房和城乡建设部门提出安全生产许可证处罚建议，省住房城乡建设部门根据情节轻重依法给予承包人暂扣安全生产许可证处罚，承包人被依法暂扣安全生产许可证期间，不得参与本市工程建设招标项目的投标。</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25.12因本项目建设地点特殊，承包人充分了解了工地位置、现场土质地质、现场水源、电源位置和数量等情况、道路、储存空间、运输限制、装卸限制、需拆除建筑物现场实际情况及任何其他足以影响造价的情况，并在投标时予以充分的考虑，并考虑到报价中，任何因忽视或误解工地情况而导致的费用增加或工期延长申请将不被批准。</w:t>
      </w:r>
    </w:p>
    <w:p>
      <w:pPr>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br w:type="page"/>
      </w:r>
    </w:p>
    <w:p>
      <w:pPr>
        <w:spacing w:line="360" w:lineRule="auto"/>
        <w:jc w:val="center"/>
        <w:rPr>
          <w:rFonts w:hint="eastAsia" w:ascii="宋体" w:hAnsi="宋体" w:eastAsia="宋体" w:cs="宋体"/>
          <w:sz w:val="30"/>
          <w:szCs w:val="30"/>
          <w:highlight w:val="none"/>
        </w:rPr>
      </w:pPr>
      <w:bookmarkStart w:id="85" w:name="_Toc416701275"/>
      <w:r>
        <w:rPr>
          <w:rFonts w:hint="eastAsia" w:ascii="宋体" w:hAnsi="宋体" w:eastAsia="宋体" w:cs="宋体"/>
          <w:b/>
          <w:sz w:val="28"/>
          <w:szCs w:val="28"/>
          <w:highlight w:val="none"/>
        </w:rPr>
        <w:t>第三节合同附件格式</w:t>
      </w:r>
      <w:bookmarkEnd w:id="85"/>
    </w:p>
    <w:p>
      <w:pPr>
        <w:pStyle w:val="5"/>
        <w:rPr>
          <w:rFonts w:hint="eastAsia" w:ascii="宋体" w:hAnsi="宋体" w:eastAsia="宋体" w:cs="宋体"/>
          <w:sz w:val="21"/>
          <w:highlight w:val="none"/>
        </w:rPr>
      </w:pPr>
      <w:r>
        <w:rPr>
          <w:rFonts w:hint="eastAsia" w:ascii="宋体" w:hAnsi="宋体" w:eastAsia="宋体" w:cs="宋体"/>
          <w:sz w:val="21"/>
          <w:highlight w:val="none"/>
        </w:rPr>
        <w:t>附件一：合同协议书</w:t>
      </w:r>
    </w:p>
    <w:p>
      <w:pPr>
        <w:spacing w:line="360" w:lineRule="auto"/>
        <w:ind w:firstLine="562" w:firstLineChars="2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合同协议书</w:t>
      </w:r>
    </w:p>
    <w:p>
      <w:pPr>
        <w:wordWrap w:val="0"/>
        <w:spacing w:line="360" w:lineRule="auto"/>
        <w:ind w:right="69" w:rightChars="33" w:firstLine="420" w:firstLineChars="200"/>
        <w:jc w:val="right"/>
        <w:rPr>
          <w:rFonts w:hint="eastAsia" w:ascii="宋体" w:hAnsi="宋体" w:eastAsia="宋体" w:cs="宋体"/>
          <w:szCs w:val="21"/>
          <w:highlight w:val="none"/>
          <w:lang w:eastAsia="zh-CN"/>
        </w:rPr>
      </w:pPr>
      <w:r>
        <w:rPr>
          <w:rFonts w:hint="eastAsia" w:ascii="宋体" w:hAnsi="宋体" w:eastAsia="宋体" w:cs="宋体"/>
          <w:szCs w:val="21"/>
          <w:highlight w:val="none"/>
        </w:rPr>
        <w:t>编号：</w:t>
      </w:r>
    </w:p>
    <w:p>
      <w:pPr>
        <w:spacing w:line="360" w:lineRule="auto"/>
        <w:rPr>
          <w:rFonts w:hint="eastAsia" w:ascii="宋体" w:hAnsi="宋体" w:eastAsia="宋体" w:cs="宋体"/>
          <w:b/>
          <w:szCs w:val="21"/>
          <w:highlight w:val="none"/>
          <w:u w:val="single"/>
          <w:lang w:eastAsia="zh-CN"/>
        </w:rPr>
      </w:pPr>
      <w:r>
        <w:rPr>
          <w:rFonts w:hint="eastAsia" w:ascii="宋体" w:hAnsi="宋体" w:eastAsia="宋体" w:cs="宋体"/>
          <w:b/>
          <w:szCs w:val="21"/>
          <w:highlight w:val="none"/>
        </w:rPr>
        <w:t>发包人（全称）：</w:t>
      </w:r>
    </w:p>
    <w:p>
      <w:pPr>
        <w:spacing w:line="360" w:lineRule="auto"/>
        <w:rPr>
          <w:rFonts w:hint="eastAsia" w:ascii="宋体" w:hAnsi="宋体" w:eastAsia="宋体" w:cs="宋体"/>
          <w:b/>
          <w:spacing w:val="10"/>
          <w:szCs w:val="21"/>
          <w:highlight w:val="none"/>
          <w:lang w:eastAsia="zh-CN"/>
        </w:rPr>
      </w:pPr>
      <w:r>
        <w:rPr>
          <w:rFonts w:hint="eastAsia" w:ascii="宋体" w:hAnsi="宋体" w:eastAsia="宋体" w:cs="宋体"/>
          <w:b/>
          <w:spacing w:val="30"/>
          <w:szCs w:val="21"/>
          <w:highlight w:val="none"/>
        </w:rPr>
        <w:t>法定代表人</w:t>
      </w:r>
      <w:r>
        <w:rPr>
          <w:rFonts w:hint="eastAsia" w:ascii="宋体" w:hAnsi="宋体" w:eastAsia="宋体" w:cs="宋体"/>
          <w:b/>
          <w:spacing w:val="10"/>
          <w:szCs w:val="21"/>
          <w:highlight w:val="none"/>
        </w:rPr>
        <w:t>：</w:t>
      </w:r>
    </w:p>
    <w:p>
      <w:pPr>
        <w:spacing w:line="360" w:lineRule="auto"/>
        <w:rPr>
          <w:rFonts w:hint="eastAsia" w:ascii="宋体" w:hAnsi="宋体" w:eastAsia="宋体" w:cs="宋体"/>
          <w:b/>
          <w:szCs w:val="21"/>
          <w:highlight w:val="none"/>
          <w:lang w:eastAsia="zh-CN"/>
        </w:rPr>
      </w:pPr>
      <w:r>
        <w:rPr>
          <w:rFonts w:hint="eastAsia" w:ascii="宋体" w:hAnsi="宋体" w:eastAsia="宋体" w:cs="宋体"/>
          <w:b/>
          <w:spacing w:val="10"/>
          <w:szCs w:val="21"/>
          <w:highlight w:val="none"/>
        </w:rPr>
        <w:t>法定注册地址：</w:t>
      </w: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lang w:eastAsia="zh-CN"/>
        </w:rPr>
      </w:pPr>
      <w:r>
        <w:rPr>
          <w:rFonts w:hint="eastAsia" w:ascii="宋体" w:hAnsi="宋体" w:eastAsia="宋体" w:cs="宋体"/>
          <w:b/>
          <w:szCs w:val="21"/>
          <w:highlight w:val="none"/>
        </w:rPr>
        <w:t>承包人(全称）：</w:t>
      </w:r>
    </w:p>
    <w:p>
      <w:pPr>
        <w:spacing w:line="360" w:lineRule="auto"/>
        <w:rPr>
          <w:rFonts w:hint="eastAsia" w:ascii="宋体" w:hAnsi="宋体" w:eastAsia="宋体" w:cs="宋体"/>
          <w:b/>
          <w:szCs w:val="21"/>
          <w:highlight w:val="none"/>
          <w:lang w:eastAsia="zh-CN"/>
        </w:rPr>
      </w:pPr>
      <w:r>
        <w:rPr>
          <w:rFonts w:hint="eastAsia" w:ascii="宋体" w:hAnsi="宋体" w:eastAsia="宋体" w:cs="宋体"/>
          <w:b/>
          <w:spacing w:val="30"/>
          <w:szCs w:val="21"/>
          <w:highlight w:val="none"/>
        </w:rPr>
        <w:t>法定代表人：</w:t>
      </w:r>
    </w:p>
    <w:p>
      <w:pPr>
        <w:spacing w:after="143" w:afterLines="50" w:line="360" w:lineRule="auto"/>
        <w:rPr>
          <w:rFonts w:hint="eastAsia" w:ascii="宋体" w:hAnsi="宋体" w:eastAsia="宋体" w:cs="宋体"/>
          <w:b/>
          <w:szCs w:val="21"/>
          <w:highlight w:val="none"/>
          <w:lang w:eastAsia="zh-CN"/>
        </w:rPr>
      </w:pPr>
      <w:r>
        <w:rPr>
          <w:rFonts w:hint="eastAsia" w:ascii="宋体" w:hAnsi="宋体" w:eastAsia="宋体" w:cs="宋体"/>
          <w:b/>
          <w:spacing w:val="10"/>
          <w:szCs w:val="21"/>
          <w:highlight w:val="none"/>
        </w:rPr>
        <w:t>法定注册地址：</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为建设(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一、工程概况</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工程名称：(项目名称)</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工程地点：</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工程内容：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群体工程应附“承包人承揽工程项目一览表”(附件1)</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工程立项批准文号：</w:t>
      </w:r>
    </w:p>
    <w:p>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eastAsia="宋体" w:cs="宋体"/>
          <w:szCs w:val="21"/>
          <w:highlight w:val="none"/>
        </w:rPr>
        <w:t>资金来源：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二、工程承包范围</w:t>
      </w:r>
    </w:p>
    <w:p>
      <w:pPr>
        <w:spacing w:line="360" w:lineRule="auto"/>
        <w:ind w:left="420"/>
        <w:rPr>
          <w:rFonts w:hint="eastAsia" w:ascii="宋体" w:hAnsi="宋体" w:eastAsia="宋体" w:cs="宋体"/>
          <w:szCs w:val="21"/>
          <w:highlight w:val="none"/>
          <w:lang w:eastAsia="zh-CN"/>
        </w:rPr>
      </w:pPr>
      <w:r>
        <w:rPr>
          <w:rFonts w:hint="eastAsia" w:ascii="宋体" w:hAnsi="宋体" w:eastAsia="宋体" w:cs="宋体"/>
          <w:szCs w:val="21"/>
          <w:highlight w:val="none"/>
        </w:rPr>
        <w:t>承包范围：</w:t>
      </w:r>
    </w:p>
    <w:p>
      <w:pPr>
        <w:spacing w:line="360" w:lineRule="auto"/>
        <w:ind w:left="420"/>
        <w:rPr>
          <w:rFonts w:hint="eastAsia" w:ascii="宋体" w:hAnsi="宋体" w:eastAsia="宋体" w:cs="宋体"/>
          <w:szCs w:val="21"/>
          <w:highlight w:val="none"/>
        </w:rPr>
      </w:pPr>
      <w:r>
        <w:rPr>
          <w:rFonts w:hint="eastAsia" w:ascii="宋体" w:hAnsi="宋体" w:eastAsia="宋体" w:cs="宋体"/>
          <w:szCs w:val="21"/>
          <w:highlight w:val="none"/>
        </w:rPr>
        <w:t>详细承包范围见第七章“技术标准和要求”。</w:t>
      </w:r>
    </w:p>
    <w:p>
      <w:pPr>
        <w:spacing w:line="360" w:lineRule="auto"/>
        <w:ind w:left="420"/>
        <w:rPr>
          <w:rFonts w:hint="eastAsia" w:ascii="宋体" w:hAnsi="宋体" w:eastAsia="宋体" w:cs="宋体"/>
          <w:szCs w:val="21"/>
          <w:highlight w:val="none"/>
        </w:rPr>
      </w:pPr>
      <w:r>
        <w:rPr>
          <w:rFonts w:hint="eastAsia" w:ascii="宋体" w:hAnsi="宋体" w:eastAsia="宋体" w:cs="宋体"/>
          <w:szCs w:val="21"/>
          <w:highlight w:val="none"/>
        </w:rPr>
        <w:t>三、合同工期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计划开工日期：年月日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计划竣工日期：年月日</w:t>
      </w:r>
    </w:p>
    <w:p>
      <w:pPr>
        <w:widowControl/>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工期总日历天数天</w:t>
      </w:r>
      <w:r>
        <w:rPr>
          <w:rFonts w:hint="eastAsia" w:ascii="宋体" w:hAnsi="宋体" w:eastAsia="宋体" w:cs="宋体"/>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成交单位应在接到采购人或代理机构通知之日起3日内缴纳代理服务费并领取成交通知书，领取成交通知书之日起3日内按磋商文件要求缴纳履约保证金及不拖欠农民工工资保证金并签订施工合同，合同签订生效后3日内必须组织施工人员进场施工，否则，采购人有权取消其成交资格，且成交单位所缴纳的磋商保证金或履约保证金及不拖欠农民工工资保证金自动转为违约金。如承包人不能在合同约定的工期时间内竣工，发包人有权直接终止合同。</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四、质量标准</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工程质量标准：</w:t>
      </w:r>
      <w:r>
        <w:rPr>
          <w:rFonts w:hint="eastAsia" w:ascii="宋体" w:hAnsi="宋体" w:eastAsia="宋体" w:cs="宋体"/>
          <w:szCs w:val="21"/>
          <w:highlight w:val="none"/>
          <w:u w:val="single"/>
        </w:rPr>
        <w:t>合格</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五、合同形式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本合同采用</w:t>
      </w:r>
      <w:r>
        <w:rPr>
          <w:rFonts w:hint="eastAsia" w:ascii="宋体" w:hAnsi="宋体" w:eastAsia="宋体" w:cs="宋体"/>
          <w:b/>
          <w:szCs w:val="21"/>
          <w:highlight w:val="none"/>
          <w:u w:val="single"/>
        </w:rPr>
        <w:t>固定单价</w:t>
      </w:r>
      <w:r>
        <w:rPr>
          <w:rFonts w:hint="eastAsia" w:ascii="宋体" w:hAnsi="宋体" w:eastAsia="宋体" w:cs="宋体"/>
          <w:szCs w:val="21"/>
          <w:highlight w:val="none"/>
        </w:rPr>
        <w:t>合同形式。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六、签约合同价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金额(大写）：元(人民币)</w:t>
      </w:r>
    </w:p>
    <w:p>
      <w:pPr>
        <w:spacing w:line="360" w:lineRule="auto"/>
        <w:ind w:firstLine="642" w:firstLineChars="306"/>
        <w:rPr>
          <w:rFonts w:hint="eastAsia" w:ascii="宋体" w:hAnsi="宋体" w:eastAsia="宋体" w:cs="宋体"/>
          <w:szCs w:val="21"/>
          <w:highlight w:val="none"/>
        </w:rPr>
      </w:pPr>
      <w:r>
        <w:rPr>
          <w:rFonts w:hint="eastAsia" w:ascii="宋体" w:hAnsi="宋体" w:eastAsia="宋体" w:cs="宋体"/>
          <w:szCs w:val="21"/>
          <w:highlight w:val="none"/>
        </w:rPr>
        <w:t>(小写)￥：元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其中：安全文明施工费：元</w:t>
      </w:r>
    </w:p>
    <w:p>
      <w:pPr>
        <w:spacing w:line="360" w:lineRule="auto"/>
        <w:ind w:firstLine="1050" w:firstLineChars="500"/>
        <w:rPr>
          <w:rFonts w:hint="eastAsia" w:ascii="宋体" w:hAnsi="宋体" w:eastAsia="宋体" w:cs="宋体"/>
          <w:szCs w:val="21"/>
          <w:highlight w:val="none"/>
        </w:rPr>
      </w:pPr>
      <w:r>
        <w:rPr>
          <w:rFonts w:hint="eastAsia" w:ascii="宋体" w:hAnsi="宋体" w:eastAsia="宋体" w:cs="宋体"/>
          <w:szCs w:val="21"/>
          <w:highlight w:val="none"/>
        </w:rPr>
        <w:t>暂列金额：元（其中计日工金额元）</w:t>
      </w:r>
    </w:p>
    <w:p>
      <w:pPr>
        <w:spacing w:line="360" w:lineRule="auto"/>
        <w:ind w:firstLine="1050" w:firstLineChars="500"/>
        <w:rPr>
          <w:rFonts w:hint="eastAsia" w:ascii="宋体" w:hAnsi="宋体" w:eastAsia="宋体" w:cs="宋体"/>
          <w:szCs w:val="21"/>
          <w:highlight w:val="none"/>
        </w:rPr>
      </w:pPr>
      <w:r>
        <w:rPr>
          <w:rFonts w:hint="eastAsia" w:ascii="宋体" w:hAnsi="宋体" w:eastAsia="宋体" w:cs="宋体"/>
          <w:szCs w:val="21"/>
          <w:highlight w:val="none"/>
        </w:rPr>
        <w:t>材料和工程设备暂估价：元</w:t>
      </w:r>
    </w:p>
    <w:p>
      <w:pPr>
        <w:spacing w:line="360" w:lineRule="auto"/>
        <w:ind w:firstLine="1050" w:firstLineChars="500"/>
        <w:rPr>
          <w:rFonts w:hint="eastAsia" w:ascii="宋体" w:hAnsi="宋体" w:eastAsia="宋体" w:cs="宋体"/>
          <w:szCs w:val="21"/>
          <w:highlight w:val="none"/>
        </w:rPr>
      </w:pPr>
      <w:r>
        <w:rPr>
          <w:rFonts w:hint="eastAsia" w:ascii="宋体" w:hAnsi="宋体" w:eastAsia="宋体" w:cs="宋体"/>
          <w:szCs w:val="21"/>
          <w:highlight w:val="none"/>
        </w:rPr>
        <w:t>专业工程暂估价：元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七、承包人项目经理：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姓名：；职称：；</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身份证号：；建造师执业资格证书号：；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建造师注册证书号：。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建造师执业印章号：。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安全生产考核合格证书号：。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八、合同文件的组成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下列文件共同构成合同文件：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1、本协议书；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2、成交通知书；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3、磋商响应函；</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4、专用合同条款；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5、通用合同条款；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6、技术标准和要求；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7、图纸；</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8、已标价工程量清单；</w:t>
      </w:r>
    </w:p>
    <w:p>
      <w:pPr>
        <w:spacing w:after="143" w:afterLines="5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9、其他合同文件。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上述文件互相补充和解释，如有不明确或不一致之处，以合同约定次序在先者为准。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九、本协议书中有关词语定义与合同条款中的定义相同。</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十、承包人承诺按照合同约定进行施工、竣工、交付并在缺陷责任期内对工程缺陷承担维修责任。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十一、发包人承诺按照合同约定的条件、期限和方式向承包人支付合同价款。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十二、本协议书连同其他合同文件正本一式两份，合同双方各执一份；副本一式</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份，其中一份在合同报送建设行政主管部门备案时留存。</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十三、合同未尽事宜，双方另行签订补充协议，但不得背离本协议第八条所约定的合同文件的实质性内容。补充协议是合同文件的组成部分。</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发包人：(盖单位章)承包人：(盖单位章)</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法定代表人或其法定代表人或其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委托代理人：(签字)委托代理人：(签字)</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年月日年月日</w:t>
      </w:r>
    </w:p>
    <w:p>
      <w:pPr>
        <w:spacing w:line="36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rPr>
        <w:t>签约地点：</w:t>
      </w:r>
    </w:p>
    <w:p>
      <w:pPr>
        <w:spacing w:line="360" w:lineRule="auto"/>
        <w:rPr>
          <w:rFonts w:hint="eastAsia" w:ascii="宋体" w:hAnsi="宋体" w:eastAsia="宋体" w:cs="宋体"/>
          <w:szCs w:val="21"/>
          <w:highlight w:val="none"/>
          <w:u w:val="single"/>
        </w:rPr>
      </w:pPr>
    </w:p>
    <w:p>
      <w:pPr>
        <w:spacing w:line="360" w:lineRule="auto"/>
        <w:rPr>
          <w:rFonts w:hint="eastAsia" w:ascii="宋体" w:hAnsi="宋体" w:eastAsia="宋体" w:cs="宋体"/>
          <w:szCs w:val="21"/>
          <w:highlight w:val="none"/>
          <w:u w:val="single"/>
        </w:rPr>
      </w:pPr>
    </w:p>
    <w:p>
      <w:pPr>
        <w:pStyle w:val="5"/>
        <w:rPr>
          <w:rFonts w:hint="eastAsia" w:ascii="宋体" w:hAnsi="宋体" w:eastAsia="宋体" w:cs="宋体"/>
          <w:sz w:val="21"/>
          <w:highlight w:val="none"/>
        </w:rPr>
      </w:pPr>
      <w:r>
        <w:rPr>
          <w:rFonts w:hint="eastAsia" w:ascii="宋体" w:hAnsi="宋体" w:eastAsia="宋体" w:cs="宋体"/>
          <w:sz w:val="21"/>
          <w:highlight w:val="none"/>
        </w:rPr>
        <w:br w:type="page"/>
      </w:r>
      <w:r>
        <w:rPr>
          <w:rFonts w:hint="eastAsia" w:ascii="宋体" w:hAnsi="宋体" w:eastAsia="宋体" w:cs="宋体"/>
          <w:sz w:val="21"/>
          <w:highlight w:val="none"/>
        </w:rPr>
        <w:t>附件二：承包人提供的材料和工程设备一览表</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承包人提供的材料和工程设备一览表</w:t>
      </w:r>
    </w:p>
    <w:p>
      <w:pPr>
        <w:spacing w:line="360" w:lineRule="auto"/>
        <w:rPr>
          <w:rFonts w:hint="eastAsia" w:ascii="宋体" w:hAnsi="宋体" w:eastAsia="宋体" w:cs="宋体"/>
          <w:highlight w:val="none"/>
        </w:rPr>
      </w:pPr>
    </w:p>
    <w:tbl>
      <w:tblPr>
        <w:tblStyle w:val="31"/>
        <w:tblW w:w="0" w:type="auto"/>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Layout w:type="fixed"/>
        </w:tblPrEx>
        <w:trPr>
          <w:trHeight w:val="1069" w:hRule="atLeast"/>
          <w:jc w:val="center"/>
        </w:trPr>
        <w:tc>
          <w:tcPr>
            <w:tcW w:w="42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7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材料设备</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1032"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规格</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型号</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位</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数</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量</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价</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方式</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地点</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计划</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时间</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bl>
    <w:p>
      <w:pPr>
        <w:pStyle w:val="5"/>
        <w:rPr>
          <w:rFonts w:hint="eastAsia" w:ascii="宋体" w:hAnsi="宋体" w:eastAsia="宋体" w:cs="宋体"/>
          <w:sz w:val="21"/>
          <w:highlight w:val="none"/>
        </w:rPr>
      </w:pPr>
      <w:r>
        <w:rPr>
          <w:rFonts w:hint="default" w:ascii="宋体" w:hAnsi="宋体" w:eastAsia="宋体" w:cs="宋体"/>
          <w:highlight w:val="none"/>
        </w:rPr>
        <w:br w:type="page"/>
      </w:r>
      <w:r>
        <w:rPr>
          <w:rFonts w:hint="eastAsia" w:ascii="宋体" w:hAnsi="宋体" w:eastAsia="宋体" w:cs="宋体"/>
          <w:sz w:val="21"/>
          <w:highlight w:val="none"/>
        </w:rPr>
        <w:t>附件三：发包人提供的材料和工程设备一览表</w:t>
      </w: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发包人提供的材料和工程设备一览表</w:t>
      </w:r>
    </w:p>
    <w:p>
      <w:pPr>
        <w:spacing w:line="360" w:lineRule="auto"/>
        <w:jc w:val="center"/>
        <w:rPr>
          <w:rFonts w:hint="eastAsia" w:ascii="宋体" w:hAnsi="宋体" w:eastAsia="宋体" w:cs="宋体"/>
          <w:b/>
          <w:sz w:val="24"/>
          <w:highlight w:val="none"/>
        </w:rPr>
      </w:pPr>
    </w:p>
    <w:tbl>
      <w:tblPr>
        <w:tblStyle w:val="31"/>
        <w:tblW w:w="0" w:type="auto"/>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Layout w:type="fixed"/>
        </w:tblPrEx>
        <w:trPr>
          <w:trHeight w:val="671" w:hRule="atLeast"/>
          <w:jc w:val="center"/>
        </w:trPr>
        <w:tc>
          <w:tcPr>
            <w:tcW w:w="42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7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材料设备</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1032"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规格</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型号</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位</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数</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量</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价</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方式</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地点</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计划</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时间</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Layout w:type="fixed"/>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备注：除合同另有约定外，本表所列发包人供应材料和工程设备的数量不考虑施工损耗，施工损耗被认为已经包括在承包人的报价价格中。</w:t>
      </w:r>
    </w:p>
    <w:p>
      <w:pPr>
        <w:spacing w:line="360" w:lineRule="auto"/>
        <w:rPr>
          <w:rFonts w:hint="eastAsia" w:ascii="宋体" w:hAnsi="宋体" w:eastAsia="宋体" w:cs="宋体"/>
          <w:highlight w:val="none"/>
        </w:rPr>
      </w:pPr>
      <w:r>
        <w:rPr>
          <w:rFonts w:hint="eastAsia" w:ascii="宋体" w:hAnsi="宋体" w:eastAsia="宋体" w:cs="宋体"/>
          <w:szCs w:val="21"/>
          <w:highlight w:val="none"/>
        </w:rPr>
        <w:br w:type="page"/>
      </w:r>
      <w:r>
        <w:rPr>
          <w:rFonts w:hint="eastAsia" w:ascii="宋体" w:hAnsi="宋体" w:eastAsia="宋体" w:cs="宋体"/>
          <w:b/>
          <w:bCs/>
          <w:highlight w:val="none"/>
        </w:rPr>
        <w:t>附件四：质量保修书格式</w:t>
      </w: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工程质量保修书</w:t>
      </w:r>
    </w:p>
    <w:p>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发包人：</w:t>
      </w:r>
    </w:p>
    <w:p>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承包人：</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发包人、承包人根据《中华人民共和国建筑法》、《建设工程质量管理条例》，经协商一致，对签订保修书。</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一、工程保修范围和内容</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承包人在保修期内，按照有关法律、法规、规章的管理规定和双方约定，承担本工程保修责任。</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保修责任范围包括电气管线、设备安装和装修等工程，以及双方约定的其他项目。具体保修的内容，双方约定如下：</w:t>
      </w:r>
      <w:r>
        <w:rPr>
          <w:rFonts w:hint="eastAsia" w:ascii="宋体" w:hAnsi="宋体" w:eastAsia="宋体" w:cs="宋体"/>
          <w:highlight w:val="none"/>
          <w:u w:val="single"/>
        </w:rPr>
        <w:t>承包范围内的所有工程内容</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二、保修期</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双方根据《建设工程质量管理条例》及有关规定，约定本工程的保修期如下：</w:t>
      </w:r>
    </w:p>
    <w:p>
      <w:pPr>
        <w:spacing w:line="440" w:lineRule="exact"/>
        <w:ind w:firstLine="898" w:firstLineChars="428"/>
        <w:rPr>
          <w:rFonts w:hint="eastAsia" w:ascii="宋体" w:hAnsi="宋体" w:eastAsia="宋体" w:cs="宋体"/>
          <w:highlight w:val="none"/>
        </w:rPr>
      </w:pPr>
      <w:r>
        <w:rPr>
          <w:rFonts w:hint="eastAsia" w:ascii="宋体" w:hAnsi="宋体" w:eastAsia="宋体" w:cs="宋体"/>
          <w:highlight w:val="none"/>
        </w:rPr>
        <w:t>1、其他项目保修期限约定如下：。</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三、保修责任</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属于责任范围、内容的项目，承包人应当在接到保修通知之日起8小时内派人保修。承包人不在约定期限内派人保修的，发包人可以委托他人修理，维修费用由承包人承担，承包人必须额外支付双倍违约金给发包人。</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2、发生紧急抢修事故的，承包人在接到事故通知后，应当立即到达事故现场抢修。</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4、质量保修完成后，由发包人组织验收。</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四、保修费用</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保修费用由造成质量缺陷的责任方承担。</w:t>
      </w: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五、其他</w:t>
      </w: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双方约定的其他工程保修责任事项：</w:t>
      </w:r>
    </w:p>
    <w:p>
      <w:pPr>
        <w:spacing w:line="460" w:lineRule="exact"/>
        <w:rPr>
          <w:rFonts w:hint="eastAsia" w:ascii="宋体" w:hAnsi="宋体" w:eastAsia="宋体" w:cs="宋体"/>
          <w:highlight w:val="none"/>
        </w:rPr>
      </w:pPr>
      <w:r>
        <w:rPr>
          <w:rFonts w:hint="eastAsia" w:ascii="宋体" w:hAnsi="宋体" w:eastAsia="宋体" w:cs="宋体"/>
          <w:highlight w:val="none"/>
        </w:rPr>
        <w:t>。</w:t>
      </w: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本工程保修书，由施工合同发包人、承包人双方在竣工验收前共同签署，作为施工合同附件，其有效期限至保修期满。</w:t>
      </w:r>
    </w:p>
    <w:p>
      <w:pPr>
        <w:spacing w:line="460" w:lineRule="exact"/>
        <w:ind w:firstLine="420" w:firstLineChars="200"/>
        <w:rPr>
          <w:rFonts w:hint="eastAsia" w:ascii="宋体" w:hAnsi="宋体" w:eastAsia="宋体" w:cs="宋体"/>
          <w:highlight w:val="none"/>
        </w:rPr>
      </w:pPr>
    </w:p>
    <w:p>
      <w:pPr>
        <w:spacing w:line="460" w:lineRule="exact"/>
        <w:ind w:firstLine="420" w:firstLineChars="200"/>
        <w:rPr>
          <w:rFonts w:hint="eastAsia" w:ascii="宋体" w:hAnsi="宋体" w:eastAsia="宋体" w:cs="宋体"/>
          <w:highlight w:val="none"/>
        </w:rPr>
      </w:pP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发包人：(公章)承包人：(公章)</w:t>
      </w:r>
    </w:p>
    <w:p>
      <w:pPr>
        <w:spacing w:line="460" w:lineRule="exact"/>
        <w:ind w:left="5565" w:leftChars="200" w:hanging="5145" w:hangingChars="2450"/>
        <w:rPr>
          <w:rFonts w:hint="eastAsia" w:ascii="宋体" w:hAnsi="宋体" w:eastAsia="宋体" w:cs="宋体"/>
          <w:highlight w:val="none"/>
          <w:u w:val="single"/>
          <w:lang w:eastAsia="zh-CN"/>
        </w:rPr>
      </w:pPr>
      <w:r>
        <w:rPr>
          <w:rFonts w:hint="eastAsia" w:ascii="宋体" w:hAnsi="宋体" w:eastAsia="宋体" w:cs="宋体"/>
          <w:highlight w:val="none"/>
        </w:rPr>
        <w:t>法定地址：法定地址：</w:t>
      </w: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法定代表人或其法定代表人或其</w:t>
      </w: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委托代理人：(签字)委托代理人：(签字)</w:t>
      </w:r>
    </w:p>
    <w:p>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电话：电话：</w:t>
      </w:r>
    </w:p>
    <w:p>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传真：传真：</w:t>
      </w:r>
    </w:p>
    <w:p>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电子邮箱：电子邮箱：</w:t>
      </w:r>
    </w:p>
    <w:p>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开户银行：开户银行：</w:t>
      </w:r>
    </w:p>
    <w:p>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帐号：帐号：</w:t>
      </w:r>
    </w:p>
    <w:p>
      <w:pPr>
        <w:spacing w:line="460" w:lineRule="exact"/>
        <w:ind w:firstLine="420" w:firstLineChars="200"/>
        <w:rPr>
          <w:rFonts w:hint="eastAsia" w:ascii="宋体" w:hAnsi="宋体" w:eastAsia="宋体" w:cs="宋体"/>
          <w:highlight w:val="none"/>
          <w:u w:val="single"/>
          <w:lang w:eastAsia="zh-CN"/>
        </w:rPr>
      </w:pPr>
      <w:r>
        <w:rPr>
          <w:rFonts w:hint="eastAsia" w:ascii="宋体" w:hAnsi="宋体" w:eastAsia="宋体" w:cs="宋体"/>
          <w:highlight w:val="none"/>
        </w:rPr>
        <w:t>邮政编码：邮政编码：</w:t>
      </w:r>
    </w:p>
    <w:p>
      <w:pPr>
        <w:spacing w:line="360" w:lineRule="auto"/>
        <w:ind w:firstLine="420" w:firstLineChars="200"/>
        <w:rPr>
          <w:rFonts w:hint="eastAsia" w:ascii="宋体" w:hAnsi="宋体" w:eastAsia="宋体" w:cs="宋体"/>
          <w:szCs w:val="21"/>
          <w:highlight w:val="none"/>
          <w:u w:val="single"/>
        </w:rPr>
      </w:pPr>
    </w:p>
    <w:p>
      <w:pPr>
        <w:pStyle w:val="5"/>
        <w:rPr>
          <w:rFonts w:hint="eastAsia" w:ascii="宋体" w:hAnsi="宋体" w:eastAsia="宋体" w:cs="宋体"/>
          <w:sz w:val="21"/>
          <w:highlight w:val="none"/>
        </w:rPr>
      </w:pPr>
      <w:r>
        <w:rPr>
          <w:rFonts w:hint="eastAsia" w:ascii="宋体" w:hAnsi="宋体" w:eastAsia="宋体" w:cs="宋体"/>
          <w:szCs w:val="21"/>
          <w:highlight w:val="none"/>
          <w:u w:val="single"/>
        </w:rPr>
        <w:br w:type="page"/>
      </w:r>
      <w:r>
        <w:rPr>
          <w:rFonts w:hint="eastAsia" w:ascii="宋体" w:hAnsi="宋体" w:eastAsia="宋体" w:cs="宋体"/>
          <w:sz w:val="21"/>
          <w:highlight w:val="none"/>
        </w:rPr>
        <w:t>附件五：廉政责任书格式</w:t>
      </w:r>
    </w:p>
    <w:p>
      <w:pPr>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建设工程廉政责任书</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发包人：</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承包人：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一、双方的责任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1.1应严格遵守国家关于建设工程的有关法律、法规，相关政策，以及廉政建设的各项规定。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1.2严格执行建设工程合同文件，自觉按合同办事。</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1.4发现对方在业务活动中有违规、违纪、违法行为的，应及时提醒对方，情节严重的，应向其上级主管部门或纪检监察、司法等有关机关举报。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二、发包人责任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发包人的领导和从事该建设工程项目的工作人员，在工程建设的事前、事中、事后应遵守以下规定：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2.1不得向承包人和相关单位索要或接受回扣、礼金、有价证券、贵重物品和好处费、感谢费等。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2.2不得在承包人和相关单位报销任何应由发包人或个人支付的费用。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2.3不得要求、暗示或接受承包人和相关单位为个人装修住房、婚丧嫁娶、配偶子女的工作安排以及出国(境)、旅游等提供方便。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2.4不得参加有可能影响公正执行公务的承包人和相关单位的宴请、健身、娱乐等活动。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三、承包人责任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3.1不得以任何理由向发包人及其工作人员索要、接受或赠送礼金、有价证券、贵重物品及回扣、好处费、感谢费等。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3.2不得以任何理由为发包人和相关单位报销应由对方或个人支付的费用。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3.3不得接受或暗示为发包人、相关单位或个人装修住房、婚丧嫁娶、配偶子女的工作安排以及出国(境)、旅游等提供方便。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3.4不得以任何理由为发包人、相关单位或个人组织有可能影响公正执行公务的宴请、健身、娱乐等活动。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四、违约责任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4.3本责任书作为建设工程合同的组成部分，与建设工程合同具有同等法律效力。经双方签署后立即生效。</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五、责任书有效期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本责任书的有效期为双方签署之日起至该工程项目竣工验收合格时止。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六、责任书份数</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本责任书一式二份，发包人承包人各执一份，具有同等效力。</w:t>
      </w:r>
    </w:p>
    <w:p>
      <w:pPr>
        <w:spacing w:line="360" w:lineRule="auto"/>
        <w:ind w:firstLine="420" w:firstLineChars="200"/>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发包人：(公章)承包人：(公章)</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法定地址：法定地址：</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法定代表人或其法定代表人或其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委托代理人：(签字)委托代理人：(签字)</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电话：电话：</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传真：传真：</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电子邮箱：电子邮箱：</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开户银行：开户银行：</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帐号：帐号：</w:t>
      </w:r>
    </w:p>
    <w:p>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eastAsia="宋体" w:cs="宋体"/>
          <w:szCs w:val="21"/>
          <w:highlight w:val="none"/>
        </w:rPr>
        <w:t>邮政编码：邮政编码：</w:t>
      </w:r>
    </w:p>
    <w:p>
      <w:pPr>
        <w:jc w:val="center"/>
        <w:rPr>
          <w:rFonts w:hint="eastAsia" w:ascii="宋体" w:hAnsi="宋体" w:eastAsia="宋体" w:cs="宋体"/>
          <w:b/>
          <w:spacing w:val="40"/>
          <w:sz w:val="48"/>
          <w:highlight w:val="none"/>
        </w:rPr>
      </w:pPr>
    </w:p>
    <w:p>
      <w:pPr>
        <w:widowControl/>
        <w:jc w:val="left"/>
        <w:rPr>
          <w:rFonts w:hint="eastAsia" w:ascii="宋体" w:hAnsi="宋体" w:eastAsia="宋体" w:cs="宋体"/>
          <w:sz w:val="44"/>
          <w:szCs w:val="44"/>
          <w:highlight w:val="none"/>
        </w:rPr>
      </w:pPr>
      <w:r>
        <w:rPr>
          <w:rFonts w:hint="eastAsia" w:ascii="宋体" w:hAnsi="宋体" w:eastAsia="宋体" w:cs="宋体"/>
          <w:sz w:val="28"/>
          <w:szCs w:val="28"/>
          <w:highlight w:val="none"/>
        </w:rPr>
        <w:br w:type="page"/>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Start w:id="86" w:name="_Toc445649517"/>
      <w:bookmarkStart w:id="87" w:name="_Toc445652818"/>
      <w:bookmarkStart w:id="88" w:name="_Toc445648603"/>
      <w:bookmarkStart w:id="89" w:name="_Toc445650078"/>
      <w:bookmarkStart w:id="90" w:name="_Toc445622908"/>
      <w:bookmarkStart w:id="91" w:name="_Toc445648515"/>
      <w:bookmarkStart w:id="92" w:name="_Toc445623528"/>
      <w:bookmarkStart w:id="93" w:name="_Toc445651011"/>
      <w:bookmarkStart w:id="94" w:name="_Toc445649263"/>
      <w:bookmarkStart w:id="95" w:name="_Toc445584720"/>
      <w:bookmarkStart w:id="96" w:name="_Toc445623620"/>
      <w:bookmarkStart w:id="97" w:name="_Toc452110132"/>
      <w:bookmarkStart w:id="98" w:name="_Toc445584641"/>
      <w:bookmarkStart w:id="99" w:name="_Toc445650778"/>
      <w:bookmarkStart w:id="100" w:name="_Toc445651425"/>
      <w:bookmarkStart w:id="101" w:name="_Toc445649331"/>
      <w:bookmarkStart w:id="102" w:name="_Toc445648699"/>
      <w:bookmarkStart w:id="103" w:name="_Toc445651182"/>
      <w:bookmarkStart w:id="104" w:name="_Toc447813066"/>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Pr>
        <w:pStyle w:val="12"/>
        <w:numPr>
          <w:ilvl w:val="0"/>
          <w:numId w:val="0"/>
        </w:numPr>
        <w:rPr>
          <w:rFonts w:hint="eastAsia" w:ascii="宋体" w:hAnsi="宋体" w:eastAsia="宋体" w:cs="宋体"/>
          <w:highlight w:val="none"/>
        </w:rPr>
      </w:pPr>
    </w:p>
    <w:p>
      <w:pPr>
        <w:spacing w:after="156" w:afterLines="50"/>
        <w:jc w:val="center"/>
        <w:outlineLvl w:val="0"/>
        <w:rPr>
          <w:rFonts w:hint="eastAsia" w:ascii="宋体" w:hAnsi="宋体" w:eastAsia="宋体" w:cs="宋体"/>
          <w:b/>
          <w:sz w:val="36"/>
          <w:szCs w:val="36"/>
          <w:highlight w:val="none"/>
        </w:rPr>
      </w:pPr>
      <w:bookmarkStart w:id="105" w:name="_Toc393470546"/>
      <w:bookmarkStart w:id="106" w:name="_Toc392920748"/>
      <w:bookmarkStart w:id="107" w:name="_Toc12667"/>
      <w:r>
        <w:rPr>
          <w:rFonts w:hint="eastAsia" w:ascii="宋体" w:hAnsi="宋体" w:eastAsia="宋体" w:cs="宋体"/>
          <w:b/>
          <w:sz w:val="36"/>
          <w:szCs w:val="36"/>
          <w:highlight w:val="none"/>
        </w:rPr>
        <w:t>第五章</w:t>
      </w:r>
      <w:bookmarkEnd w:id="105"/>
      <w:bookmarkEnd w:id="106"/>
      <w:r>
        <w:rPr>
          <w:rFonts w:hint="eastAsia" w:ascii="宋体" w:hAnsi="宋体" w:eastAsia="宋体" w:cs="宋体"/>
          <w:b/>
          <w:sz w:val="36"/>
          <w:szCs w:val="36"/>
          <w:highlight w:val="none"/>
        </w:rPr>
        <w:t>响应文件格式</w:t>
      </w:r>
      <w:bookmarkEnd w:id="107"/>
    </w:p>
    <w:p>
      <w:pPr>
        <w:spacing w:line="440" w:lineRule="exact"/>
        <w:ind w:firstLine="482" w:firstLineChars="200"/>
        <w:rPr>
          <w:rFonts w:hint="eastAsia" w:ascii="宋体" w:hAnsi="宋体" w:eastAsia="宋体" w:cs="宋体"/>
          <w:b/>
          <w:bCs/>
          <w:sz w:val="24"/>
          <w:highlight w:val="none"/>
        </w:rPr>
      </w:pPr>
    </w:p>
    <w:p>
      <w:pPr>
        <w:jc w:val="center"/>
        <w:rPr>
          <w:rFonts w:hint="eastAsia" w:ascii="宋体" w:hAnsi="宋体" w:eastAsia="宋体" w:cs="宋体"/>
          <w:sz w:val="36"/>
          <w:szCs w:val="36"/>
          <w:highlight w:val="none"/>
          <w:u w:val="single"/>
        </w:rPr>
      </w:pPr>
    </w:p>
    <w:p>
      <w:pPr>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u w:val="single"/>
        </w:rPr>
        <w:t>（项目名称）</w:t>
      </w:r>
      <w:r>
        <w:rPr>
          <w:rFonts w:hint="eastAsia" w:ascii="宋体" w:hAnsi="宋体" w:eastAsia="宋体" w:cs="宋体"/>
          <w:sz w:val="36"/>
          <w:szCs w:val="36"/>
          <w:highlight w:val="none"/>
        </w:rPr>
        <w:t>竞争性磋商</w:t>
      </w:r>
    </w:p>
    <w:p>
      <w:pPr>
        <w:spacing w:line="360" w:lineRule="auto"/>
        <w:jc w:val="center"/>
        <w:rPr>
          <w:rFonts w:hint="eastAsia" w:ascii="宋体" w:hAnsi="宋体" w:eastAsia="宋体" w:cs="宋体"/>
          <w:b/>
          <w:sz w:val="23"/>
          <w:szCs w:val="23"/>
          <w:highlight w:val="none"/>
        </w:rPr>
      </w:pPr>
    </w:p>
    <w:p>
      <w:pPr>
        <w:rPr>
          <w:rFonts w:hint="eastAsia" w:ascii="宋体" w:hAnsi="宋体" w:eastAsia="宋体" w:cs="宋体"/>
          <w:b/>
          <w:szCs w:val="21"/>
          <w:highlight w:val="none"/>
        </w:rPr>
      </w:pPr>
    </w:p>
    <w:p>
      <w:pPr>
        <w:rPr>
          <w:rFonts w:hint="eastAsia" w:ascii="宋体" w:hAnsi="宋体" w:eastAsia="宋体" w:cs="宋体"/>
          <w:b/>
          <w:szCs w:val="21"/>
          <w:highlight w:val="none"/>
        </w:rPr>
      </w:pPr>
    </w:p>
    <w:p>
      <w:pPr>
        <w:rPr>
          <w:rFonts w:hint="eastAsia" w:ascii="宋体" w:hAnsi="宋体" w:eastAsia="宋体" w:cs="宋体"/>
          <w:b/>
          <w:szCs w:val="21"/>
          <w:highlight w:val="none"/>
        </w:rPr>
      </w:pPr>
    </w:p>
    <w:p>
      <w:pPr>
        <w:rPr>
          <w:rFonts w:hint="eastAsia" w:ascii="宋体" w:hAnsi="宋体" w:eastAsia="宋体" w:cs="宋体"/>
          <w:b/>
          <w:szCs w:val="21"/>
          <w:highlight w:val="none"/>
        </w:rPr>
      </w:pPr>
    </w:p>
    <w:p>
      <w:pPr>
        <w:rPr>
          <w:rFonts w:hint="eastAsia" w:ascii="宋体" w:hAnsi="宋体" w:eastAsia="宋体" w:cs="宋体"/>
          <w:b/>
          <w:szCs w:val="21"/>
          <w:highlight w:val="none"/>
        </w:rPr>
      </w:pPr>
    </w:p>
    <w:p>
      <w:pPr>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响应文件</w:t>
      </w:r>
    </w:p>
    <w:p>
      <w:pPr>
        <w:rPr>
          <w:rFonts w:hint="eastAsia" w:ascii="宋体" w:hAnsi="宋体" w:eastAsia="宋体" w:cs="宋体"/>
          <w:b/>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pStyle w:val="17"/>
        <w:rPr>
          <w:rFonts w:hint="eastAsia" w:ascii="宋体" w:hAnsi="宋体" w:eastAsia="宋体" w:cs="宋体"/>
          <w:szCs w:val="21"/>
          <w:highlight w:val="none"/>
        </w:rPr>
      </w:pPr>
    </w:p>
    <w:p>
      <w:pPr>
        <w:rPr>
          <w:rFonts w:hint="eastAsia" w:ascii="宋体" w:hAnsi="宋体" w:eastAsia="宋体" w:cs="宋体"/>
          <w:szCs w:val="21"/>
          <w:highlight w:val="none"/>
        </w:rPr>
      </w:pPr>
    </w:p>
    <w:p>
      <w:pPr>
        <w:pStyle w:val="17"/>
        <w:rPr>
          <w:rFonts w:hint="eastAsia" w:ascii="宋体" w:hAnsi="宋体" w:eastAsia="宋体" w:cs="宋体"/>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spacing w:line="360" w:lineRule="auto"/>
        <w:jc w:val="center"/>
        <w:rPr>
          <w:rFonts w:hint="eastAsia" w:ascii="宋体" w:hAnsi="宋体" w:eastAsia="宋体" w:cs="宋体"/>
          <w:sz w:val="30"/>
          <w:szCs w:val="30"/>
          <w:highlight w:val="none"/>
          <w:u w:val="single"/>
        </w:rPr>
      </w:pPr>
      <w:r>
        <w:rPr>
          <w:rFonts w:hint="eastAsia" w:ascii="宋体" w:hAnsi="宋体" w:eastAsia="宋体" w:cs="宋体"/>
          <w:sz w:val="30"/>
          <w:szCs w:val="30"/>
          <w:highlight w:val="none"/>
        </w:rPr>
        <w:t>供应商：（盖单位公章）</w:t>
      </w:r>
    </w:p>
    <w:p>
      <w:pPr>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法定代表人或其授权委托人：（签字</w:t>
      </w:r>
      <w:r>
        <w:rPr>
          <w:rFonts w:hint="eastAsia" w:ascii="宋体" w:hAnsi="宋体" w:eastAsia="宋体" w:cs="宋体"/>
          <w:sz w:val="30"/>
          <w:szCs w:val="30"/>
          <w:highlight w:val="none"/>
          <w:lang w:eastAsia="zh-CN"/>
        </w:rPr>
        <w:t>或盖章</w:t>
      </w:r>
      <w:r>
        <w:rPr>
          <w:rFonts w:hint="eastAsia" w:ascii="宋体" w:hAnsi="宋体" w:eastAsia="宋体" w:cs="宋体"/>
          <w:sz w:val="30"/>
          <w:szCs w:val="30"/>
          <w:highlight w:val="none"/>
        </w:rPr>
        <w:t>）</w:t>
      </w:r>
    </w:p>
    <w:p>
      <w:pPr>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w:t>
      </w:r>
    </w:p>
    <w:p>
      <w:pPr>
        <w:rPr>
          <w:rFonts w:hint="eastAsia" w:ascii="宋体" w:hAnsi="宋体" w:eastAsia="宋体" w:cs="宋体"/>
          <w:szCs w:val="21"/>
          <w:highlight w:val="none"/>
        </w:rPr>
      </w:pPr>
    </w:p>
    <w:p>
      <w:pPr>
        <w:pStyle w:val="17"/>
        <w:ind w:left="0" w:leftChars="0"/>
        <w:rPr>
          <w:rFonts w:hint="eastAsia" w:ascii="宋体" w:hAnsi="宋体" w:eastAsia="宋体" w:cs="宋体"/>
          <w:b/>
          <w:bCs/>
          <w:sz w:val="32"/>
          <w:szCs w:val="32"/>
          <w:highlight w:val="none"/>
          <w:lang w:eastAsia="zh-CN"/>
        </w:rPr>
      </w:pPr>
    </w:p>
    <w:p>
      <w:pPr>
        <w:spacing w:line="400" w:lineRule="exact"/>
        <w:jc w:val="center"/>
        <w:rPr>
          <w:rFonts w:hint="eastAsia" w:ascii="宋体" w:hAnsi="宋体" w:eastAsia="宋体" w:cs="宋体"/>
          <w:b/>
          <w:bCs/>
          <w:color w:val="000000"/>
          <w:sz w:val="32"/>
          <w:szCs w:val="32"/>
          <w:highlight w:val="none"/>
        </w:rPr>
      </w:pPr>
    </w:p>
    <w:p>
      <w:pPr>
        <w:spacing w:line="400" w:lineRule="exact"/>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目录</w:t>
      </w:r>
    </w:p>
    <w:p>
      <w:pPr>
        <w:numPr>
          <w:ilvl w:val="0"/>
          <w:numId w:val="5"/>
        </w:numPr>
        <w:spacing w:line="52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rPr>
        <w:t>报价部分</w:t>
      </w:r>
      <w:r>
        <w:rPr>
          <w:rFonts w:hint="eastAsia" w:ascii="宋体" w:hAnsi="宋体" w:eastAsia="宋体" w:cs="宋体"/>
          <w:sz w:val="24"/>
          <w:highlight w:val="none"/>
        </w:rPr>
        <w:t>……………………………………………………………………………………</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1）报价函……………………………………………………………………………………</w:t>
      </w:r>
    </w:p>
    <w:p>
      <w:pPr>
        <w:spacing w:line="520" w:lineRule="exact"/>
        <w:jc w:val="left"/>
        <w:rPr>
          <w:rFonts w:hint="eastAsia" w:ascii="宋体" w:hAnsi="宋体" w:eastAsia="宋体" w:cs="宋体"/>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法定代表人身份证明</w:t>
      </w:r>
      <w:r>
        <w:rPr>
          <w:rFonts w:hint="eastAsia" w:ascii="宋体" w:hAnsi="宋体" w:eastAsia="宋体" w:cs="宋体"/>
          <w:sz w:val="24"/>
          <w:highlight w:val="none"/>
        </w:rPr>
        <w:t>……………………………………………………………………</w:t>
      </w:r>
    </w:p>
    <w:p>
      <w:pPr>
        <w:spacing w:line="520" w:lineRule="exact"/>
        <w:jc w:val="left"/>
        <w:rPr>
          <w:rFonts w:hint="eastAsia" w:ascii="宋体" w:hAnsi="宋体" w:eastAsia="宋体" w:cs="宋体"/>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授权委托书</w:t>
      </w:r>
      <w:r>
        <w:rPr>
          <w:rFonts w:hint="eastAsia" w:ascii="宋体" w:hAnsi="宋体" w:eastAsia="宋体" w:cs="宋体"/>
          <w:sz w:val="24"/>
          <w:highlight w:val="none"/>
        </w:rPr>
        <w:t>…………………………………………………………………………………</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）报价</w:t>
      </w:r>
      <w:r>
        <w:rPr>
          <w:rFonts w:hint="eastAsia" w:ascii="宋体" w:hAnsi="宋体" w:eastAsia="宋体" w:cs="宋体"/>
          <w:sz w:val="24"/>
          <w:highlight w:val="none"/>
          <w:lang w:eastAsia="zh-CN"/>
        </w:rPr>
        <w:t>一览</w:t>
      </w:r>
      <w:r>
        <w:rPr>
          <w:rFonts w:hint="eastAsia" w:ascii="宋体" w:hAnsi="宋体" w:eastAsia="宋体" w:cs="宋体"/>
          <w:sz w:val="24"/>
          <w:highlight w:val="none"/>
        </w:rPr>
        <w:t>表…………………………………………………………………………………</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）报价明细表…………………………………………………………………………………</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）中小企业声明函（如有）…………………………………………………………………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）监狱企业证明文件（如有）………………………………………………………………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）残疾人福利性单位声明（如有）…………………………………………………………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）节能（非强制类产品）标志产品加分明细表（如有）…………………………………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）节能（非强制类产品）产品证明文件（如有）…………………………………………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）环境标志产品加分明细表（如有）………………………………………………………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）环境标志产品证明文件（如有）…………………………………………………………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）磋商文件要求供应商提交或供应商认为有必要提交的其他资料………………………</w:t>
      </w:r>
    </w:p>
    <w:p>
      <w:pPr>
        <w:spacing w:line="520" w:lineRule="exact"/>
        <w:jc w:val="left"/>
        <w:rPr>
          <w:rFonts w:hint="eastAsia" w:ascii="宋体" w:hAnsi="宋体" w:eastAsia="宋体" w:cs="宋体"/>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供应商简介及资质（资格、资质证明文件</w:t>
      </w:r>
      <w:r>
        <w:rPr>
          <w:rFonts w:hint="eastAsia" w:ascii="宋体" w:hAnsi="宋体" w:eastAsia="宋体" w:cs="宋体"/>
          <w:b/>
          <w:bCs/>
          <w:sz w:val="24"/>
          <w:highlight w:val="none"/>
          <w:lang w:eastAsia="zh-CN"/>
        </w:rPr>
        <w:t>）</w:t>
      </w:r>
      <w:r>
        <w:rPr>
          <w:rFonts w:hint="eastAsia" w:ascii="宋体" w:hAnsi="宋体" w:eastAsia="宋体" w:cs="宋体"/>
          <w:sz w:val="24"/>
          <w:highlight w:val="none"/>
        </w:rPr>
        <w:t>……………………………………………</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1）企业简介……………………………………………………………………………………</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2）营业执照副本……………………………………………………………………………</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3）项目负责人证书………………………………………………………………………</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4）近年财务状况………………………………………………………………………</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5）供应商认为需要提交的其他文件……………………………………………………</w:t>
      </w:r>
    </w:p>
    <w:p>
      <w:pPr>
        <w:spacing w:line="52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lang w:eastAsia="zh-CN"/>
        </w:rPr>
        <w:t>施工组织设计</w:t>
      </w:r>
      <w:r>
        <w:rPr>
          <w:rFonts w:hint="eastAsia" w:ascii="宋体" w:hAnsi="宋体" w:eastAsia="宋体" w:cs="宋体"/>
          <w:sz w:val="24"/>
          <w:highlight w:val="none"/>
        </w:rPr>
        <w:t>………………………………………………………………………………</w:t>
      </w:r>
    </w:p>
    <w:p>
      <w:pPr>
        <w:spacing w:line="52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供应商认为需要提交的其他文件</w:t>
      </w:r>
      <w:r>
        <w:rPr>
          <w:rFonts w:hint="eastAsia" w:ascii="宋体" w:hAnsi="宋体" w:eastAsia="宋体" w:cs="宋体"/>
          <w:sz w:val="24"/>
          <w:highlight w:val="none"/>
        </w:rPr>
        <w:t>…………………………………………………………</w:t>
      </w:r>
    </w:p>
    <w:p>
      <w:pPr>
        <w:pStyle w:val="23"/>
        <w:tabs>
          <w:tab w:val="right" w:leader="dot" w:pos="9855"/>
        </w:tabs>
        <w:spacing w:line="520" w:lineRule="exact"/>
        <w:ind w:left="0" w:leftChars="0"/>
        <w:rPr>
          <w:rFonts w:hint="eastAsia" w:ascii="宋体" w:hAnsi="宋体" w:eastAsia="宋体" w:cs="宋体"/>
          <w:b/>
          <w:color w:val="000000"/>
          <w:sz w:val="24"/>
          <w:highlight w:val="none"/>
        </w:rPr>
      </w:pPr>
      <w:bookmarkStart w:id="108" w:name="_Toc9135"/>
      <w:bookmarkStart w:id="109" w:name="_Toc8430"/>
      <w:bookmarkStart w:id="110" w:name="_Toc21952842"/>
      <w:bookmarkStart w:id="111" w:name="_Toc8170"/>
    </w:p>
    <w:p>
      <w:pPr>
        <w:pStyle w:val="23"/>
        <w:tabs>
          <w:tab w:val="right" w:leader="dot" w:pos="9855"/>
        </w:tabs>
        <w:spacing w:line="520" w:lineRule="exact"/>
        <w:ind w:left="0" w:leftChars="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备注：请供应商按照响应文件目录格式注明页码。</w:t>
      </w:r>
      <w:bookmarkEnd w:id="108"/>
      <w:bookmarkEnd w:id="109"/>
      <w:bookmarkEnd w:id="110"/>
      <w:bookmarkEnd w:id="111"/>
      <w:bookmarkStart w:id="112" w:name="_Toc8477"/>
      <w:bookmarkStart w:id="113" w:name="_Toc10463"/>
      <w:bookmarkStart w:id="114" w:name="_Toc16017"/>
    </w:p>
    <w:p>
      <w:pPr>
        <w:pStyle w:val="17"/>
        <w:rPr>
          <w:rFonts w:hint="eastAsia" w:ascii="宋体" w:hAnsi="宋体" w:eastAsia="宋体" w:cs="宋体"/>
          <w:highlight w:val="none"/>
        </w:rPr>
      </w:pPr>
      <w:r>
        <w:rPr>
          <w:rFonts w:hint="eastAsia" w:ascii="宋体" w:hAnsi="宋体" w:eastAsia="宋体" w:cs="宋体"/>
          <w:highlight w:val="none"/>
        </w:rPr>
        <w:br w:type="page"/>
      </w:r>
    </w:p>
    <w:p>
      <w:pPr>
        <w:pStyle w:val="4"/>
        <w:jc w:val="left"/>
        <w:rPr>
          <w:rFonts w:hint="eastAsia" w:ascii="宋体" w:hAnsi="宋体" w:eastAsia="宋体" w:cs="宋体"/>
          <w:color w:val="000000"/>
          <w:highlight w:val="none"/>
        </w:rPr>
      </w:pPr>
      <w:bookmarkStart w:id="115" w:name="_Toc63332483"/>
      <w:bookmarkStart w:id="116" w:name="_Toc63332563"/>
      <w:bookmarkStart w:id="117" w:name="_Toc21952844"/>
      <w:r>
        <w:rPr>
          <w:rFonts w:hint="eastAsia" w:ascii="宋体" w:hAnsi="宋体" w:eastAsia="宋体" w:cs="宋体"/>
          <w:color w:val="000000"/>
          <w:highlight w:val="none"/>
        </w:rPr>
        <w:t>附件一：</w:t>
      </w:r>
      <w:bookmarkEnd w:id="115"/>
      <w:bookmarkEnd w:id="116"/>
    </w:p>
    <w:p>
      <w:pPr>
        <w:pStyle w:val="4"/>
        <w:jc w:val="center"/>
        <w:rPr>
          <w:rFonts w:hint="eastAsia" w:ascii="宋体" w:hAnsi="宋体" w:eastAsia="宋体" w:cs="宋体"/>
          <w:color w:val="000000"/>
          <w:highlight w:val="none"/>
        </w:rPr>
      </w:pPr>
      <w:bookmarkStart w:id="118" w:name="_Toc63332484"/>
      <w:bookmarkStart w:id="119" w:name="_Toc63332564"/>
      <w:r>
        <w:rPr>
          <w:rFonts w:hint="eastAsia" w:ascii="宋体" w:hAnsi="宋体" w:eastAsia="宋体" w:cs="宋体"/>
          <w:color w:val="000000"/>
          <w:highlight w:val="none"/>
        </w:rPr>
        <w:t>报价函</w:t>
      </w:r>
      <w:bookmarkEnd w:id="112"/>
      <w:bookmarkEnd w:id="113"/>
      <w:bookmarkEnd w:id="114"/>
      <w:bookmarkEnd w:id="117"/>
      <w:bookmarkEnd w:id="118"/>
      <w:bookmarkEnd w:id="119"/>
    </w:p>
    <w:p>
      <w:pPr>
        <w:pStyle w:val="2"/>
        <w:spacing w:line="4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____________________：</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经研究，我们决定参加项目编号为的竞争性磋商采购活动并提交响应文件。为此，我方承诺如下：</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1、如果我们的响应文件被接受，我们将履行竞争性磋商文件中规定的每一项要求，并按响应文件及磋商过程中的承诺按期、保质、保量完成项目的实施；</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2、我们理解，最低报价不是成交的唯一条件和保证；</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3、我方愿按《中华人民共和国</w:t>
      </w:r>
      <w:r>
        <w:rPr>
          <w:rFonts w:hint="eastAsia" w:ascii="宋体" w:hAnsi="宋体" w:eastAsia="宋体" w:cs="宋体"/>
          <w:color w:val="000000"/>
          <w:sz w:val="24"/>
          <w:highlight w:val="none"/>
          <w:lang w:val="en-US" w:eastAsia="zh-CN"/>
        </w:rPr>
        <w:t>民法典</w:t>
      </w:r>
      <w:r>
        <w:rPr>
          <w:rFonts w:hint="eastAsia" w:ascii="宋体" w:hAnsi="宋体" w:eastAsia="宋体" w:cs="宋体"/>
          <w:color w:val="000000"/>
          <w:sz w:val="24"/>
          <w:highlight w:val="none"/>
        </w:rPr>
        <w:t>》履行自己的全部责任；</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4、我们同意按文件要求提交采购文件规定的相关费用等，遵守贵机构对本次项目所做的有关规定；</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5、我方的响应文件自提交之日起有效期为</w:t>
      </w:r>
      <w:r>
        <w:rPr>
          <w:rFonts w:hint="eastAsia" w:ascii="宋体" w:hAnsi="宋体" w:eastAsia="宋体" w:cs="宋体"/>
          <w:color w:val="000000"/>
          <w:sz w:val="24"/>
          <w:highlight w:val="none"/>
          <w:u w:val="single"/>
        </w:rPr>
        <w:t>90</w:t>
      </w:r>
      <w:r>
        <w:rPr>
          <w:rFonts w:hint="eastAsia" w:ascii="宋体" w:hAnsi="宋体" w:eastAsia="宋体" w:cs="宋体"/>
          <w:color w:val="000000"/>
          <w:sz w:val="24"/>
          <w:highlight w:val="none"/>
        </w:rPr>
        <w:t>日历天；</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6、我方若未成为成交单位，贵机构有权不做任何解释；</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7、与本次响应有关的一切正式往来通讯请寄：</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传真：</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开户单位：</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账号：</w:t>
      </w:r>
    </w:p>
    <w:p>
      <w:pPr>
        <w:widowControl/>
        <w:jc w:val="left"/>
        <w:rPr>
          <w:rFonts w:hint="eastAsia" w:ascii="宋体" w:hAnsi="宋体" w:eastAsia="宋体" w:cs="宋体"/>
          <w:color w:val="000000"/>
          <w:sz w:val="24"/>
          <w:highlight w:val="none"/>
        </w:rPr>
      </w:pPr>
      <w:bookmarkStart w:id="120" w:name="_Toc27032"/>
      <w:bookmarkStart w:id="121" w:name="_Toc10141"/>
      <w:bookmarkStart w:id="122" w:name="_Toc21952848"/>
      <w:bookmarkStart w:id="123" w:name="_Toc32130"/>
      <w:r>
        <w:rPr>
          <w:rFonts w:hint="eastAsia" w:ascii="宋体" w:hAnsi="宋体" w:eastAsia="宋体" w:cs="宋体"/>
          <w:b/>
          <w:bCs/>
          <w:color w:val="000000"/>
          <w:sz w:val="24"/>
          <w:highlight w:val="none"/>
        </w:rPr>
        <w:br w:type="page"/>
      </w:r>
    </w:p>
    <w:p>
      <w:pPr>
        <w:pStyle w:val="4"/>
        <w:jc w:val="left"/>
        <w:rPr>
          <w:rFonts w:hint="eastAsia" w:ascii="宋体" w:hAnsi="宋体" w:eastAsia="宋体" w:cs="宋体"/>
          <w:color w:val="000000"/>
          <w:highlight w:val="none"/>
        </w:rPr>
      </w:pPr>
      <w:bookmarkStart w:id="124" w:name="_Toc63332485"/>
      <w:bookmarkStart w:id="125" w:name="_Toc63332565"/>
      <w:r>
        <w:rPr>
          <w:rFonts w:hint="eastAsia" w:ascii="宋体" w:hAnsi="宋体" w:eastAsia="宋体" w:cs="宋体"/>
          <w:color w:val="000000"/>
          <w:highlight w:val="none"/>
        </w:rPr>
        <w:t>附件二：</w:t>
      </w:r>
      <w:bookmarkEnd w:id="124"/>
      <w:bookmarkEnd w:id="125"/>
    </w:p>
    <w:p>
      <w:pPr>
        <w:pStyle w:val="4"/>
        <w:jc w:val="center"/>
        <w:rPr>
          <w:rFonts w:hint="eastAsia" w:ascii="宋体" w:hAnsi="宋体" w:eastAsia="宋体" w:cs="宋体"/>
          <w:color w:val="000000"/>
          <w:highlight w:val="none"/>
        </w:rPr>
      </w:pPr>
      <w:bookmarkStart w:id="126" w:name="_Toc63332566"/>
      <w:bookmarkStart w:id="127" w:name="_Toc63332486"/>
      <w:r>
        <w:rPr>
          <w:rFonts w:hint="eastAsia" w:ascii="宋体" w:hAnsi="宋体" w:eastAsia="宋体" w:cs="宋体"/>
          <w:color w:val="000000"/>
          <w:highlight w:val="none"/>
        </w:rPr>
        <w:t>报价一览表</w:t>
      </w:r>
      <w:bookmarkEnd w:id="120"/>
      <w:bookmarkEnd w:id="121"/>
      <w:bookmarkEnd w:id="122"/>
      <w:bookmarkEnd w:id="123"/>
      <w:bookmarkEnd w:id="126"/>
      <w:bookmarkEnd w:id="127"/>
    </w:p>
    <w:tbl>
      <w:tblPr>
        <w:tblStyle w:val="31"/>
        <w:tblW w:w="9859" w:type="dxa"/>
        <w:jc w:val="center"/>
        <w:tblInd w:w="0" w:type="dxa"/>
        <w:tblLayout w:type="fixed"/>
        <w:tblCellMar>
          <w:top w:w="0" w:type="dxa"/>
          <w:left w:w="108" w:type="dxa"/>
          <w:bottom w:w="0" w:type="dxa"/>
          <w:right w:w="108" w:type="dxa"/>
        </w:tblCellMar>
      </w:tblPr>
      <w:tblGrid>
        <w:gridCol w:w="2819"/>
        <w:gridCol w:w="7040"/>
      </w:tblGrid>
      <w:tr>
        <w:tblPrEx>
          <w:tblLayout w:type="fixed"/>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b/>
                <w:bCs/>
                <w:color w:val="000000"/>
                <w:sz w:val="24"/>
                <w:highlight w:val="none"/>
                <w:lang w:val="zh-CN"/>
              </w:rPr>
            </w:pPr>
          </w:p>
        </w:tc>
      </w:tr>
      <w:tr>
        <w:tblPrEx>
          <w:tblLayout w:type="fixed"/>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项目名称</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b/>
                <w:bCs/>
                <w:color w:val="000000"/>
                <w:sz w:val="24"/>
                <w:highlight w:val="none"/>
                <w:lang w:val="zh-CN"/>
              </w:rPr>
            </w:pPr>
          </w:p>
        </w:tc>
      </w:tr>
      <w:tr>
        <w:tblPrEx>
          <w:tblLayout w:type="fixed"/>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highlight w:val="none"/>
              </w:rPr>
            </w:pPr>
            <w:r>
              <w:rPr>
                <w:rFonts w:hint="eastAsia" w:ascii="宋体" w:hAnsi="宋体" w:eastAsia="宋体" w:cs="宋体"/>
                <w:sz w:val="24"/>
                <w:highlight w:val="none"/>
              </w:rPr>
              <w:t>总报价</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960" w:firstLineChars="400"/>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大写：元</w:t>
            </w:r>
          </w:p>
          <w:p>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960" w:firstLineChars="400"/>
              <w:rPr>
                <w:rFonts w:hint="eastAsia" w:ascii="宋体" w:hAnsi="宋体" w:eastAsia="宋体" w:cs="宋体"/>
                <w:b/>
                <w:color w:val="000000"/>
                <w:sz w:val="24"/>
                <w:highlight w:val="none"/>
                <w:lang w:val="zh-CN"/>
              </w:rPr>
            </w:pPr>
            <w:r>
              <w:rPr>
                <w:rFonts w:hint="eastAsia" w:ascii="宋体" w:hAnsi="宋体" w:eastAsia="宋体" w:cs="宋体"/>
                <w:sz w:val="24"/>
                <w:highlight w:val="none"/>
                <w:lang w:val="zh-CN"/>
              </w:rPr>
              <w:t>小写：元（保留两位小数）</w:t>
            </w:r>
          </w:p>
        </w:tc>
      </w:tr>
      <w:tr>
        <w:tblPrEx>
          <w:tblLayout w:type="fixed"/>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960" w:firstLineChars="400"/>
              <w:rPr>
                <w:rFonts w:hint="eastAsia" w:ascii="宋体" w:hAnsi="宋体" w:eastAsia="宋体" w:cs="宋体"/>
                <w:sz w:val="24"/>
                <w:highlight w:val="none"/>
                <w:lang w:val="zh-CN"/>
              </w:rPr>
            </w:pPr>
          </w:p>
        </w:tc>
      </w:tr>
      <w:tr>
        <w:tblPrEx>
          <w:tblLayout w:type="fixed"/>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left="108"/>
              <w:jc w:val="center"/>
              <w:rPr>
                <w:rFonts w:hint="eastAsia" w:ascii="宋体" w:hAnsi="宋体" w:eastAsia="宋体" w:cs="宋体"/>
                <w:color w:val="000000"/>
                <w:sz w:val="24"/>
                <w:highlight w:val="none"/>
                <w:lang w:eastAsia="zh-CN"/>
              </w:rPr>
            </w:pPr>
            <w:r>
              <w:rPr>
                <w:rFonts w:hint="eastAsia" w:ascii="宋体" w:hAnsi="宋体" w:eastAsia="宋体" w:cs="宋体"/>
                <w:color w:val="auto"/>
                <w:sz w:val="24"/>
                <w:highlight w:val="none"/>
                <w:lang w:eastAsia="zh-CN"/>
              </w:rPr>
              <w:t>工期</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color w:val="000000"/>
                <w:sz w:val="24"/>
                <w:highlight w:val="none"/>
                <w:lang w:val="zh-CN"/>
              </w:rPr>
            </w:pPr>
          </w:p>
        </w:tc>
      </w:tr>
      <w:tr>
        <w:tblPrEx>
          <w:tblLayout w:type="fixed"/>
        </w:tblPrEx>
        <w:trPr>
          <w:trHeight w:val="944"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left="108"/>
              <w:jc w:val="center"/>
              <w:rPr>
                <w:rFonts w:hint="eastAsia" w:ascii="宋体" w:hAnsi="宋体" w:eastAsia="宋体" w:cs="宋体"/>
                <w:color w:val="000000"/>
                <w:sz w:val="24"/>
                <w:highlight w:val="none"/>
                <w:lang w:val="zh-CN"/>
              </w:rPr>
            </w:pPr>
            <w:r>
              <w:rPr>
                <w:rFonts w:hint="eastAsia" w:ascii="宋体" w:hAnsi="宋体" w:eastAsia="宋体" w:cs="宋体"/>
                <w:sz w:val="24"/>
                <w:highlight w:val="none"/>
                <w:lang w:val="zh-CN"/>
              </w:rPr>
              <w:t>对采购文件认同程度</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highlight w:val="none"/>
                <w:lang w:val="zh-CN"/>
              </w:rPr>
            </w:pPr>
          </w:p>
        </w:tc>
      </w:tr>
    </w:tbl>
    <w:p>
      <w:pPr>
        <w:wordWrap w:val="0"/>
        <w:ind w:right="482"/>
        <w:rPr>
          <w:rFonts w:hint="eastAsia" w:ascii="宋体" w:hAnsi="宋体" w:eastAsia="宋体" w:cs="宋体"/>
          <w:color w:val="000000"/>
          <w:sz w:val="24"/>
          <w:highlight w:val="none"/>
          <w:lang w:eastAsia="zh-CN"/>
        </w:rPr>
      </w:pPr>
    </w:p>
    <w:p>
      <w:pPr>
        <w:wordWrap w:val="0"/>
        <w:ind w:right="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特别说明：1、报价币种：人民币；</w:t>
      </w:r>
    </w:p>
    <w:p>
      <w:pPr>
        <w:numPr>
          <w:ilvl w:val="0"/>
          <w:numId w:val="6"/>
        </w:numPr>
        <w:wordWrap w:val="0"/>
        <w:ind w:right="482" w:firstLine="1440" w:firstLineChars="6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不按要求填写此表的作无效报价处理。</w:t>
      </w:r>
    </w:p>
    <w:p>
      <w:pPr>
        <w:pStyle w:val="11"/>
        <w:ind w:firstLine="0" w:firstLineChars="0"/>
        <w:rPr>
          <w:rFonts w:hint="eastAsia" w:ascii="宋体" w:hAnsi="宋体" w:eastAsia="宋体" w:cs="宋体"/>
          <w:highlight w:val="none"/>
        </w:rPr>
      </w:pPr>
      <w:bookmarkStart w:id="128" w:name="_Toc201561626"/>
      <w:bookmarkStart w:id="129" w:name="_Toc21952849"/>
      <w:bookmarkStart w:id="130" w:name="_Toc388255995"/>
      <w:bookmarkStart w:id="131" w:name="_Toc198368336"/>
    </w:p>
    <w:p>
      <w:pPr>
        <w:pStyle w:val="11"/>
        <w:ind w:firstLine="0" w:firstLineChars="0"/>
        <w:rPr>
          <w:rFonts w:hint="eastAsia" w:ascii="宋体" w:hAnsi="宋体" w:eastAsia="宋体" w:cs="宋体"/>
          <w:highlight w:val="none"/>
        </w:rPr>
      </w:pPr>
    </w:p>
    <w:p>
      <w:pPr>
        <w:pStyle w:val="11"/>
        <w:ind w:firstLine="0" w:firstLineChars="0"/>
        <w:rPr>
          <w:rFonts w:hint="eastAsia" w:ascii="宋体" w:hAnsi="宋体" w:eastAsia="宋体" w:cs="宋体"/>
          <w:highlight w:val="none"/>
        </w:rPr>
      </w:pPr>
    </w:p>
    <w:p>
      <w:pPr>
        <w:pStyle w:val="11"/>
        <w:ind w:firstLine="0" w:firstLineChars="0"/>
        <w:rPr>
          <w:rFonts w:hint="eastAsia" w:ascii="宋体" w:hAnsi="宋体" w:eastAsia="宋体" w:cs="宋体"/>
          <w:highlight w:val="none"/>
        </w:rPr>
      </w:pPr>
    </w:p>
    <w:p>
      <w:pPr>
        <w:pStyle w:val="11"/>
        <w:ind w:firstLine="0" w:firstLineChars="0"/>
        <w:rPr>
          <w:rFonts w:hint="eastAsia" w:ascii="宋体" w:hAnsi="宋体" w:eastAsia="宋体" w:cs="宋体"/>
          <w:highlight w:val="none"/>
        </w:rPr>
      </w:pPr>
    </w:p>
    <w:p>
      <w:pPr>
        <w:pStyle w:val="11"/>
        <w:ind w:firstLine="0" w:firstLineChars="0"/>
        <w:rPr>
          <w:rFonts w:hint="eastAsia" w:ascii="宋体" w:hAnsi="宋体" w:eastAsia="宋体" w:cs="宋体"/>
          <w:highlight w:val="none"/>
        </w:rPr>
      </w:pPr>
    </w:p>
    <w:p>
      <w:pPr>
        <w:pStyle w:val="11"/>
        <w:ind w:firstLine="0" w:firstLineChars="0"/>
        <w:rPr>
          <w:rFonts w:hint="eastAsia" w:ascii="宋体" w:hAnsi="宋体" w:eastAsia="宋体" w:cs="宋体"/>
          <w:highlight w:val="none"/>
        </w:rPr>
      </w:pPr>
    </w:p>
    <w:p>
      <w:pPr>
        <w:pStyle w:val="11"/>
        <w:ind w:firstLine="0" w:firstLineChars="0"/>
        <w:rPr>
          <w:rFonts w:hint="eastAsia" w:ascii="宋体" w:hAnsi="宋体" w:eastAsia="宋体" w:cs="宋体"/>
          <w:highlight w:val="none"/>
        </w:rPr>
      </w:pPr>
    </w:p>
    <w:p>
      <w:pPr>
        <w:pStyle w:val="11"/>
        <w:ind w:firstLine="0" w:firstLineChars="0"/>
        <w:rPr>
          <w:rFonts w:hint="eastAsia" w:ascii="宋体" w:hAnsi="宋体" w:eastAsia="宋体" w:cs="宋体"/>
          <w:highlight w:val="none"/>
        </w:rPr>
      </w:pPr>
    </w:p>
    <w:p>
      <w:pPr>
        <w:pStyle w:val="11"/>
        <w:ind w:firstLine="0" w:firstLineChars="0"/>
        <w:rPr>
          <w:rFonts w:hint="eastAsia" w:ascii="宋体" w:hAnsi="宋体" w:eastAsia="宋体" w:cs="宋体"/>
          <w:highlight w:val="none"/>
        </w:rPr>
      </w:pPr>
    </w:p>
    <w:p>
      <w:pPr>
        <w:pStyle w:val="4"/>
        <w:jc w:val="left"/>
        <w:rPr>
          <w:rFonts w:hint="eastAsia" w:ascii="宋体" w:hAnsi="宋体" w:eastAsia="宋体" w:cs="宋体"/>
          <w:color w:val="000000"/>
          <w:highlight w:val="none"/>
        </w:rPr>
      </w:pPr>
      <w:bookmarkStart w:id="132" w:name="_Toc63332487"/>
      <w:bookmarkStart w:id="133" w:name="_Toc63332567"/>
      <w:r>
        <w:rPr>
          <w:rFonts w:hint="eastAsia" w:ascii="宋体" w:hAnsi="宋体" w:eastAsia="宋体" w:cs="宋体"/>
          <w:color w:val="000000"/>
          <w:highlight w:val="none"/>
        </w:rPr>
        <w:t>附件三：</w:t>
      </w:r>
      <w:bookmarkEnd w:id="132"/>
      <w:bookmarkEnd w:id="133"/>
    </w:p>
    <w:p>
      <w:pPr>
        <w:tabs>
          <w:tab w:val="left" w:pos="3636"/>
          <w:tab w:val="center" w:pos="4652"/>
        </w:tabs>
        <w:spacing w:before="312" w:beforeLines="100" w:after="156" w:afterLines="50" w:line="510" w:lineRule="exact"/>
        <w:jc w:val="center"/>
        <w:outlineLvl w:val="1"/>
        <w:rPr>
          <w:rFonts w:hint="eastAsia" w:ascii="宋体" w:hAnsi="宋体" w:eastAsia="宋体" w:cs="宋体"/>
          <w:b/>
          <w:sz w:val="24"/>
          <w:highlight w:val="none"/>
        </w:rPr>
      </w:pPr>
      <w:bookmarkStart w:id="134" w:name="_Toc335489148"/>
      <w:bookmarkStart w:id="135" w:name="_Toc300901193"/>
      <w:r>
        <w:rPr>
          <w:rFonts w:hint="eastAsia" w:ascii="宋体" w:hAnsi="宋体" w:eastAsia="宋体" w:cs="宋体"/>
          <w:b/>
          <w:sz w:val="24"/>
          <w:highlight w:val="none"/>
        </w:rPr>
        <w:t>法定代表人身份证明</w:t>
      </w:r>
      <w:bookmarkEnd w:id="134"/>
      <w:bookmarkEnd w:id="135"/>
    </w:p>
    <w:p>
      <w:pPr>
        <w:spacing w:line="500" w:lineRule="exact"/>
        <w:ind w:firstLine="480" w:firstLineChars="200"/>
        <w:rPr>
          <w:rFonts w:hint="eastAsia" w:ascii="宋体" w:hAnsi="宋体" w:eastAsia="宋体" w:cs="宋体"/>
          <w:sz w:val="24"/>
          <w:highlight w:val="none"/>
        </w:rPr>
      </w:pP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供应商：__________________________________________________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单位性质：________________________________________________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地址：____________________________________________________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成立时间：年月日</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经营期限：________________________________________________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姓名：性别：________________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年龄：职务：_________________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（供应商名称）</w:t>
      </w:r>
      <w:r>
        <w:rPr>
          <w:rFonts w:hint="eastAsia" w:ascii="宋体" w:hAnsi="宋体" w:eastAsia="宋体" w:cs="宋体"/>
          <w:sz w:val="24"/>
          <w:highlight w:val="none"/>
        </w:rPr>
        <w:t>的法定代表人。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500" w:lineRule="exact"/>
        <w:rPr>
          <w:rFonts w:hint="eastAsia" w:ascii="宋体" w:hAnsi="宋体" w:eastAsia="宋体" w:cs="宋体"/>
          <w:sz w:val="24"/>
          <w:highlight w:val="none"/>
        </w:rPr>
      </w:pPr>
    </w:p>
    <w:p>
      <w:pPr>
        <w:spacing w:line="500" w:lineRule="exact"/>
        <w:rPr>
          <w:rFonts w:hint="eastAsia" w:ascii="宋体" w:hAnsi="宋体" w:eastAsia="宋体" w:cs="宋体"/>
          <w:sz w:val="24"/>
          <w:highlight w:val="none"/>
        </w:rPr>
      </w:pPr>
    </w:p>
    <w:p>
      <w:pPr>
        <w:wordWrap w:val="0"/>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供应商名称：（盖单位章）</w:t>
      </w:r>
    </w:p>
    <w:p>
      <w:pPr>
        <w:wordWrap w:val="0"/>
        <w:spacing w:line="500" w:lineRule="exact"/>
        <w:jc w:val="center"/>
        <w:rPr>
          <w:rFonts w:hint="eastAsia" w:ascii="宋体" w:hAnsi="宋体" w:eastAsia="宋体" w:cs="宋体"/>
          <w:sz w:val="24"/>
          <w:highlight w:val="none"/>
        </w:rPr>
      </w:pPr>
    </w:p>
    <w:p>
      <w:pPr>
        <w:wordWrap w:val="0"/>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年月日</w:t>
      </w:r>
    </w:p>
    <w:p>
      <w:pPr>
        <w:widowControl/>
        <w:jc w:val="center"/>
        <w:rPr>
          <w:rFonts w:hint="eastAsia" w:ascii="宋体" w:hAnsi="宋体" w:eastAsia="宋体" w:cs="宋体"/>
          <w:kern w:val="0"/>
          <w:highlight w:val="none"/>
        </w:rPr>
      </w:pPr>
    </w:p>
    <w:p>
      <w:pPr>
        <w:widowControl/>
        <w:jc w:val="center"/>
        <w:rPr>
          <w:rFonts w:hint="eastAsia" w:ascii="宋体" w:hAnsi="宋体" w:eastAsia="宋体" w:cs="宋体"/>
          <w:kern w:val="0"/>
          <w:highlight w:val="none"/>
        </w:rPr>
      </w:pPr>
    </w:p>
    <w:p>
      <w:pPr>
        <w:widowControl/>
        <w:jc w:val="center"/>
        <w:rPr>
          <w:rFonts w:hint="eastAsia" w:ascii="宋体" w:hAnsi="宋体" w:eastAsia="宋体" w:cs="宋体"/>
          <w:kern w:val="0"/>
          <w:highlight w:val="none"/>
        </w:rPr>
      </w:pPr>
    </w:p>
    <w:p>
      <w:pPr>
        <w:tabs>
          <w:tab w:val="left" w:pos="3636"/>
          <w:tab w:val="center" w:pos="4652"/>
        </w:tabs>
        <w:spacing w:before="312" w:beforeLines="100" w:after="156" w:afterLines="50" w:line="510" w:lineRule="exact"/>
        <w:jc w:val="center"/>
        <w:outlineLvl w:val="1"/>
        <w:rPr>
          <w:rFonts w:hint="eastAsia" w:ascii="宋体" w:hAnsi="宋体" w:eastAsia="宋体" w:cs="宋体"/>
          <w:sz w:val="24"/>
          <w:highlight w:val="none"/>
        </w:rPr>
      </w:pPr>
      <w:r>
        <w:rPr>
          <w:rFonts w:hint="eastAsia" w:ascii="宋体" w:hAnsi="宋体" w:eastAsia="宋体" w:cs="宋体"/>
          <w:sz w:val="24"/>
          <w:highlight w:val="none"/>
        </w:rPr>
        <w:br w:type="page"/>
      </w:r>
      <w:bookmarkStart w:id="136" w:name="_Toc335489149"/>
      <w:bookmarkStart w:id="137" w:name="_Toc300901194"/>
    </w:p>
    <w:p>
      <w:pPr>
        <w:pStyle w:val="4"/>
        <w:jc w:val="left"/>
        <w:rPr>
          <w:rFonts w:hint="eastAsia" w:ascii="宋体" w:hAnsi="宋体" w:eastAsia="宋体" w:cs="宋体"/>
          <w:color w:val="000000"/>
          <w:highlight w:val="none"/>
        </w:rPr>
      </w:pPr>
      <w:r>
        <w:rPr>
          <w:rFonts w:hint="eastAsia" w:ascii="宋体" w:hAnsi="宋体" w:eastAsia="宋体" w:cs="宋体"/>
          <w:color w:val="000000"/>
          <w:highlight w:val="none"/>
        </w:rPr>
        <w:t>附件</w:t>
      </w:r>
      <w:r>
        <w:rPr>
          <w:rFonts w:hint="eastAsia" w:ascii="宋体" w:hAnsi="宋体" w:eastAsia="宋体" w:cs="宋体"/>
          <w:color w:val="000000"/>
          <w:highlight w:val="none"/>
          <w:lang w:eastAsia="zh-CN"/>
        </w:rPr>
        <w:t>四</w:t>
      </w:r>
      <w:r>
        <w:rPr>
          <w:rFonts w:hint="eastAsia" w:ascii="宋体" w:hAnsi="宋体" w:eastAsia="宋体" w:cs="宋体"/>
          <w:color w:val="000000"/>
          <w:highlight w:val="none"/>
        </w:rPr>
        <w:t>：</w:t>
      </w:r>
    </w:p>
    <w:p>
      <w:pPr>
        <w:tabs>
          <w:tab w:val="left" w:pos="3636"/>
          <w:tab w:val="center" w:pos="4652"/>
        </w:tabs>
        <w:spacing w:before="312" w:beforeLines="100" w:after="156" w:afterLines="50" w:line="510" w:lineRule="exact"/>
        <w:jc w:val="center"/>
        <w:outlineLvl w:val="1"/>
        <w:rPr>
          <w:rFonts w:hint="eastAsia" w:ascii="宋体" w:hAnsi="宋体" w:eastAsia="宋体" w:cs="宋体"/>
          <w:b/>
          <w:sz w:val="24"/>
          <w:highlight w:val="none"/>
        </w:rPr>
      </w:pPr>
      <w:r>
        <w:rPr>
          <w:rFonts w:hint="eastAsia" w:ascii="宋体" w:hAnsi="宋体" w:eastAsia="宋体" w:cs="宋体"/>
          <w:b/>
          <w:sz w:val="24"/>
          <w:highlight w:val="none"/>
        </w:rPr>
        <w:t>授权委托书</w:t>
      </w:r>
      <w:bookmarkEnd w:id="136"/>
      <w:bookmarkEnd w:id="137"/>
    </w:p>
    <w:p>
      <w:pPr>
        <w:spacing w:line="500" w:lineRule="exact"/>
        <w:ind w:firstLine="480" w:firstLineChars="200"/>
        <w:rPr>
          <w:rFonts w:hint="eastAsia" w:ascii="宋体" w:hAnsi="宋体" w:eastAsia="宋体" w:cs="宋体"/>
          <w:sz w:val="24"/>
          <w:highlight w:val="none"/>
        </w:rPr>
      </w:pP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w:t>
      </w:r>
      <w:r>
        <w:rPr>
          <w:rFonts w:hint="eastAsia" w:ascii="宋体" w:hAnsi="宋体" w:eastAsia="宋体" w:cs="宋体"/>
          <w:sz w:val="24"/>
          <w:highlight w:val="none"/>
        </w:rPr>
        <w:t>姓名）系</w:t>
      </w:r>
      <w:r>
        <w:rPr>
          <w:rFonts w:hint="eastAsia" w:ascii="宋体" w:hAnsi="宋体" w:eastAsia="宋体" w:cs="宋体"/>
          <w:sz w:val="24"/>
          <w:highlight w:val="none"/>
          <w:u w:val="single"/>
        </w:rPr>
        <w:t>（供应商名称）</w:t>
      </w:r>
      <w:r>
        <w:rPr>
          <w:rFonts w:hint="eastAsia" w:ascii="宋体" w:hAnsi="宋体" w:eastAsia="宋体" w:cs="宋体"/>
          <w:sz w:val="24"/>
          <w:highlight w:val="none"/>
        </w:rPr>
        <w:t>的法定代表人，现委托</w:t>
      </w:r>
      <w:r>
        <w:rPr>
          <w:rFonts w:hint="eastAsia" w:ascii="宋体" w:hAnsi="宋体" w:eastAsia="宋体" w:cs="宋体"/>
          <w:sz w:val="24"/>
          <w:highlight w:val="none"/>
          <w:u w:val="single"/>
        </w:rPr>
        <w:t>（姓名）</w:t>
      </w:r>
      <w:r>
        <w:rPr>
          <w:rFonts w:hint="eastAsia" w:ascii="宋体" w:hAnsi="宋体" w:eastAsia="宋体" w:cs="宋体"/>
          <w:sz w:val="24"/>
          <w:highlight w:val="none"/>
        </w:rPr>
        <w:t>为我方代理人。代理人根据授权，以我方名义签署、澄清、说明、补正、递交、撤回、修改</w:t>
      </w:r>
      <w:r>
        <w:rPr>
          <w:rFonts w:hint="eastAsia" w:ascii="宋体" w:hAnsi="宋体" w:eastAsia="宋体" w:cs="宋体"/>
          <w:sz w:val="24"/>
          <w:highlight w:val="none"/>
          <w:u w:val="single"/>
        </w:rPr>
        <w:t>（项目名称）</w:t>
      </w:r>
      <w:r>
        <w:rPr>
          <w:rFonts w:hint="eastAsia" w:ascii="宋体" w:hAnsi="宋体" w:eastAsia="宋体" w:cs="宋体"/>
          <w:sz w:val="24"/>
          <w:highlight w:val="none"/>
        </w:rPr>
        <w:t>磋商响应文件、签订合同和处理有关事宜，其法律后果由我方承担。</w:t>
      </w:r>
    </w:p>
    <w:p>
      <w:pPr>
        <w:spacing w:before="156" w:beforeLines="5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委托期限：。</w:t>
      </w:r>
    </w:p>
    <w:p>
      <w:pPr>
        <w:spacing w:before="312" w:beforeLines="100" w:after="312" w:afterLines="10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代理人无转委托权。</w:t>
      </w:r>
    </w:p>
    <w:p>
      <w:pPr>
        <w:spacing w:after="312" w:afterLines="10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附：法定代表人身份证明</w:t>
      </w:r>
    </w:p>
    <w:p>
      <w:pPr>
        <w:spacing w:after="312" w:afterLines="10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附：授权委托人身份证明</w:t>
      </w:r>
    </w:p>
    <w:p>
      <w:pPr>
        <w:spacing w:line="500" w:lineRule="exact"/>
        <w:rPr>
          <w:rFonts w:hint="eastAsia" w:ascii="宋体" w:hAnsi="宋体" w:eastAsia="宋体" w:cs="宋体"/>
          <w:sz w:val="24"/>
          <w:highlight w:val="none"/>
          <w:lang w:val="en-US" w:eastAsia="zh-CN"/>
        </w:rPr>
      </w:pP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供应商名称：（盖单位章）</w:t>
      </w:r>
    </w:p>
    <w:p>
      <w:pPr>
        <w:spacing w:line="400" w:lineRule="exact"/>
        <w:ind w:firstLine="4080" w:firstLineChars="1700"/>
        <w:rPr>
          <w:rFonts w:hint="eastAsia" w:ascii="宋体" w:hAnsi="宋体" w:eastAsia="宋体" w:cs="宋体"/>
          <w:sz w:val="24"/>
          <w:highlight w:val="none"/>
        </w:rPr>
      </w:pP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法定代表人：（签字）</w:t>
      </w:r>
    </w:p>
    <w:p>
      <w:pPr>
        <w:spacing w:line="400" w:lineRule="exact"/>
        <w:ind w:firstLine="4080" w:firstLineChars="1700"/>
        <w:rPr>
          <w:rFonts w:hint="eastAsia" w:ascii="宋体" w:hAnsi="宋体" w:eastAsia="宋体" w:cs="宋体"/>
          <w:sz w:val="24"/>
          <w:highlight w:val="none"/>
        </w:rPr>
      </w:pPr>
    </w:p>
    <w:p>
      <w:pPr>
        <w:spacing w:line="400" w:lineRule="exact"/>
        <w:rPr>
          <w:rFonts w:hint="eastAsia" w:ascii="宋体" w:hAnsi="宋体" w:eastAsia="宋体" w:cs="宋体"/>
          <w:sz w:val="24"/>
          <w:highlight w:val="none"/>
          <w:u w:val="single"/>
        </w:rPr>
      </w:pPr>
      <w:r>
        <w:rPr>
          <w:rFonts w:hint="eastAsia" w:ascii="宋体" w:hAnsi="宋体" w:eastAsia="宋体" w:cs="宋体"/>
          <w:sz w:val="24"/>
          <w:highlight w:val="none"/>
        </w:rPr>
        <w:t>身份证号码：</w:t>
      </w:r>
      <w:r>
        <w:rPr>
          <w:rFonts w:hint="eastAsia" w:ascii="宋体" w:hAnsi="宋体" w:eastAsia="宋体" w:cs="宋体"/>
          <w:sz w:val="24"/>
          <w:highlight w:val="none"/>
          <w:u w:val="none"/>
        </w:rPr>
        <w:t>________________________</w:t>
      </w:r>
    </w:p>
    <w:p>
      <w:pPr>
        <w:spacing w:line="400" w:lineRule="exact"/>
        <w:ind w:firstLine="4080" w:firstLineChars="1700"/>
        <w:rPr>
          <w:rFonts w:hint="eastAsia" w:ascii="宋体" w:hAnsi="宋体" w:eastAsia="宋体" w:cs="宋体"/>
          <w:sz w:val="24"/>
          <w:highlight w:val="none"/>
          <w:u w:val="single"/>
        </w:rPr>
      </w:pP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委托代理人：（签字）</w:t>
      </w:r>
    </w:p>
    <w:p>
      <w:pPr>
        <w:spacing w:line="400" w:lineRule="exact"/>
        <w:ind w:firstLine="4080" w:firstLineChars="1700"/>
        <w:rPr>
          <w:rFonts w:hint="eastAsia" w:ascii="宋体" w:hAnsi="宋体" w:eastAsia="宋体" w:cs="宋体"/>
          <w:sz w:val="24"/>
          <w:highlight w:val="none"/>
        </w:rPr>
      </w:pPr>
    </w:p>
    <w:p>
      <w:pPr>
        <w:spacing w:line="400" w:lineRule="exact"/>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身份证号码：</w:t>
      </w:r>
    </w:p>
    <w:p>
      <w:pPr>
        <w:spacing w:line="400" w:lineRule="exact"/>
        <w:ind w:firstLine="4080" w:firstLineChars="1700"/>
        <w:rPr>
          <w:rFonts w:hint="eastAsia" w:ascii="宋体" w:hAnsi="宋体" w:eastAsia="宋体" w:cs="宋体"/>
          <w:sz w:val="24"/>
          <w:highlight w:val="none"/>
        </w:rPr>
      </w:pPr>
    </w:p>
    <w:p>
      <w:pPr>
        <w:spacing w:line="400" w:lineRule="exact"/>
        <w:ind w:firstLine="1680" w:firstLineChars="700"/>
        <w:rPr>
          <w:rFonts w:hint="eastAsia" w:ascii="宋体" w:hAnsi="宋体" w:eastAsia="宋体" w:cs="宋体"/>
          <w:sz w:val="24"/>
          <w:highlight w:val="none"/>
        </w:rPr>
      </w:pPr>
      <w:r>
        <w:rPr>
          <w:rFonts w:hint="eastAsia" w:ascii="宋体" w:hAnsi="宋体" w:eastAsia="宋体" w:cs="宋体"/>
          <w:sz w:val="24"/>
          <w:highlight w:val="none"/>
        </w:rPr>
        <w:t>年月日</w:t>
      </w:r>
    </w:p>
    <w:p>
      <w:pPr>
        <w:spacing w:line="400" w:lineRule="exact"/>
        <w:ind w:firstLine="5520" w:firstLineChars="2300"/>
        <w:rPr>
          <w:rFonts w:hint="eastAsia" w:ascii="宋体" w:hAnsi="宋体" w:eastAsia="宋体" w:cs="宋体"/>
          <w:sz w:val="24"/>
          <w:highlight w:val="none"/>
        </w:rPr>
      </w:pPr>
    </w:p>
    <w:p>
      <w:pPr>
        <w:spacing w:line="400" w:lineRule="exact"/>
        <w:ind w:firstLine="5520" w:firstLineChars="2300"/>
        <w:rPr>
          <w:rFonts w:hint="eastAsia" w:ascii="宋体" w:hAnsi="宋体" w:eastAsia="宋体" w:cs="宋体"/>
          <w:sz w:val="24"/>
          <w:highlight w:val="none"/>
        </w:rPr>
      </w:pPr>
    </w:p>
    <w:p>
      <w:pPr>
        <w:spacing w:line="440" w:lineRule="exact"/>
        <w:jc w:val="center"/>
        <w:rPr>
          <w:rFonts w:hint="eastAsia" w:ascii="宋体" w:hAnsi="宋体" w:eastAsia="宋体" w:cs="宋体"/>
          <w:sz w:val="24"/>
          <w:highlight w:val="none"/>
        </w:rPr>
      </w:pPr>
    </w:p>
    <w:p>
      <w:pPr>
        <w:rPr>
          <w:rFonts w:hint="eastAsia" w:ascii="宋体" w:hAnsi="宋体" w:eastAsia="宋体" w:cs="宋体"/>
          <w:highlight w:val="none"/>
        </w:rPr>
      </w:pPr>
    </w:p>
    <w:p>
      <w:pPr>
        <w:pStyle w:val="4"/>
        <w:jc w:val="left"/>
        <w:rPr>
          <w:rFonts w:hint="eastAsia" w:ascii="宋体" w:hAnsi="宋体" w:eastAsia="宋体" w:cs="宋体"/>
          <w:color w:val="000000"/>
          <w:highlight w:val="none"/>
        </w:rPr>
      </w:pPr>
      <w:bookmarkStart w:id="138" w:name="_Toc63332568"/>
      <w:bookmarkStart w:id="139" w:name="_Toc63332488"/>
      <w:r>
        <w:rPr>
          <w:rFonts w:hint="eastAsia" w:ascii="宋体" w:hAnsi="宋体" w:eastAsia="宋体" w:cs="宋体"/>
          <w:color w:val="000000"/>
          <w:highlight w:val="none"/>
        </w:rPr>
        <w:t>附件</w:t>
      </w:r>
      <w:r>
        <w:rPr>
          <w:rFonts w:hint="eastAsia" w:ascii="宋体" w:hAnsi="宋体" w:eastAsia="宋体" w:cs="宋体"/>
          <w:color w:val="000000"/>
          <w:highlight w:val="none"/>
          <w:lang w:eastAsia="zh-CN"/>
        </w:rPr>
        <w:t>五</w:t>
      </w:r>
      <w:r>
        <w:rPr>
          <w:rFonts w:hint="eastAsia" w:ascii="宋体" w:hAnsi="宋体" w:eastAsia="宋体" w:cs="宋体"/>
          <w:color w:val="000000"/>
          <w:highlight w:val="none"/>
        </w:rPr>
        <w:t>：</w:t>
      </w:r>
    </w:p>
    <w:p>
      <w:pPr>
        <w:pStyle w:val="4"/>
        <w:jc w:val="center"/>
        <w:rPr>
          <w:rFonts w:hint="eastAsia" w:ascii="宋体" w:hAnsi="宋体" w:eastAsia="宋体" w:cs="宋体"/>
          <w:color w:val="000000"/>
          <w:highlight w:val="none"/>
        </w:rPr>
      </w:pPr>
      <w:r>
        <w:rPr>
          <w:rFonts w:hint="eastAsia" w:ascii="宋体" w:hAnsi="宋体" w:eastAsia="宋体" w:cs="宋体"/>
          <w:color w:val="000000"/>
          <w:highlight w:val="none"/>
        </w:rPr>
        <w:t>中小企业声明函</w:t>
      </w:r>
      <w:bookmarkEnd w:id="138"/>
      <w:bookmarkEnd w:id="139"/>
    </w:p>
    <w:p>
      <w:pPr>
        <w:spacing w:line="600" w:lineRule="exact"/>
        <w:ind w:firstLine="566" w:firstLineChars="236"/>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本公司（联合体）郑重声明，根据《政府采购促进中小企业发展管理办法》（财库﹝2020﹞46号）的规定，本公司参加</w:t>
      </w:r>
      <w:r>
        <w:rPr>
          <w:rFonts w:hint="eastAsia" w:ascii="宋体" w:hAnsi="宋体" w:eastAsia="宋体" w:cs="宋体"/>
          <w:color w:val="000000"/>
          <w:sz w:val="24"/>
          <w:highlight w:val="none"/>
          <w:u w:val="single"/>
        </w:rPr>
        <w:t>（单位名称）</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60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u w:val="single"/>
        </w:rPr>
        <w:t>（标的名称</w:t>
      </w:r>
      <w:r>
        <w:rPr>
          <w:rFonts w:hint="eastAsia" w:ascii="宋体" w:hAnsi="宋体" w:eastAsia="宋体" w:cs="宋体"/>
          <w:i/>
          <w:iCs/>
          <w:color w:val="000000"/>
          <w:sz w:val="24"/>
          <w:highlight w:val="none"/>
          <w:u w:val="single"/>
        </w:rPr>
        <w:t>）</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（采购文件中明确的所属行业）</w:t>
      </w:r>
      <w:r>
        <w:rPr>
          <w:rFonts w:hint="eastAsia" w:ascii="宋体" w:hAnsi="宋体" w:eastAsia="宋体" w:cs="宋体"/>
          <w:color w:val="000000"/>
          <w:sz w:val="24"/>
          <w:highlight w:val="none"/>
        </w:rPr>
        <w:t>；承建（承接）企业为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，从业人员人，营业收入为万元，资产总额为万元</w:t>
      </w:r>
      <w:r>
        <w:rPr>
          <w:rFonts w:hint="eastAsia" w:ascii="宋体" w:hAnsi="宋体" w:eastAsia="宋体" w:cs="宋体"/>
          <w:color w:val="000000"/>
          <w:sz w:val="24"/>
          <w:highlight w:val="none"/>
          <w:vertAlign w:val="superscript"/>
        </w:rPr>
        <w:t>1</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（中型企业、小型企业、微型企业）</w:t>
      </w:r>
      <w:r>
        <w:rPr>
          <w:rFonts w:hint="eastAsia" w:ascii="宋体" w:hAnsi="宋体" w:eastAsia="宋体" w:cs="宋体"/>
          <w:color w:val="000000"/>
          <w:sz w:val="24"/>
          <w:highlight w:val="none"/>
        </w:rPr>
        <w:t>；</w:t>
      </w:r>
    </w:p>
    <w:p>
      <w:pPr>
        <w:spacing w:line="60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u w:val="single"/>
        </w:rPr>
        <w:t>（标的名称）</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（采购文件中明确的所属行业）</w:t>
      </w:r>
      <w:r>
        <w:rPr>
          <w:rFonts w:hint="eastAsia" w:ascii="宋体" w:hAnsi="宋体" w:eastAsia="宋体" w:cs="宋体"/>
          <w:color w:val="000000"/>
          <w:sz w:val="24"/>
          <w:highlight w:val="none"/>
        </w:rPr>
        <w:t>；承建（承接）企业为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，从业人员人，营业收入为万元，资产总额为万元，属于</w:t>
      </w:r>
      <w:r>
        <w:rPr>
          <w:rFonts w:hint="eastAsia" w:ascii="宋体" w:hAnsi="宋体" w:eastAsia="宋体" w:cs="宋体"/>
          <w:color w:val="000000"/>
          <w:sz w:val="24"/>
          <w:highlight w:val="none"/>
          <w:u w:val="single"/>
        </w:rPr>
        <w:t>（中型企业、小型企业、微型企业）</w:t>
      </w:r>
      <w:r>
        <w:rPr>
          <w:rFonts w:hint="eastAsia" w:ascii="宋体" w:hAnsi="宋体" w:eastAsia="宋体" w:cs="宋体"/>
          <w:color w:val="000000"/>
          <w:sz w:val="24"/>
          <w:highlight w:val="none"/>
        </w:rPr>
        <w:t>；</w:t>
      </w:r>
    </w:p>
    <w:p>
      <w:pPr>
        <w:spacing w:line="600" w:lineRule="exact"/>
        <w:ind w:left="315" w:leftChars="15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pPr>
        <w:spacing w:line="600" w:lineRule="exact"/>
        <w:ind w:left="1" w:firstLine="564" w:firstLineChars="235"/>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以上企业，不属于大企业的分支机构，不存在控股股东为大企业的情形，也不存在与大企业的负责人为同一人的情形。</w:t>
      </w:r>
    </w:p>
    <w:p>
      <w:pPr>
        <w:spacing w:line="600" w:lineRule="exact"/>
        <w:ind w:left="1" w:firstLine="564" w:firstLineChars="235"/>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本企业对上述声明内容的真实性负责。如有虚假，将依法承担相应责任。</w:t>
      </w:r>
    </w:p>
    <w:p>
      <w:pPr>
        <w:wordWrap w:val="0"/>
        <w:spacing w:line="600" w:lineRule="exact"/>
        <w:ind w:left="1" w:firstLine="564" w:firstLineChars="235"/>
        <w:jc w:val="right"/>
        <w:rPr>
          <w:rFonts w:hint="eastAsia" w:ascii="宋体" w:hAnsi="宋体" w:eastAsia="宋体" w:cs="宋体"/>
          <w:color w:val="000000"/>
          <w:sz w:val="24"/>
          <w:highlight w:val="none"/>
        </w:rPr>
      </w:pPr>
    </w:p>
    <w:p>
      <w:pPr>
        <w:spacing w:line="600" w:lineRule="exact"/>
        <w:ind w:left="1" w:right="107" w:firstLine="4533" w:firstLineChars="1889"/>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企业名称（盖章）：</w:t>
      </w:r>
    </w:p>
    <w:p>
      <w:pPr>
        <w:spacing w:line="600" w:lineRule="exact"/>
        <w:ind w:left="1" w:firstLine="4533" w:firstLineChars="1889"/>
        <w:jc w:val="left"/>
        <w:rPr>
          <w:rFonts w:hint="eastAsia" w:ascii="宋体" w:hAnsi="宋体" w:eastAsia="宋体" w:cs="宋体"/>
          <w:bCs/>
          <w:sz w:val="24"/>
          <w:highlight w:val="none"/>
          <w:lang w:eastAsia="zh-CN"/>
        </w:rPr>
      </w:pPr>
      <w:r>
        <w:rPr>
          <w:rFonts w:hint="eastAsia" w:ascii="宋体" w:hAnsi="宋体" w:eastAsia="宋体" w:cs="宋体"/>
          <w:color w:val="000000"/>
          <w:sz w:val="24"/>
          <w:highlight w:val="none"/>
        </w:rPr>
        <w:t>日期：</w:t>
      </w: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sz w:val="22"/>
          <w:szCs w:val="22"/>
          <w:highlight w:val="none"/>
        </w:rPr>
      </w:pPr>
      <w:r>
        <w:rPr>
          <w:rFonts w:hint="eastAsia" w:ascii="宋体" w:hAnsi="宋体" w:eastAsia="宋体" w:cs="宋体"/>
          <w:sz w:val="22"/>
          <w:szCs w:val="22"/>
          <w:highlight w:val="none"/>
          <w:vertAlign w:val="superscript"/>
        </w:rPr>
        <w:t>1</w:t>
      </w:r>
      <w:r>
        <w:rPr>
          <w:rFonts w:hint="eastAsia" w:ascii="宋体" w:hAnsi="宋体" w:eastAsia="宋体" w:cs="宋体"/>
          <w:sz w:val="22"/>
          <w:szCs w:val="22"/>
          <w:highlight w:val="none"/>
        </w:rPr>
        <w:t>从业人员、营业收入、资产总额填报上一年度数据，无上一年度数据的新成立企业可不填报。</w:t>
      </w:r>
    </w:p>
    <w:p>
      <w:pPr>
        <w:pStyle w:val="4"/>
        <w:jc w:val="left"/>
        <w:rPr>
          <w:rFonts w:hint="eastAsia" w:ascii="宋体" w:hAnsi="宋体" w:eastAsia="宋体" w:cs="宋体"/>
          <w:color w:val="000000"/>
          <w:highlight w:val="none"/>
          <w:lang w:eastAsia="zh-CN"/>
        </w:rPr>
      </w:pPr>
      <w:bookmarkStart w:id="140" w:name="_Toc63332569"/>
      <w:bookmarkStart w:id="141" w:name="_Toc63332489"/>
      <w:r>
        <w:rPr>
          <w:rFonts w:hint="eastAsia" w:ascii="宋体" w:hAnsi="宋体" w:eastAsia="宋体" w:cs="宋体"/>
          <w:color w:val="000000"/>
          <w:highlight w:val="none"/>
        </w:rPr>
        <w:t>附件</w:t>
      </w:r>
      <w:r>
        <w:rPr>
          <w:rFonts w:hint="eastAsia" w:ascii="宋体" w:hAnsi="宋体" w:eastAsia="宋体" w:cs="宋体"/>
          <w:color w:val="000000"/>
          <w:highlight w:val="none"/>
          <w:lang w:eastAsia="zh-CN"/>
        </w:rPr>
        <w:t>六</w:t>
      </w:r>
      <w:r>
        <w:rPr>
          <w:rFonts w:hint="eastAsia" w:ascii="宋体" w:hAnsi="宋体" w:eastAsia="宋体" w:cs="宋体"/>
          <w:color w:val="000000"/>
          <w:highlight w:val="none"/>
        </w:rPr>
        <w:t>：</w:t>
      </w:r>
      <w:bookmarkEnd w:id="140"/>
      <w:bookmarkEnd w:id="141"/>
    </w:p>
    <w:p>
      <w:pPr>
        <w:pStyle w:val="4"/>
        <w:jc w:val="center"/>
        <w:rPr>
          <w:rFonts w:hint="eastAsia" w:ascii="宋体" w:hAnsi="宋体" w:eastAsia="宋体" w:cs="宋体"/>
          <w:color w:val="000000"/>
          <w:highlight w:val="none"/>
        </w:rPr>
      </w:pPr>
      <w:bookmarkStart w:id="142" w:name="_Toc63332490"/>
      <w:bookmarkStart w:id="143" w:name="_Toc63332570"/>
      <w:r>
        <w:rPr>
          <w:rFonts w:hint="eastAsia" w:ascii="宋体" w:hAnsi="宋体" w:eastAsia="宋体" w:cs="宋体"/>
          <w:color w:val="000000"/>
          <w:highlight w:val="none"/>
        </w:rPr>
        <w:t>残疾人福利性单位声明函</w:t>
      </w:r>
      <w:bookmarkEnd w:id="142"/>
      <w:bookmarkEnd w:id="143"/>
    </w:p>
    <w:p>
      <w:pPr>
        <w:spacing w:line="588" w:lineRule="exact"/>
        <w:rPr>
          <w:rFonts w:hint="eastAsia" w:ascii="宋体" w:hAnsi="宋体" w:eastAsia="宋体" w:cs="宋体"/>
          <w:spacing w:val="6"/>
          <w:sz w:val="24"/>
          <w:highlight w:val="none"/>
        </w:rPr>
      </w:pPr>
    </w:p>
    <w:p>
      <w:pPr>
        <w:spacing w:line="588" w:lineRule="exact"/>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本单位郑重声明，根据《财政部民政部中国残疾人联合会关于促进残疾人就业政府采购政策的通知》（财库</w:t>
      </w:r>
      <w:r>
        <w:rPr>
          <w:rFonts w:hint="eastAsia" w:ascii="宋体" w:hAnsi="宋体" w:eastAsia="宋体" w:cs="宋体"/>
          <w:sz w:val="24"/>
          <w:highlight w:val="none"/>
        </w:rPr>
        <w:t>〔2017〕141</w:t>
      </w:r>
      <w:r>
        <w:rPr>
          <w:rFonts w:hint="eastAsia" w:ascii="宋体" w:hAnsi="宋体" w:eastAsia="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本单位对上述声明的真实性负责。如有虚假，将依法承担相应责任。</w:t>
      </w:r>
    </w:p>
    <w:p>
      <w:pPr>
        <w:widowControl/>
        <w:jc w:val="left"/>
        <w:rPr>
          <w:rFonts w:hint="eastAsia" w:ascii="宋体" w:hAnsi="宋体" w:eastAsia="宋体" w:cs="宋体"/>
          <w:spacing w:val="6"/>
          <w:sz w:val="24"/>
          <w:highlight w:val="none"/>
        </w:rPr>
      </w:pPr>
      <w:r>
        <w:rPr>
          <w:rFonts w:hint="eastAsia" w:ascii="宋体" w:hAnsi="宋体" w:eastAsia="宋体" w:cs="宋体"/>
          <w:spacing w:val="6"/>
          <w:sz w:val="24"/>
          <w:highlight w:val="none"/>
        </w:rPr>
        <w:br w:type="page"/>
      </w:r>
    </w:p>
    <w:p>
      <w:pPr>
        <w:spacing w:line="500" w:lineRule="exact"/>
        <w:outlineLvl w:val="1"/>
        <w:rPr>
          <w:rFonts w:hint="eastAsia" w:ascii="宋体" w:hAnsi="宋体" w:eastAsia="宋体" w:cs="宋体"/>
          <w:b/>
          <w:sz w:val="28"/>
          <w:szCs w:val="22"/>
          <w:highlight w:val="none"/>
        </w:rPr>
      </w:pPr>
      <w:bookmarkStart w:id="144" w:name="_Toc63332571"/>
      <w:bookmarkStart w:id="145" w:name="_Toc63332491"/>
      <w:r>
        <w:rPr>
          <w:rFonts w:hint="eastAsia" w:ascii="宋体" w:hAnsi="宋体" w:eastAsia="宋体" w:cs="宋体"/>
          <w:b/>
          <w:sz w:val="28"/>
          <w:szCs w:val="22"/>
          <w:highlight w:val="none"/>
        </w:rPr>
        <w:t>附件</w:t>
      </w:r>
      <w:r>
        <w:rPr>
          <w:rFonts w:hint="eastAsia" w:ascii="宋体" w:hAnsi="宋体" w:eastAsia="宋体" w:cs="宋体"/>
          <w:b/>
          <w:sz w:val="28"/>
          <w:szCs w:val="22"/>
          <w:highlight w:val="none"/>
          <w:lang w:eastAsia="zh-CN"/>
        </w:rPr>
        <w:t>七</w:t>
      </w:r>
      <w:r>
        <w:rPr>
          <w:rFonts w:hint="eastAsia" w:ascii="宋体" w:hAnsi="宋体" w:eastAsia="宋体" w:cs="宋体"/>
          <w:b/>
          <w:sz w:val="28"/>
          <w:szCs w:val="22"/>
          <w:highlight w:val="none"/>
        </w:rPr>
        <w:t>：监狱企业证明文件</w:t>
      </w:r>
      <w:bookmarkEnd w:id="144"/>
      <w:bookmarkEnd w:id="145"/>
    </w:p>
    <w:p>
      <w:pPr>
        <w:spacing w:before="53"/>
        <w:ind w:right="3"/>
        <w:jc w:val="center"/>
        <w:rPr>
          <w:rFonts w:hint="eastAsia" w:ascii="宋体" w:hAnsi="宋体" w:eastAsia="宋体" w:cs="宋体"/>
          <w:sz w:val="28"/>
          <w:szCs w:val="28"/>
          <w:highlight w:val="none"/>
        </w:rPr>
      </w:pPr>
    </w:p>
    <w:tbl>
      <w:tblPr>
        <w:tblStyle w:val="31"/>
        <w:tblW w:w="9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7"/>
      </w:tblGrid>
      <w:tr>
        <w:tblPrEx>
          <w:tblLayout w:type="fixed"/>
        </w:tblPrEx>
        <w:trPr>
          <w:trHeight w:val="9782" w:hRule="atLeast"/>
          <w:jc w:val="center"/>
        </w:trPr>
        <w:tc>
          <w:tcPr>
            <w:tcW w:w="9707" w:type="dxa"/>
          </w:tcPr>
          <w:p>
            <w:pPr>
              <w:spacing w:line="360" w:lineRule="exact"/>
              <w:rPr>
                <w:rFonts w:hint="eastAsia" w:ascii="宋体" w:hAnsi="宋体" w:eastAsia="宋体" w:cs="宋体"/>
                <w:sz w:val="24"/>
                <w:highlight w:val="none"/>
              </w:rPr>
            </w:pPr>
            <w:r>
              <w:rPr>
                <w:rFonts w:hint="eastAsia" w:ascii="宋体" w:hAnsi="宋体" w:eastAsia="宋体" w:cs="宋体"/>
                <w:sz w:val="24"/>
                <w:highlight w:val="none"/>
              </w:rPr>
              <w:t>由省级以上监狱管理局、戒毒管理局(含新疆生产建设兵团)出具的属于监狱企业的证明文件</w:t>
            </w:r>
          </w:p>
          <w:p>
            <w:pPr>
              <w:spacing w:line="360" w:lineRule="exact"/>
              <w:rPr>
                <w:rFonts w:hint="eastAsia" w:ascii="宋体" w:hAnsi="宋体" w:eastAsia="宋体" w:cs="宋体"/>
                <w:sz w:val="24"/>
                <w:highlight w:val="none"/>
              </w:rPr>
            </w:pPr>
          </w:p>
          <w:p>
            <w:pPr>
              <w:spacing w:line="360" w:lineRule="exact"/>
              <w:rPr>
                <w:rFonts w:hint="eastAsia" w:ascii="宋体" w:hAnsi="宋体" w:eastAsia="宋体" w:cs="宋体"/>
                <w:sz w:val="24"/>
                <w:highlight w:val="none"/>
              </w:rPr>
            </w:pPr>
          </w:p>
          <w:p>
            <w:pPr>
              <w:spacing w:line="360" w:lineRule="exact"/>
              <w:rPr>
                <w:rFonts w:hint="eastAsia" w:ascii="宋体" w:hAnsi="宋体" w:eastAsia="宋体" w:cs="宋体"/>
                <w:szCs w:val="21"/>
                <w:highlight w:val="none"/>
              </w:rPr>
            </w:pPr>
          </w:p>
        </w:tc>
      </w:tr>
    </w:tbl>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sz w:val="24"/>
          <w:szCs w:val="22"/>
          <w:highlight w:val="none"/>
        </w:rPr>
      </w:pPr>
    </w:p>
    <w:p>
      <w:pPr>
        <w:pStyle w:val="55"/>
        <w:rPr>
          <w:rFonts w:hint="eastAsia" w:ascii="宋体" w:hAnsi="宋体" w:eastAsia="宋体" w:cs="宋体"/>
          <w:b/>
          <w:sz w:val="28"/>
          <w:szCs w:val="28"/>
          <w:highlight w:val="none"/>
        </w:rPr>
      </w:pPr>
    </w:p>
    <w:p>
      <w:pPr>
        <w:pStyle w:val="17"/>
        <w:rPr>
          <w:rFonts w:hint="eastAsia" w:ascii="宋体" w:hAnsi="宋体" w:eastAsia="宋体" w:cs="宋体"/>
          <w:highlight w:val="none"/>
        </w:rPr>
      </w:pPr>
      <w:r>
        <w:rPr>
          <w:rFonts w:hint="eastAsia" w:ascii="宋体" w:hAnsi="宋体" w:eastAsia="宋体" w:cs="宋体"/>
          <w:b/>
          <w:sz w:val="28"/>
          <w:szCs w:val="22"/>
          <w:highlight w:val="none"/>
        </w:rPr>
        <w:br w:type="page"/>
      </w:r>
    </w:p>
    <w:p>
      <w:pPr>
        <w:pStyle w:val="55"/>
        <w:ind w:firstLine="0"/>
        <w:rPr>
          <w:rFonts w:hint="eastAsia" w:ascii="宋体" w:hAnsi="宋体" w:eastAsia="宋体" w:cs="宋体"/>
          <w:b/>
          <w:sz w:val="28"/>
          <w:szCs w:val="28"/>
          <w:highlight w:val="none"/>
        </w:rPr>
      </w:pPr>
      <w:r>
        <w:rPr>
          <w:rFonts w:hint="eastAsia" w:ascii="宋体" w:hAnsi="宋体" w:eastAsia="宋体" w:cs="宋体"/>
          <w:b/>
          <w:sz w:val="28"/>
          <w:szCs w:val="22"/>
          <w:highlight w:val="none"/>
        </w:rPr>
        <w:t>附件</w:t>
      </w:r>
      <w:bookmarkStart w:id="146" w:name="_Toc512345455"/>
      <w:bookmarkStart w:id="147" w:name="_Toc512676864"/>
      <w:bookmarkStart w:id="148" w:name="_Toc513034940"/>
      <w:r>
        <w:rPr>
          <w:rFonts w:hint="eastAsia" w:ascii="宋体" w:hAnsi="宋体" w:eastAsia="宋体" w:cs="宋体"/>
          <w:b/>
          <w:sz w:val="28"/>
          <w:szCs w:val="22"/>
          <w:highlight w:val="none"/>
          <w:lang w:eastAsia="zh-CN"/>
        </w:rPr>
        <w:t>八</w:t>
      </w:r>
      <w:r>
        <w:rPr>
          <w:rFonts w:hint="eastAsia" w:ascii="宋体" w:hAnsi="宋体" w:eastAsia="宋体" w:cs="宋体"/>
          <w:b/>
          <w:sz w:val="28"/>
          <w:szCs w:val="22"/>
          <w:highlight w:val="none"/>
        </w:rPr>
        <w:t>、</w:t>
      </w:r>
      <w:r>
        <w:rPr>
          <w:rFonts w:hint="eastAsia" w:ascii="宋体" w:hAnsi="宋体" w:eastAsia="宋体" w:cs="宋体"/>
          <w:b/>
          <w:sz w:val="28"/>
          <w:szCs w:val="28"/>
          <w:highlight w:val="none"/>
        </w:rPr>
        <w:t>节能（强制类产品）标志产品加分明细表（如有）</w:t>
      </w:r>
    </w:p>
    <w:p>
      <w:pPr>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注：若有，请按下表要求填报</w:t>
      </w:r>
    </w:p>
    <w:tbl>
      <w:tblPr>
        <w:tblStyle w:val="31"/>
        <w:tblW w:w="9616" w:type="dxa"/>
        <w:tblInd w:w="98" w:type="dxa"/>
        <w:tblLayout w:type="fixed"/>
        <w:tblCellMar>
          <w:top w:w="0" w:type="dxa"/>
          <w:left w:w="0" w:type="dxa"/>
          <w:bottom w:w="0" w:type="dxa"/>
          <w:right w:w="0" w:type="dxa"/>
        </w:tblCellMar>
      </w:tblPr>
      <w:tblGrid>
        <w:gridCol w:w="509"/>
        <w:gridCol w:w="510"/>
        <w:gridCol w:w="1234"/>
        <w:gridCol w:w="957"/>
        <w:gridCol w:w="1120"/>
        <w:gridCol w:w="1170"/>
        <w:gridCol w:w="1432"/>
        <w:gridCol w:w="1637"/>
        <w:gridCol w:w="1047"/>
      </w:tblGrid>
      <w:tr>
        <w:tblPrEx>
          <w:tblLayout w:type="fixed"/>
        </w:tblPrEx>
        <w:trPr>
          <w:trHeight w:val="327" w:hRule="exact"/>
        </w:trPr>
        <w:tc>
          <w:tcPr>
            <w:tcW w:w="1019" w:type="dxa"/>
            <w:gridSpan w:val="2"/>
            <w:tcBorders>
              <w:top w:val="single" w:color="000000" w:sz="4" w:space="0"/>
              <w:left w:val="single" w:color="000000" w:sz="4" w:space="0"/>
              <w:bottom w:val="single" w:color="000000" w:sz="4" w:space="0"/>
              <w:right w:val="single" w:color="000000" w:sz="4" w:space="0"/>
            </w:tcBorders>
          </w:tcPr>
          <w:p>
            <w:pPr>
              <w:pStyle w:val="64"/>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34" w:type="dxa"/>
            <w:tcBorders>
              <w:top w:val="single" w:color="000000" w:sz="4" w:space="0"/>
              <w:left w:val="single" w:color="000000" w:sz="4" w:space="0"/>
              <w:bottom w:val="single" w:color="000000" w:sz="4" w:space="0"/>
              <w:right w:val="single" w:color="000000" w:sz="4" w:space="0"/>
            </w:tcBorders>
          </w:tcPr>
          <w:p>
            <w:pPr>
              <w:pStyle w:val="64"/>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957" w:type="dxa"/>
            <w:tcBorders>
              <w:top w:val="single" w:color="000000" w:sz="4" w:space="0"/>
              <w:left w:val="single" w:color="000000" w:sz="4" w:space="0"/>
              <w:bottom w:val="single" w:color="000000" w:sz="4" w:space="0"/>
              <w:right w:val="single" w:color="000000" w:sz="4" w:space="0"/>
            </w:tcBorders>
          </w:tcPr>
          <w:p>
            <w:pPr>
              <w:pStyle w:val="64"/>
              <w:spacing w:before="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120" w:type="dxa"/>
            <w:tcBorders>
              <w:top w:val="single" w:color="000000" w:sz="4" w:space="0"/>
              <w:left w:val="single" w:color="000000" w:sz="4" w:space="0"/>
              <w:bottom w:val="single" w:color="000000" w:sz="4" w:space="0"/>
              <w:right w:val="single" w:color="000000" w:sz="4" w:space="0"/>
            </w:tcBorders>
          </w:tcPr>
          <w:p>
            <w:pPr>
              <w:pStyle w:val="64"/>
              <w:spacing w:before="7"/>
              <w:ind w:left="512" w:right="51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170" w:type="dxa"/>
            <w:tcBorders>
              <w:top w:val="single" w:color="000000" w:sz="4" w:space="0"/>
              <w:left w:val="single" w:color="000000" w:sz="4" w:space="0"/>
              <w:bottom w:val="single" w:color="000000" w:sz="4" w:space="0"/>
              <w:right w:val="single" w:color="000000" w:sz="4" w:space="0"/>
            </w:tcBorders>
          </w:tcPr>
          <w:p>
            <w:pPr>
              <w:pStyle w:val="64"/>
              <w:spacing w:before="7"/>
              <w:ind w:left="536" w:right="54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tcPr>
          <w:p>
            <w:pPr>
              <w:pStyle w:val="64"/>
              <w:spacing w:before="7"/>
              <w:ind w:left="833" w:right="519"/>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637" w:type="dxa"/>
            <w:tcBorders>
              <w:top w:val="single" w:color="000000" w:sz="4" w:space="0"/>
              <w:left w:val="single" w:color="000000" w:sz="4" w:space="0"/>
              <w:bottom w:val="single" w:color="000000" w:sz="4" w:space="0"/>
              <w:right w:val="single" w:color="000000" w:sz="4" w:space="0"/>
            </w:tcBorders>
          </w:tcPr>
          <w:p>
            <w:pPr>
              <w:pStyle w:val="64"/>
              <w:spacing w:before="7"/>
              <w:ind w:left="942" w:right="62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047" w:type="dxa"/>
            <w:tcBorders>
              <w:top w:val="single" w:color="000000" w:sz="4" w:space="0"/>
              <w:left w:val="single" w:color="000000" w:sz="4" w:space="0"/>
              <w:bottom w:val="single" w:color="000000" w:sz="4" w:space="0"/>
              <w:right w:val="single" w:color="000000" w:sz="4" w:space="0"/>
            </w:tcBorders>
          </w:tcPr>
          <w:p>
            <w:pPr>
              <w:pStyle w:val="64"/>
              <w:spacing w:before="7"/>
              <w:ind w:left="577" w:right="37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r>
      <w:tr>
        <w:tblPrEx>
          <w:tblLayout w:type="fixed"/>
        </w:tblPrEx>
        <w:trPr>
          <w:trHeight w:val="933" w:hRule="exact"/>
        </w:trPr>
        <w:tc>
          <w:tcPr>
            <w:tcW w:w="509"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7"/>
              <w:rPr>
                <w:rFonts w:hint="eastAsia" w:ascii="宋体" w:hAnsi="宋体" w:eastAsia="宋体" w:cs="宋体"/>
                <w:color w:val="000000"/>
                <w:szCs w:val="21"/>
                <w:highlight w:val="none"/>
                <w:lang w:eastAsia="zh-CN"/>
              </w:rPr>
            </w:pPr>
          </w:p>
        </w:tc>
        <w:tc>
          <w:tcPr>
            <w:tcW w:w="510"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5" w:right="15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234"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22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w:t>
            </w:r>
            <w:r>
              <w:rPr>
                <w:rFonts w:hint="eastAsia" w:ascii="宋体" w:hAnsi="宋体" w:eastAsia="宋体" w:cs="宋体"/>
                <w:color w:val="000000"/>
                <w:spacing w:val="-3"/>
                <w:szCs w:val="21"/>
                <w:highlight w:val="none"/>
              </w:rPr>
              <w:t>名</w:t>
            </w:r>
            <w:r>
              <w:rPr>
                <w:rFonts w:hint="eastAsia" w:ascii="宋体" w:hAnsi="宋体" w:eastAsia="宋体" w:cs="宋体"/>
                <w:color w:val="000000"/>
                <w:szCs w:val="21"/>
                <w:highlight w:val="none"/>
              </w:rPr>
              <w:t>称</w:t>
            </w:r>
          </w:p>
        </w:tc>
        <w:tc>
          <w:tcPr>
            <w:tcW w:w="957"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92" w:right="182"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品牌型号</w:t>
            </w:r>
          </w:p>
        </w:tc>
        <w:tc>
          <w:tcPr>
            <w:tcW w:w="1120"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73" w:hanging="20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w:t>
            </w:r>
            <w:r>
              <w:rPr>
                <w:rFonts w:hint="eastAsia" w:ascii="宋体" w:hAnsi="宋体" w:eastAsia="宋体" w:cs="宋体"/>
                <w:color w:val="000000"/>
                <w:spacing w:val="-3"/>
                <w:szCs w:val="21"/>
                <w:highlight w:val="none"/>
              </w:rPr>
              <w:t>文</w:t>
            </w:r>
            <w:r>
              <w:rPr>
                <w:rFonts w:hint="eastAsia" w:ascii="宋体" w:hAnsi="宋体" w:eastAsia="宋体" w:cs="宋体"/>
                <w:color w:val="000000"/>
                <w:szCs w:val="21"/>
                <w:highlight w:val="none"/>
              </w:rPr>
              <w:t>件页码</w:t>
            </w:r>
          </w:p>
        </w:tc>
        <w:tc>
          <w:tcPr>
            <w:tcW w:w="1170"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8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w:t>
            </w:r>
            <w:r>
              <w:rPr>
                <w:rFonts w:hint="eastAsia" w:ascii="宋体" w:hAnsi="宋体" w:eastAsia="宋体" w:cs="宋体"/>
                <w:color w:val="000000"/>
                <w:spacing w:val="-3"/>
                <w:szCs w:val="21"/>
                <w:highlight w:val="none"/>
              </w:rPr>
              <w:t>金</w:t>
            </w:r>
            <w:r>
              <w:rPr>
                <w:rFonts w:hint="eastAsia" w:ascii="宋体" w:hAnsi="宋体" w:eastAsia="宋体" w:cs="宋体"/>
                <w:color w:val="000000"/>
                <w:szCs w:val="21"/>
                <w:highlight w:val="none"/>
              </w:rPr>
              <w:t>额</w:t>
            </w:r>
          </w:p>
        </w:tc>
        <w:tc>
          <w:tcPr>
            <w:tcW w:w="1432"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认证</w:t>
            </w:r>
            <w:r>
              <w:rPr>
                <w:rFonts w:hint="eastAsia" w:ascii="宋体" w:hAnsi="宋体" w:eastAsia="宋体" w:cs="宋体"/>
                <w:color w:val="000000"/>
                <w:spacing w:val="-3"/>
                <w:szCs w:val="21"/>
                <w:highlight w:val="none"/>
              </w:rPr>
              <w:t>证</w:t>
            </w:r>
            <w:r>
              <w:rPr>
                <w:rFonts w:hint="eastAsia" w:ascii="宋体" w:hAnsi="宋体" w:eastAsia="宋体" w:cs="宋体"/>
                <w:color w:val="000000"/>
                <w:szCs w:val="21"/>
                <w:highlight w:val="none"/>
              </w:rPr>
              <w:t>书</w:t>
            </w:r>
            <w:r>
              <w:rPr>
                <w:rFonts w:hint="eastAsia" w:ascii="宋体" w:hAnsi="宋体" w:eastAsia="宋体" w:cs="宋体"/>
                <w:color w:val="000000"/>
                <w:spacing w:val="-3"/>
                <w:szCs w:val="21"/>
                <w:highlight w:val="none"/>
              </w:rPr>
              <w:t>编</w:t>
            </w:r>
            <w:r>
              <w:rPr>
                <w:rFonts w:hint="eastAsia" w:ascii="宋体" w:hAnsi="宋体" w:eastAsia="宋体" w:cs="宋体"/>
                <w:color w:val="000000"/>
                <w:szCs w:val="21"/>
                <w:highlight w:val="none"/>
              </w:rPr>
              <w:t>号</w:t>
            </w:r>
          </w:p>
        </w:tc>
        <w:tc>
          <w:tcPr>
            <w:tcW w:w="1637"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750" w:hanging="62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证书</w:t>
            </w:r>
            <w:r>
              <w:rPr>
                <w:rFonts w:hint="eastAsia" w:ascii="宋体" w:hAnsi="宋体" w:eastAsia="宋体" w:cs="宋体"/>
                <w:color w:val="000000"/>
                <w:spacing w:val="-3"/>
                <w:szCs w:val="21"/>
                <w:highlight w:val="none"/>
              </w:rPr>
              <w:t>有</w:t>
            </w:r>
            <w:r>
              <w:rPr>
                <w:rFonts w:hint="eastAsia" w:ascii="宋体" w:hAnsi="宋体" w:eastAsia="宋体" w:cs="宋体"/>
                <w:color w:val="000000"/>
                <w:szCs w:val="21"/>
                <w:highlight w:val="none"/>
              </w:rPr>
              <w:t>效</w:t>
            </w:r>
            <w:r>
              <w:rPr>
                <w:rFonts w:hint="eastAsia" w:ascii="宋体" w:hAnsi="宋体" w:eastAsia="宋体" w:cs="宋体"/>
                <w:color w:val="000000"/>
                <w:spacing w:val="-3"/>
                <w:szCs w:val="21"/>
                <w:highlight w:val="none"/>
              </w:rPr>
              <w:t>截</w:t>
            </w:r>
            <w:r>
              <w:rPr>
                <w:rFonts w:hint="eastAsia" w:ascii="宋体" w:hAnsi="宋体" w:eastAsia="宋体" w:cs="宋体"/>
                <w:color w:val="000000"/>
                <w:szCs w:val="21"/>
                <w:highlight w:val="none"/>
              </w:rPr>
              <w:t>止日期</w:t>
            </w:r>
          </w:p>
        </w:tc>
        <w:tc>
          <w:tcPr>
            <w:tcW w:w="1047"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438" w:right="45"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清单页码</w:t>
            </w:r>
          </w:p>
        </w:tc>
      </w:tr>
      <w:tr>
        <w:tblPrEx>
          <w:tblLayout w:type="fixed"/>
        </w:tblPrEx>
        <w:trPr>
          <w:trHeight w:val="327" w:hRule="exact"/>
        </w:trPr>
        <w:tc>
          <w:tcPr>
            <w:tcW w:w="509" w:type="dxa"/>
            <w:vMerge w:val="restart"/>
            <w:tcBorders>
              <w:top w:val="single" w:color="000000" w:sz="4" w:space="0"/>
              <w:left w:val="single" w:color="000000" w:sz="4" w:space="0"/>
              <w:bottom w:val="single" w:color="000000" w:sz="4" w:space="0"/>
              <w:right w:val="single" w:color="000000" w:sz="4" w:space="0"/>
            </w:tcBorders>
          </w:tcPr>
          <w:p>
            <w:pPr>
              <w:pStyle w:val="64"/>
              <w:spacing w:before="9"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w:t>
            </w: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329"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327"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327" w:hRule="exact"/>
        </w:trPr>
        <w:tc>
          <w:tcPr>
            <w:tcW w:w="509" w:type="dxa"/>
            <w:vMerge w:val="restart"/>
            <w:tcBorders>
              <w:top w:val="single" w:color="000000" w:sz="4" w:space="0"/>
              <w:left w:val="single" w:color="000000" w:sz="4" w:space="0"/>
              <w:bottom w:val="single" w:color="000000" w:sz="4" w:space="0"/>
              <w:right w:val="single" w:color="000000" w:sz="4" w:space="0"/>
            </w:tcBorders>
          </w:tcPr>
          <w:p>
            <w:pPr>
              <w:pStyle w:val="64"/>
              <w:spacing w:before="6"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w:t>
            </w: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327"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327"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bl>
    <w:p>
      <w:pPr>
        <w:spacing w:line="390" w:lineRule="exact"/>
        <w:rPr>
          <w:rFonts w:hint="eastAsia" w:ascii="宋体" w:hAnsi="宋体" w:eastAsia="宋体" w:cs="宋体"/>
          <w:sz w:val="24"/>
          <w:highlight w:val="none"/>
        </w:rPr>
      </w:pPr>
      <w:r>
        <w:rPr>
          <w:rFonts w:hint="eastAsia" w:ascii="宋体" w:hAnsi="宋体" w:eastAsia="宋体" w:cs="宋体"/>
          <w:sz w:val="24"/>
          <w:highlight w:val="none"/>
        </w:rPr>
        <w:t>注：1、供应商在报价时必须对属于节能产品、环保产品（非强制类）清单内产品单独分项报价，并应于响应文件中提供属于清单内产品的证明资料（即所投产品在节能产品政府采购品目清单中的所在页，环保产品政府采购清单查询截图加盖供应商公章和认证的产品在报价时应提供有效环境标志产品认证证书、节能产品认证证书）。</w:t>
      </w:r>
    </w:p>
    <w:p>
      <w:pPr>
        <w:spacing w:line="3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2、本表可根据项目情况同格式扩展。</w:t>
      </w:r>
    </w:p>
    <w:p>
      <w:pPr>
        <w:ind w:firstLine="480" w:firstLineChars="200"/>
        <w:rPr>
          <w:rFonts w:hint="eastAsia" w:ascii="宋体" w:hAnsi="宋体" w:eastAsia="宋体" w:cs="宋体"/>
          <w:sz w:val="24"/>
          <w:highlight w:val="none"/>
        </w:rPr>
      </w:pPr>
    </w:p>
    <w:p>
      <w:pPr>
        <w:pStyle w:val="2"/>
        <w:spacing w:line="460" w:lineRule="exact"/>
        <w:rPr>
          <w:rFonts w:hint="eastAsia" w:ascii="宋体" w:hAnsi="宋体" w:eastAsia="宋体" w:cs="宋体"/>
          <w:b/>
          <w:sz w:val="28"/>
          <w:szCs w:val="28"/>
          <w:highlight w:val="none"/>
        </w:rPr>
      </w:pPr>
    </w:p>
    <w:p>
      <w:pPr>
        <w:pStyle w:val="55"/>
        <w:ind w:firstLine="0"/>
        <w:rPr>
          <w:rFonts w:hint="eastAsia" w:ascii="宋体" w:hAnsi="宋体" w:eastAsia="宋体" w:cs="宋体"/>
          <w:b/>
          <w:sz w:val="28"/>
          <w:szCs w:val="28"/>
          <w:highlight w:val="none"/>
        </w:rPr>
      </w:pPr>
      <w:r>
        <w:rPr>
          <w:rFonts w:hint="eastAsia" w:ascii="宋体" w:hAnsi="宋体" w:eastAsia="宋体" w:cs="宋体"/>
          <w:b/>
          <w:sz w:val="28"/>
          <w:szCs w:val="22"/>
          <w:highlight w:val="none"/>
        </w:rPr>
        <w:br w:type="page"/>
      </w:r>
      <w:r>
        <w:rPr>
          <w:rFonts w:hint="eastAsia" w:ascii="宋体" w:hAnsi="宋体" w:eastAsia="宋体" w:cs="宋体"/>
          <w:b/>
          <w:sz w:val="28"/>
          <w:szCs w:val="28"/>
          <w:highlight w:val="none"/>
        </w:rPr>
        <w:t>节能（强制类产品）产品证明文件</w:t>
      </w:r>
      <w:bookmarkEnd w:id="146"/>
      <w:bookmarkEnd w:id="147"/>
      <w:bookmarkEnd w:id="148"/>
      <w:r>
        <w:rPr>
          <w:rFonts w:hint="eastAsia" w:ascii="宋体" w:hAnsi="宋体" w:eastAsia="宋体" w:cs="宋体"/>
          <w:b/>
          <w:sz w:val="28"/>
          <w:szCs w:val="28"/>
          <w:highlight w:val="none"/>
        </w:rPr>
        <w:t>（如有）</w:t>
      </w:r>
    </w:p>
    <w:tbl>
      <w:tblPr>
        <w:tblStyle w:val="31"/>
        <w:tblW w:w="9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Layout w:type="fixed"/>
        </w:tblPrEx>
        <w:trPr>
          <w:trHeight w:val="10599" w:hRule="atLeast"/>
          <w:jc w:val="center"/>
        </w:trPr>
        <w:tc>
          <w:tcPr>
            <w:tcW w:w="9758" w:type="dxa"/>
          </w:tcPr>
          <w:p>
            <w:pPr>
              <w:rPr>
                <w:rFonts w:hint="eastAsia" w:ascii="宋体" w:hAnsi="宋体" w:eastAsia="宋体" w:cs="宋体"/>
                <w:szCs w:val="21"/>
                <w:highlight w:val="none"/>
              </w:rPr>
            </w:pPr>
            <w:r>
              <w:rPr>
                <w:rFonts w:hint="eastAsia" w:ascii="宋体" w:hAnsi="宋体" w:eastAsia="宋体" w:cs="宋体"/>
                <w:sz w:val="24"/>
                <w:highlight w:val="none"/>
              </w:rPr>
              <w:t>标明所在位置（若有）。</w:t>
            </w:r>
          </w:p>
        </w:tc>
      </w:tr>
    </w:tbl>
    <w:p>
      <w:pPr>
        <w:widowControl/>
        <w:spacing w:line="360" w:lineRule="auto"/>
        <w:jc w:val="left"/>
        <w:rPr>
          <w:rFonts w:hint="eastAsia" w:ascii="宋体" w:hAnsi="宋体" w:eastAsia="宋体" w:cs="宋体"/>
          <w:sz w:val="24"/>
          <w:highlight w:val="none"/>
        </w:rPr>
      </w:pPr>
    </w:p>
    <w:p>
      <w:pPr>
        <w:ind w:firstLine="525" w:firstLineChars="250"/>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b/>
          <w:sz w:val="24"/>
          <w:highlight w:val="none"/>
        </w:rPr>
      </w:pPr>
    </w:p>
    <w:p>
      <w:pPr>
        <w:pStyle w:val="2"/>
        <w:spacing w:line="460" w:lineRule="exact"/>
        <w:outlineLvl w:val="1"/>
        <w:rPr>
          <w:rFonts w:hint="eastAsia" w:ascii="宋体" w:hAnsi="宋体" w:eastAsia="宋体" w:cs="宋体"/>
          <w:b/>
          <w:sz w:val="28"/>
          <w:szCs w:val="28"/>
          <w:highlight w:val="none"/>
        </w:rPr>
      </w:pPr>
      <w:bookmarkStart w:id="149" w:name="_Toc512345456"/>
      <w:bookmarkStart w:id="150" w:name="_Toc512676865"/>
      <w:bookmarkStart w:id="151" w:name="_Toc513034941"/>
      <w:r>
        <w:rPr>
          <w:rFonts w:hint="eastAsia" w:ascii="宋体" w:hAnsi="宋体" w:eastAsia="宋体" w:cs="宋体"/>
          <w:b/>
          <w:sz w:val="28"/>
          <w:szCs w:val="28"/>
          <w:highlight w:val="none"/>
        </w:rPr>
        <w:br w:type="page"/>
      </w:r>
      <w:bookmarkStart w:id="152" w:name="_Toc63332572"/>
      <w:bookmarkStart w:id="153" w:name="_Toc63332492"/>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九</w:t>
      </w:r>
      <w:r>
        <w:rPr>
          <w:rFonts w:hint="eastAsia" w:ascii="宋体" w:hAnsi="宋体" w:eastAsia="宋体" w:cs="宋体"/>
          <w:b/>
          <w:sz w:val="28"/>
          <w:szCs w:val="28"/>
          <w:highlight w:val="none"/>
        </w:rPr>
        <w:t>、节能（非强制类产品）标志产品加分明细表</w:t>
      </w:r>
      <w:bookmarkEnd w:id="149"/>
      <w:bookmarkEnd w:id="150"/>
      <w:bookmarkEnd w:id="151"/>
      <w:r>
        <w:rPr>
          <w:rFonts w:hint="eastAsia" w:ascii="宋体" w:hAnsi="宋体" w:eastAsia="宋体" w:cs="宋体"/>
          <w:b/>
          <w:sz w:val="28"/>
          <w:szCs w:val="28"/>
          <w:highlight w:val="none"/>
        </w:rPr>
        <w:t>（如有）</w:t>
      </w:r>
      <w:bookmarkEnd w:id="152"/>
      <w:bookmarkEnd w:id="153"/>
    </w:p>
    <w:p>
      <w:pPr>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注：若有，请按下表要求填报</w:t>
      </w:r>
    </w:p>
    <w:tbl>
      <w:tblPr>
        <w:tblStyle w:val="31"/>
        <w:tblW w:w="9523" w:type="dxa"/>
        <w:tblInd w:w="98" w:type="dxa"/>
        <w:tblLayout w:type="fixed"/>
        <w:tblCellMar>
          <w:top w:w="0" w:type="dxa"/>
          <w:left w:w="0" w:type="dxa"/>
          <w:bottom w:w="0" w:type="dxa"/>
          <w:right w:w="0" w:type="dxa"/>
        </w:tblCellMar>
      </w:tblPr>
      <w:tblGrid>
        <w:gridCol w:w="503"/>
        <w:gridCol w:w="506"/>
        <w:gridCol w:w="1222"/>
        <w:gridCol w:w="948"/>
        <w:gridCol w:w="1109"/>
        <w:gridCol w:w="1159"/>
        <w:gridCol w:w="1419"/>
        <w:gridCol w:w="1621"/>
        <w:gridCol w:w="1036"/>
      </w:tblGrid>
      <w:tr>
        <w:tblPrEx>
          <w:tblLayout w:type="fixed"/>
        </w:tblPrEx>
        <w:trPr>
          <w:trHeight w:val="370" w:hRule="exact"/>
        </w:trPr>
        <w:tc>
          <w:tcPr>
            <w:tcW w:w="1009" w:type="dxa"/>
            <w:gridSpan w:val="2"/>
            <w:tcBorders>
              <w:top w:val="single" w:color="000000" w:sz="4" w:space="0"/>
              <w:left w:val="single" w:color="000000" w:sz="4" w:space="0"/>
              <w:bottom w:val="single" w:color="000000" w:sz="4" w:space="0"/>
              <w:right w:val="single" w:color="000000" w:sz="4" w:space="0"/>
            </w:tcBorders>
          </w:tcPr>
          <w:p>
            <w:pPr>
              <w:pStyle w:val="64"/>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22" w:type="dxa"/>
            <w:tcBorders>
              <w:top w:val="single" w:color="000000" w:sz="4" w:space="0"/>
              <w:left w:val="single" w:color="000000" w:sz="4" w:space="0"/>
              <w:bottom w:val="single" w:color="000000" w:sz="4" w:space="0"/>
              <w:right w:val="single" w:color="000000" w:sz="4" w:space="0"/>
            </w:tcBorders>
          </w:tcPr>
          <w:p>
            <w:pPr>
              <w:pStyle w:val="64"/>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948" w:type="dxa"/>
            <w:tcBorders>
              <w:top w:val="single" w:color="000000" w:sz="4" w:space="0"/>
              <w:left w:val="single" w:color="000000" w:sz="4" w:space="0"/>
              <w:bottom w:val="single" w:color="000000" w:sz="4" w:space="0"/>
              <w:right w:val="single" w:color="000000" w:sz="4" w:space="0"/>
            </w:tcBorders>
          </w:tcPr>
          <w:p>
            <w:pPr>
              <w:pStyle w:val="64"/>
              <w:spacing w:before="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109" w:type="dxa"/>
            <w:tcBorders>
              <w:top w:val="single" w:color="000000" w:sz="4" w:space="0"/>
              <w:left w:val="single" w:color="000000" w:sz="4" w:space="0"/>
              <w:bottom w:val="single" w:color="000000" w:sz="4" w:space="0"/>
              <w:right w:val="single" w:color="000000" w:sz="4" w:space="0"/>
            </w:tcBorders>
          </w:tcPr>
          <w:p>
            <w:pPr>
              <w:pStyle w:val="64"/>
              <w:spacing w:before="7"/>
              <w:ind w:left="512" w:right="51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159" w:type="dxa"/>
            <w:tcBorders>
              <w:top w:val="single" w:color="000000" w:sz="4" w:space="0"/>
              <w:left w:val="single" w:color="000000" w:sz="4" w:space="0"/>
              <w:bottom w:val="single" w:color="000000" w:sz="4" w:space="0"/>
              <w:right w:val="single" w:color="000000" w:sz="4" w:space="0"/>
            </w:tcBorders>
          </w:tcPr>
          <w:p>
            <w:pPr>
              <w:pStyle w:val="64"/>
              <w:spacing w:before="7"/>
              <w:ind w:left="536" w:right="54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419" w:type="dxa"/>
            <w:tcBorders>
              <w:top w:val="single" w:color="000000" w:sz="4" w:space="0"/>
              <w:left w:val="single" w:color="000000" w:sz="4" w:space="0"/>
              <w:bottom w:val="single" w:color="000000" w:sz="4" w:space="0"/>
              <w:right w:val="single" w:color="000000" w:sz="4" w:space="0"/>
            </w:tcBorders>
          </w:tcPr>
          <w:p>
            <w:pPr>
              <w:pStyle w:val="64"/>
              <w:spacing w:before="7"/>
              <w:ind w:left="833" w:right="519"/>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621" w:type="dxa"/>
            <w:tcBorders>
              <w:top w:val="single" w:color="000000" w:sz="4" w:space="0"/>
              <w:left w:val="single" w:color="000000" w:sz="4" w:space="0"/>
              <w:bottom w:val="single" w:color="000000" w:sz="4" w:space="0"/>
              <w:right w:val="single" w:color="000000" w:sz="4" w:space="0"/>
            </w:tcBorders>
          </w:tcPr>
          <w:p>
            <w:pPr>
              <w:pStyle w:val="64"/>
              <w:spacing w:before="7"/>
              <w:ind w:left="942" w:right="62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036" w:type="dxa"/>
            <w:tcBorders>
              <w:top w:val="single" w:color="000000" w:sz="4" w:space="0"/>
              <w:left w:val="single" w:color="000000" w:sz="4" w:space="0"/>
              <w:bottom w:val="single" w:color="000000" w:sz="4" w:space="0"/>
              <w:right w:val="single" w:color="000000" w:sz="4" w:space="0"/>
            </w:tcBorders>
          </w:tcPr>
          <w:p>
            <w:pPr>
              <w:pStyle w:val="64"/>
              <w:spacing w:before="7"/>
              <w:ind w:left="577" w:right="37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r>
      <w:tr>
        <w:tblPrEx>
          <w:tblLayout w:type="fixed"/>
        </w:tblPrEx>
        <w:trPr>
          <w:trHeight w:val="936" w:hRule="exact"/>
        </w:trPr>
        <w:tc>
          <w:tcPr>
            <w:tcW w:w="503"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7"/>
              <w:rPr>
                <w:rFonts w:hint="eastAsia" w:ascii="宋体" w:hAnsi="宋体" w:eastAsia="宋体" w:cs="宋体"/>
                <w:color w:val="000000"/>
                <w:szCs w:val="21"/>
                <w:highlight w:val="none"/>
                <w:lang w:eastAsia="zh-CN"/>
              </w:rPr>
            </w:pPr>
          </w:p>
        </w:tc>
        <w:tc>
          <w:tcPr>
            <w:tcW w:w="506"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5" w:right="15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222"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22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w:t>
            </w:r>
            <w:r>
              <w:rPr>
                <w:rFonts w:hint="eastAsia" w:ascii="宋体" w:hAnsi="宋体" w:eastAsia="宋体" w:cs="宋体"/>
                <w:color w:val="000000"/>
                <w:spacing w:val="-3"/>
                <w:szCs w:val="21"/>
                <w:highlight w:val="none"/>
              </w:rPr>
              <w:t>名</w:t>
            </w:r>
            <w:r>
              <w:rPr>
                <w:rFonts w:hint="eastAsia" w:ascii="宋体" w:hAnsi="宋体" w:eastAsia="宋体" w:cs="宋体"/>
                <w:color w:val="000000"/>
                <w:szCs w:val="21"/>
                <w:highlight w:val="none"/>
              </w:rPr>
              <w:t>称</w:t>
            </w:r>
          </w:p>
        </w:tc>
        <w:tc>
          <w:tcPr>
            <w:tcW w:w="948"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92" w:right="182"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品牌型号</w:t>
            </w:r>
          </w:p>
        </w:tc>
        <w:tc>
          <w:tcPr>
            <w:tcW w:w="1109"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73" w:hanging="20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w:t>
            </w:r>
            <w:r>
              <w:rPr>
                <w:rFonts w:hint="eastAsia" w:ascii="宋体" w:hAnsi="宋体" w:eastAsia="宋体" w:cs="宋体"/>
                <w:color w:val="000000"/>
                <w:spacing w:val="-3"/>
                <w:szCs w:val="21"/>
                <w:highlight w:val="none"/>
              </w:rPr>
              <w:t>文</w:t>
            </w:r>
            <w:r>
              <w:rPr>
                <w:rFonts w:hint="eastAsia" w:ascii="宋体" w:hAnsi="宋体" w:eastAsia="宋体" w:cs="宋体"/>
                <w:color w:val="000000"/>
                <w:szCs w:val="21"/>
                <w:highlight w:val="none"/>
              </w:rPr>
              <w:t>件页码</w:t>
            </w:r>
          </w:p>
        </w:tc>
        <w:tc>
          <w:tcPr>
            <w:tcW w:w="1159"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8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w:t>
            </w:r>
            <w:r>
              <w:rPr>
                <w:rFonts w:hint="eastAsia" w:ascii="宋体" w:hAnsi="宋体" w:eastAsia="宋体" w:cs="宋体"/>
                <w:color w:val="000000"/>
                <w:spacing w:val="-3"/>
                <w:szCs w:val="21"/>
                <w:highlight w:val="none"/>
              </w:rPr>
              <w:t>金</w:t>
            </w:r>
            <w:r>
              <w:rPr>
                <w:rFonts w:hint="eastAsia" w:ascii="宋体" w:hAnsi="宋体" w:eastAsia="宋体" w:cs="宋体"/>
                <w:color w:val="000000"/>
                <w:szCs w:val="21"/>
                <w:highlight w:val="none"/>
              </w:rPr>
              <w:t>额</w:t>
            </w:r>
          </w:p>
        </w:tc>
        <w:tc>
          <w:tcPr>
            <w:tcW w:w="1419"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认证</w:t>
            </w:r>
            <w:r>
              <w:rPr>
                <w:rFonts w:hint="eastAsia" w:ascii="宋体" w:hAnsi="宋体" w:eastAsia="宋体" w:cs="宋体"/>
                <w:color w:val="000000"/>
                <w:spacing w:val="-3"/>
                <w:szCs w:val="21"/>
                <w:highlight w:val="none"/>
              </w:rPr>
              <w:t>证</w:t>
            </w:r>
            <w:r>
              <w:rPr>
                <w:rFonts w:hint="eastAsia" w:ascii="宋体" w:hAnsi="宋体" w:eastAsia="宋体" w:cs="宋体"/>
                <w:color w:val="000000"/>
                <w:szCs w:val="21"/>
                <w:highlight w:val="none"/>
              </w:rPr>
              <w:t>书</w:t>
            </w:r>
            <w:r>
              <w:rPr>
                <w:rFonts w:hint="eastAsia" w:ascii="宋体" w:hAnsi="宋体" w:eastAsia="宋体" w:cs="宋体"/>
                <w:color w:val="000000"/>
                <w:spacing w:val="-3"/>
                <w:szCs w:val="21"/>
                <w:highlight w:val="none"/>
              </w:rPr>
              <w:t>编</w:t>
            </w:r>
            <w:r>
              <w:rPr>
                <w:rFonts w:hint="eastAsia" w:ascii="宋体" w:hAnsi="宋体" w:eastAsia="宋体" w:cs="宋体"/>
                <w:color w:val="000000"/>
                <w:szCs w:val="21"/>
                <w:highlight w:val="none"/>
              </w:rPr>
              <w:t>号</w:t>
            </w:r>
          </w:p>
        </w:tc>
        <w:tc>
          <w:tcPr>
            <w:tcW w:w="1621"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750" w:hanging="62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证书</w:t>
            </w:r>
            <w:r>
              <w:rPr>
                <w:rFonts w:hint="eastAsia" w:ascii="宋体" w:hAnsi="宋体" w:eastAsia="宋体" w:cs="宋体"/>
                <w:color w:val="000000"/>
                <w:spacing w:val="-3"/>
                <w:szCs w:val="21"/>
                <w:highlight w:val="none"/>
              </w:rPr>
              <w:t>有</w:t>
            </w:r>
            <w:r>
              <w:rPr>
                <w:rFonts w:hint="eastAsia" w:ascii="宋体" w:hAnsi="宋体" w:eastAsia="宋体" w:cs="宋体"/>
                <w:color w:val="000000"/>
                <w:szCs w:val="21"/>
                <w:highlight w:val="none"/>
              </w:rPr>
              <w:t>效</w:t>
            </w:r>
            <w:r>
              <w:rPr>
                <w:rFonts w:hint="eastAsia" w:ascii="宋体" w:hAnsi="宋体" w:eastAsia="宋体" w:cs="宋体"/>
                <w:color w:val="000000"/>
                <w:spacing w:val="-3"/>
                <w:szCs w:val="21"/>
                <w:highlight w:val="none"/>
              </w:rPr>
              <w:t>截</w:t>
            </w:r>
            <w:r>
              <w:rPr>
                <w:rFonts w:hint="eastAsia" w:ascii="宋体" w:hAnsi="宋体" w:eastAsia="宋体" w:cs="宋体"/>
                <w:color w:val="000000"/>
                <w:szCs w:val="21"/>
                <w:highlight w:val="none"/>
              </w:rPr>
              <w:t>止日期</w:t>
            </w:r>
          </w:p>
        </w:tc>
        <w:tc>
          <w:tcPr>
            <w:tcW w:w="1036"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438" w:right="45"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清单页码</w:t>
            </w:r>
          </w:p>
        </w:tc>
      </w:tr>
      <w:tr>
        <w:tblPrEx>
          <w:tblLayout w:type="fixed"/>
        </w:tblPrEx>
        <w:trPr>
          <w:trHeight w:val="370" w:hRule="exact"/>
        </w:trPr>
        <w:tc>
          <w:tcPr>
            <w:tcW w:w="503" w:type="dxa"/>
            <w:vMerge w:val="restart"/>
            <w:tcBorders>
              <w:top w:val="single" w:color="000000" w:sz="4" w:space="0"/>
              <w:left w:val="single" w:color="000000" w:sz="4" w:space="0"/>
              <w:bottom w:val="single" w:color="000000" w:sz="4" w:space="0"/>
              <w:right w:val="single" w:color="000000" w:sz="4" w:space="0"/>
            </w:tcBorders>
          </w:tcPr>
          <w:p>
            <w:pPr>
              <w:pStyle w:val="64"/>
              <w:spacing w:before="9"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w:t>
            </w: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372"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370"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370" w:hRule="exact"/>
        </w:trPr>
        <w:tc>
          <w:tcPr>
            <w:tcW w:w="503" w:type="dxa"/>
            <w:vMerge w:val="restart"/>
            <w:tcBorders>
              <w:top w:val="single" w:color="000000" w:sz="4" w:space="0"/>
              <w:left w:val="single" w:color="000000" w:sz="4" w:space="0"/>
              <w:bottom w:val="single" w:color="000000" w:sz="4" w:space="0"/>
              <w:right w:val="single" w:color="000000" w:sz="4" w:space="0"/>
            </w:tcBorders>
          </w:tcPr>
          <w:p>
            <w:pPr>
              <w:pStyle w:val="64"/>
              <w:spacing w:before="6"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w:t>
            </w: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370"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370"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bl>
    <w:p>
      <w:pPr>
        <w:spacing w:line="390" w:lineRule="exact"/>
        <w:rPr>
          <w:rFonts w:hint="eastAsia" w:ascii="宋体" w:hAnsi="宋体" w:eastAsia="宋体" w:cs="宋体"/>
          <w:sz w:val="24"/>
          <w:highlight w:val="none"/>
        </w:rPr>
      </w:pPr>
      <w:r>
        <w:rPr>
          <w:rFonts w:hint="eastAsia" w:ascii="宋体" w:hAnsi="宋体" w:eastAsia="宋体" w:cs="宋体"/>
          <w:sz w:val="24"/>
          <w:highlight w:val="none"/>
        </w:rPr>
        <w:t>注：1、供应商在报价时必须对属于节能产品、环保产品（非强制类）清单内产品单独分项报价，并应于响应文件中提供属于清单内产品的证明资料（即所投产品在节能产品政府采购品目清单中的所在页，环保产品政府采购清单查询截图加盖供应商公章和认证的产品在报价时应提供有效环境标志产品认证证书、节能产品认证证书）。</w:t>
      </w:r>
    </w:p>
    <w:p>
      <w:pPr>
        <w:spacing w:line="3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2、本表可根据项目情况同格式扩展。</w:t>
      </w:r>
    </w:p>
    <w:p>
      <w:pPr>
        <w:ind w:firstLine="480" w:firstLineChars="200"/>
        <w:rPr>
          <w:rFonts w:hint="eastAsia" w:ascii="宋体" w:hAnsi="宋体" w:eastAsia="宋体" w:cs="宋体"/>
          <w:sz w:val="24"/>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2"/>
        <w:spacing w:line="460" w:lineRule="exact"/>
        <w:outlineLvl w:val="1"/>
        <w:rPr>
          <w:rFonts w:hint="eastAsia" w:ascii="宋体" w:hAnsi="宋体" w:eastAsia="宋体" w:cs="宋体"/>
          <w:highlight w:val="none"/>
        </w:rPr>
      </w:pPr>
      <w:bookmarkStart w:id="154" w:name="_Toc513034942"/>
      <w:bookmarkStart w:id="155" w:name="_Toc512676866"/>
      <w:bookmarkStart w:id="156" w:name="_Toc512345457"/>
      <w:r>
        <w:rPr>
          <w:rFonts w:hint="eastAsia" w:ascii="宋体" w:hAnsi="宋体" w:eastAsia="宋体" w:cs="宋体"/>
          <w:b/>
          <w:sz w:val="28"/>
          <w:szCs w:val="28"/>
          <w:highlight w:val="none"/>
        </w:rPr>
        <w:br w:type="page"/>
      </w:r>
      <w:bookmarkStart w:id="157" w:name="_Toc63332493"/>
      <w:bookmarkStart w:id="158" w:name="_Toc63332573"/>
      <w:r>
        <w:rPr>
          <w:rFonts w:hint="eastAsia" w:ascii="宋体" w:hAnsi="宋体" w:eastAsia="宋体" w:cs="宋体"/>
          <w:b/>
          <w:sz w:val="28"/>
          <w:szCs w:val="28"/>
          <w:highlight w:val="none"/>
        </w:rPr>
        <w:t>节能（非强制类产品）产品证明文件</w:t>
      </w:r>
      <w:bookmarkEnd w:id="154"/>
      <w:bookmarkEnd w:id="155"/>
      <w:bookmarkEnd w:id="156"/>
      <w:r>
        <w:rPr>
          <w:rFonts w:hint="eastAsia" w:ascii="宋体" w:hAnsi="宋体" w:eastAsia="宋体" w:cs="宋体"/>
          <w:b/>
          <w:sz w:val="28"/>
          <w:szCs w:val="28"/>
          <w:highlight w:val="none"/>
        </w:rPr>
        <w:t>（如有）</w:t>
      </w:r>
      <w:bookmarkEnd w:id="157"/>
      <w:bookmarkEnd w:id="158"/>
    </w:p>
    <w:tbl>
      <w:tblPr>
        <w:tblStyle w:val="31"/>
        <w:tblW w:w="9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Layout w:type="fixed"/>
        </w:tblPrEx>
        <w:trPr>
          <w:trHeight w:val="10599" w:hRule="atLeast"/>
          <w:jc w:val="center"/>
        </w:trPr>
        <w:tc>
          <w:tcPr>
            <w:tcW w:w="9758" w:type="dxa"/>
          </w:tcPr>
          <w:p>
            <w:pPr>
              <w:rPr>
                <w:rFonts w:hint="eastAsia" w:ascii="宋体" w:hAnsi="宋体" w:eastAsia="宋体" w:cs="宋体"/>
                <w:szCs w:val="21"/>
                <w:highlight w:val="none"/>
              </w:rPr>
            </w:pPr>
            <w:r>
              <w:rPr>
                <w:rFonts w:hint="eastAsia" w:ascii="宋体" w:hAnsi="宋体" w:eastAsia="宋体" w:cs="宋体"/>
                <w:sz w:val="24"/>
                <w:highlight w:val="none"/>
              </w:rPr>
              <w:t>标明所在位置（若有）。</w:t>
            </w:r>
          </w:p>
        </w:tc>
      </w:tr>
    </w:tbl>
    <w:p>
      <w:pPr>
        <w:widowControl/>
        <w:spacing w:line="360" w:lineRule="auto"/>
        <w:jc w:val="left"/>
        <w:rPr>
          <w:rFonts w:hint="eastAsia" w:ascii="宋体" w:hAnsi="宋体" w:eastAsia="宋体" w:cs="宋体"/>
          <w:sz w:val="24"/>
          <w:highlight w:val="none"/>
        </w:rPr>
      </w:pPr>
    </w:p>
    <w:p>
      <w:pPr>
        <w:ind w:firstLine="525" w:firstLineChars="250"/>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pStyle w:val="2"/>
        <w:spacing w:line="460" w:lineRule="exact"/>
        <w:rPr>
          <w:rFonts w:hint="eastAsia" w:ascii="宋体" w:hAnsi="宋体" w:eastAsia="宋体" w:cs="宋体"/>
          <w:b/>
          <w:sz w:val="28"/>
          <w:szCs w:val="28"/>
          <w:highlight w:val="none"/>
        </w:rPr>
      </w:pPr>
      <w:bookmarkStart w:id="159" w:name="_Toc513034943"/>
      <w:bookmarkStart w:id="160" w:name="_Toc512345458"/>
      <w:bookmarkStart w:id="161" w:name="_Toc512676867"/>
    </w:p>
    <w:p>
      <w:pPr>
        <w:pStyle w:val="2"/>
        <w:spacing w:line="460" w:lineRule="exac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bookmarkStart w:id="162" w:name="_Toc63332494"/>
      <w:bookmarkStart w:id="163" w:name="_Toc63332574"/>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十</w:t>
      </w:r>
      <w:r>
        <w:rPr>
          <w:rFonts w:hint="eastAsia" w:ascii="宋体" w:hAnsi="宋体" w:eastAsia="宋体" w:cs="宋体"/>
          <w:b/>
          <w:sz w:val="28"/>
          <w:szCs w:val="28"/>
          <w:highlight w:val="none"/>
        </w:rPr>
        <w:t>、环境标志产品加分明细表</w:t>
      </w:r>
      <w:bookmarkEnd w:id="159"/>
      <w:bookmarkEnd w:id="160"/>
      <w:bookmarkEnd w:id="161"/>
      <w:r>
        <w:rPr>
          <w:rFonts w:hint="eastAsia" w:ascii="宋体" w:hAnsi="宋体" w:eastAsia="宋体" w:cs="宋体"/>
          <w:b/>
          <w:sz w:val="28"/>
          <w:szCs w:val="28"/>
          <w:highlight w:val="none"/>
        </w:rPr>
        <w:t>（如有）</w:t>
      </w:r>
      <w:bookmarkEnd w:id="162"/>
      <w:bookmarkEnd w:id="163"/>
    </w:p>
    <w:p>
      <w:pPr>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注：若有，请按下表要求填报。</w:t>
      </w:r>
    </w:p>
    <w:tbl>
      <w:tblPr>
        <w:tblStyle w:val="31"/>
        <w:tblW w:w="9635" w:type="dxa"/>
        <w:tblInd w:w="98" w:type="dxa"/>
        <w:tblLayout w:type="fixed"/>
        <w:tblCellMar>
          <w:top w:w="0" w:type="dxa"/>
          <w:left w:w="0" w:type="dxa"/>
          <w:bottom w:w="0" w:type="dxa"/>
          <w:right w:w="0" w:type="dxa"/>
        </w:tblCellMar>
      </w:tblPr>
      <w:tblGrid>
        <w:gridCol w:w="511"/>
        <w:gridCol w:w="511"/>
        <w:gridCol w:w="1359"/>
        <w:gridCol w:w="835"/>
        <w:gridCol w:w="1122"/>
        <w:gridCol w:w="1173"/>
        <w:gridCol w:w="1435"/>
        <w:gridCol w:w="1640"/>
        <w:gridCol w:w="1049"/>
      </w:tblGrid>
      <w:tr>
        <w:tblPrEx>
          <w:tblLayout w:type="fixed"/>
        </w:tblPrEx>
        <w:trPr>
          <w:trHeight w:val="409" w:hRule="exact"/>
        </w:trPr>
        <w:tc>
          <w:tcPr>
            <w:tcW w:w="1022" w:type="dxa"/>
            <w:gridSpan w:val="2"/>
            <w:tcBorders>
              <w:top w:val="single" w:color="000000" w:sz="4" w:space="0"/>
              <w:left w:val="single" w:color="000000" w:sz="4" w:space="0"/>
              <w:bottom w:val="single" w:color="000000" w:sz="4" w:space="0"/>
              <w:right w:val="single" w:color="000000" w:sz="4" w:space="0"/>
            </w:tcBorders>
          </w:tcPr>
          <w:p>
            <w:pPr>
              <w:pStyle w:val="64"/>
              <w:spacing w:before="7"/>
              <w:ind w:left="565" w:right="354"/>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359" w:type="dxa"/>
            <w:tcBorders>
              <w:top w:val="single" w:color="000000" w:sz="4" w:space="0"/>
              <w:left w:val="single" w:color="000000" w:sz="4" w:space="0"/>
              <w:bottom w:val="single" w:color="000000" w:sz="4" w:space="0"/>
              <w:right w:val="single" w:color="000000" w:sz="4" w:space="0"/>
            </w:tcBorders>
          </w:tcPr>
          <w:p>
            <w:pPr>
              <w:pStyle w:val="64"/>
              <w:spacing w:before="7"/>
              <w:ind w:left="743" w:right="53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835" w:type="dxa"/>
            <w:tcBorders>
              <w:top w:val="single" w:color="000000" w:sz="4" w:space="0"/>
              <w:left w:val="single" w:color="000000" w:sz="4" w:space="0"/>
              <w:bottom w:val="single" w:color="000000" w:sz="4" w:space="0"/>
              <w:right w:val="single" w:color="000000" w:sz="4" w:space="0"/>
            </w:tcBorders>
          </w:tcPr>
          <w:p>
            <w:pPr>
              <w:pStyle w:val="64"/>
              <w:spacing w:before="7"/>
              <w:ind w:left="361" w:right="36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122" w:type="dxa"/>
            <w:tcBorders>
              <w:top w:val="single" w:color="000000" w:sz="4" w:space="0"/>
              <w:left w:val="single" w:color="000000" w:sz="4" w:space="0"/>
              <w:bottom w:val="single" w:color="000000" w:sz="4" w:space="0"/>
              <w:right w:val="single" w:color="000000" w:sz="4" w:space="0"/>
            </w:tcBorders>
          </w:tcPr>
          <w:p>
            <w:pPr>
              <w:pStyle w:val="64"/>
              <w:spacing w:before="7"/>
              <w:ind w:left="512" w:right="51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173" w:type="dxa"/>
            <w:tcBorders>
              <w:top w:val="single" w:color="000000" w:sz="4" w:space="0"/>
              <w:left w:val="single" w:color="000000" w:sz="4" w:space="0"/>
              <w:bottom w:val="single" w:color="000000" w:sz="4" w:space="0"/>
              <w:right w:val="single" w:color="000000" w:sz="4" w:space="0"/>
            </w:tcBorders>
          </w:tcPr>
          <w:p>
            <w:pPr>
              <w:pStyle w:val="64"/>
              <w:spacing w:before="7"/>
              <w:ind w:left="536" w:right="54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435" w:type="dxa"/>
            <w:tcBorders>
              <w:top w:val="single" w:color="000000" w:sz="4" w:space="0"/>
              <w:left w:val="single" w:color="000000" w:sz="4" w:space="0"/>
              <w:bottom w:val="single" w:color="000000" w:sz="4" w:space="0"/>
              <w:right w:val="single" w:color="000000" w:sz="4" w:space="0"/>
            </w:tcBorders>
          </w:tcPr>
          <w:p>
            <w:pPr>
              <w:pStyle w:val="64"/>
              <w:spacing w:before="7"/>
              <w:ind w:left="833" w:right="519"/>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640" w:type="dxa"/>
            <w:tcBorders>
              <w:top w:val="single" w:color="000000" w:sz="4" w:space="0"/>
              <w:left w:val="single" w:color="000000" w:sz="4" w:space="0"/>
              <w:bottom w:val="single" w:color="000000" w:sz="4" w:space="0"/>
              <w:right w:val="single" w:color="000000" w:sz="4" w:space="0"/>
            </w:tcBorders>
          </w:tcPr>
          <w:p>
            <w:pPr>
              <w:pStyle w:val="64"/>
              <w:spacing w:before="7"/>
              <w:ind w:left="942" w:right="62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049" w:type="dxa"/>
            <w:tcBorders>
              <w:top w:val="single" w:color="000000" w:sz="4" w:space="0"/>
              <w:left w:val="single" w:color="000000" w:sz="4" w:space="0"/>
              <w:bottom w:val="single" w:color="000000" w:sz="4" w:space="0"/>
              <w:right w:val="single" w:color="000000" w:sz="4" w:space="0"/>
            </w:tcBorders>
          </w:tcPr>
          <w:p>
            <w:pPr>
              <w:pStyle w:val="64"/>
              <w:spacing w:before="7"/>
              <w:ind w:left="577" w:right="37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r>
      <w:tr>
        <w:tblPrEx>
          <w:tblLayout w:type="fixed"/>
        </w:tblPrEx>
        <w:trPr>
          <w:trHeight w:val="808" w:hRule="exact"/>
        </w:trPr>
        <w:tc>
          <w:tcPr>
            <w:tcW w:w="511"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7"/>
              <w:rPr>
                <w:rFonts w:hint="eastAsia" w:ascii="宋体" w:hAnsi="宋体" w:eastAsia="宋体" w:cs="宋体"/>
                <w:color w:val="000000"/>
                <w:szCs w:val="21"/>
                <w:highlight w:val="none"/>
                <w:lang w:eastAsia="zh-CN"/>
              </w:rPr>
            </w:pPr>
          </w:p>
        </w:tc>
        <w:tc>
          <w:tcPr>
            <w:tcW w:w="511"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359"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28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w:t>
            </w:r>
            <w:r>
              <w:rPr>
                <w:rFonts w:hint="eastAsia" w:ascii="宋体" w:hAnsi="宋体" w:eastAsia="宋体" w:cs="宋体"/>
                <w:color w:val="000000"/>
                <w:spacing w:val="-3"/>
                <w:szCs w:val="21"/>
                <w:highlight w:val="none"/>
              </w:rPr>
              <w:t>名</w:t>
            </w:r>
            <w:r>
              <w:rPr>
                <w:rFonts w:hint="eastAsia" w:ascii="宋体" w:hAnsi="宋体" w:eastAsia="宋体" w:cs="宋体"/>
                <w:color w:val="000000"/>
                <w:szCs w:val="21"/>
                <w:highlight w:val="none"/>
              </w:rPr>
              <w:t>称</w:t>
            </w:r>
          </w:p>
        </w:tc>
        <w:tc>
          <w:tcPr>
            <w:tcW w:w="835"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27"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品牌型号</w:t>
            </w:r>
          </w:p>
        </w:tc>
        <w:tc>
          <w:tcPr>
            <w:tcW w:w="1122"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73" w:hanging="20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w:t>
            </w:r>
            <w:r>
              <w:rPr>
                <w:rFonts w:hint="eastAsia" w:ascii="宋体" w:hAnsi="宋体" w:eastAsia="宋体" w:cs="宋体"/>
                <w:color w:val="000000"/>
                <w:spacing w:val="-3"/>
                <w:szCs w:val="21"/>
                <w:highlight w:val="none"/>
              </w:rPr>
              <w:t>文</w:t>
            </w:r>
            <w:r>
              <w:rPr>
                <w:rFonts w:hint="eastAsia" w:ascii="宋体" w:hAnsi="宋体" w:eastAsia="宋体" w:cs="宋体"/>
                <w:color w:val="000000"/>
                <w:szCs w:val="21"/>
                <w:highlight w:val="none"/>
              </w:rPr>
              <w:t>件页码</w:t>
            </w:r>
          </w:p>
        </w:tc>
        <w:tc>
          <w:tcPr>
            <w:tcW w:w="1173"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8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w:t>
            </w:r>
            <w:r>
              <w:rPr>
                <w:rFonts w:hint="eastAsia" w:ascii="宋体" w:hAnsi="宋体" w:eastAsia="宋体" w:cs="宋体"/>
                <w:color w:val="000000"/>
                <w:spacing w:val="-3"/>
                <w:szCs w:val="21"/>
                <w:highlight w:val="none"/>
              </w:rPr>
              <w:t>金</w:t>
            </w:r>
            <w:r>
              <w:rPr>
                <w:rFonts w:hint="eastAsia" w:ascii="宋体" w:hAnsi="宋体" w:eastAsia="宋体" w:cs="宋体"/>
                <w:color w:val="000000"/>
                <w:szCs w:val="21"/>
                <w:highlight w:val="none"/>
              </w:rPr>
              <w:t>额</w:t>
            </w:r>
          </w:p>
        </w:tc>
        <w:tc>
          <w:tcPr>
            <w:tcW w:w="1435"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认证</w:t>
            </w:r>
            <w:r>
              <w:rPr>
                <w:rFonts w:hint="eastAsia" w:ascii="宋体" w:hAnsi="宋体" w:eastAsia="宋体" w:cs="宋体"/>
                <w:color w:val="000000"/>
                <w:spacing w:val="-3"/>
                <w:szCs w:val="21"/>
                <w:highlight w:val="none"/>
              </w:rPr>
              <w:t>证</w:t>
            </w:r>
            <w:r>
              <w:rPr>
                <w:rFonts w:hint="eastAsia" w:ascii="宋体" w:hAnsi="宋体" w:eastAsia="宋体" w:cs="宋体"/>
                <w:color w:val="000000"/>
                <w:szCs w:val="21"/>
                <w:highlight w:val="none"/>
              </w:rPr>
              <w:t>书</w:t>
            </w:r>
            <w:r>
              <w:rPr>
                <w:rFonts w:hint="eastAsia" w:ascii="宋体" w:hAnsi="宋体" w:eastAsia="宋体" w:cs="宋体"/>
                <w:color w:val="000000"/>
                <w:spacing w:val="-3"/>
                <w:szCs w:val="21"/>
                <w:highlight w:val="none"/>
              </w:rPr>
              <w:t>编</w:t>
            </w:r>
            <w:r>
              <w:rPr>
                <w:rFonts w:hint="eastAsia" w:ascii="宋体" w:hAnsi="宋体" w:eastAsia="宋体" w:cs="宋体"/>
                <w:color w:val="000000"/>
                <w:szCs w:val="21"/>
                <w:highlight w:val="none"/>
              </w:rPr>
              <w:t>号</w:t>
            </w:r>
          </w:p>
        </w:tc>
        <w:tc>
          <w:tcPr>
            <w:tcW w:w="1640"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750" w:hanging="62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证书</w:t>
            </w:r>
            <w:r>
              <w:rPr>
                <w:rFonts w:hint="eastAsia" w:ascii="宋体" w:hAnsi="宋体" w:eastAsia="宋体" w:cs="宋体"/>
                <w:color w:val="000000"/>
                <w:spacing w:val="-3"/>
                <w:szCs w:val="21"/>
                <w:highlight w:val="none"/>
              </w:rPr>
              <w:t>有</w:t>
            </w:r>
            <w:r>
              <w:rPr>
                <w:rFonts w:hint="eastAsia" w:ascii="宋体" w:hAnsi="宋体" w:eastAsia="宋体" w:cs="宋体"/>
                <w:color w:val="000000"/>
                <w:szCs w:val="21"/>
                <w:highlight w:val="none"/>
              </w:rPr>
              <w:t>效</w:t>
            </w:r>
            <w:r>
              <w:rPr>
                <w:rFonts w:hint="eastAsia" w:ascii="宋体" w:hAnsi="宋体" w:eastAsia="宋体" w:cs="宋体"/>
                <w:color w:val="000000"/>
                <w:spacing w:val="-3"/>
                <w:szCs w:val="21"/>
                <w:highlight w:val="none"/>
              </w:rPr>
              <w:t>截</w:t>
            </w:r>
            <w:r>
              <w:rPr>
                <w:rFonts w:hint="eastAsia" w:ascii="宋体" w:hAnsi="宋体" w:eastAsia="宋体" w:cs="宋体"/>
                <w:color w:val="000000"/>
                <w:szCs w:val="21"/>
                <w:highlight w:val="none"/>
              </w:rPr>
              <w:t>止日期</w:t>
            </w:r>
          </w:p>
        </w:tc>
        <w:tc>
          <w:tcPr>
            <w:tcW w:w="1049"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438" w:right="45"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清单页码</w:t>
            </w:r>
          </w:p>
        </w:tc>
      </w:tr>
      <w:tr>
        <w:tblPrEx>
          <w:tblLayout w:type="fixed"/>
        </w:tblPrEx>
        <w:trPr>
          <w:trHeight w:val="409" w:hRule="exact"/>
        </w:trPr>
        <w:tc>
          <w:tcPr>
            <w:tcW w:w="511" w:type="dxa"/>
            <w:vMerge w:val="restart"/>
            <w:tcBorders>
              <w:top w:val="single" w:color="000000" w:sz="4" w:space="0"/>
              <w:left w:val="single" w:color="000000" w:sz="4" w:space="0"/>
              <w:bottom w:val="single" w:color="000000" w:sz="4" w:space="0"/>
              <w:right w:val="single" w:color="000000" w:sz="4" w:space="0"/>
            </w:tcBorders>
          </w:tcPr>
          <w:p>
            <w:pPr>
              <w:pStyle w:val="64"/>
              <w:spacing w:before="9"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w:t>
            </w: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412"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409"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409" w:hRule="exact"/>
        </w:trPr>
        <w:tc>
          <w:tcPr>
            <w:tcW w:w="511" w:type="dxa"/>
            <w:vMerge w:val="restart"/>
            <w:tcBorders>
              <w:top w:val="single" w:color="000000" w:sz="4" w:space="0"/>
              <w:left w:val="single" w:color="000000" w:sz="4" w:space="0"/>
              <w:bottom w:val="single" w:color="000000" w:sz="4" w:space="0"/>
              <w:right w:val="single" w:color="000000" w:sz="4" w:space="0"/>
            </w:tcBorders>
          </w:tcPr>
          <w:p>
            <w:pPr>
              <w:pStyle w:val="64"/>
              <w:spacing w:before="6"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w:t>
            </w: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409"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Layout w:type="fixed"/>
        </w:tblPrEx>
        <w:trPr>
          <w:trHeight w:val="421"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bl>
    <w:p>
      <w:pPr>
        <w:spacing w:line="390" w:lineRule="exact"/>
        <w:rPr>
          <w:rFonts w:hint="eastAsia" w:ascii="宋体" w:hAnsi="宋体" w:eastAsia="宋体" w:cs="宋体"/>
          <w:sz w:val="24"/>
          <w:highlight w:val="none"/>
        </w:rPr>
      </w:pPr>
      <w:r>
        <w:rPr>
          <w:rFonts w:hint="eastAsia" w:ascii="宋体" w:hAnsi="宋体" w:eastAsia="宋体" w:cs="宋体"/>
          <w:sz w:val="24"/>
          <w:highlight w:val="none"/>
        </w:rPr>
        <w:t>注：1、供应商在报价时必须对属于节能产品、环保产品（非强制类）清单内产品单独分项报价，并应于响应文件中提供属于清单内产品的证明资料（即所投产品在节能产品政府采购品目清单中的所在页，环保产品政府采购清单查询截图加盖供应商公章和认证的产品在报价时应提供有效环境标志产品认证证书、节能产品认证证书）。</w:t>
      </w:r>
    </w:p>
    <w:p>
      <w:pPr>
        <w:spacing w:line="3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2、本表可根据项目情况同格式扩展。</w:t>
      </w:r>
    </w:p>
    <w:p>
      <w:pPr>
        <w:ind w:firstLine="480" w:firstLineChars="200"/>
        <w:rPr>
          <w:rFonts w:hint="eastAsia" w:ascii="宋体" w:hAnsi="宋体" w:eastAsia="宋体" w:cs="宋体"/>
          <w:sz w:val="24"/>
          <w:highlight w:val="none"/>
        </w:rPr>
      </w:pPr>
    </w:p>
    <w:p>
      <w:pPr>
        <w:pStyle w:val="2"/>
        <w:spacing w:line="460" w:lineRule="exact"/>
        <w:rPr>
          <w:rFonts w:hint="eastAsia" w:ascii="宋体" w:hAnsi="宋体" w:eastAsia="宋体" w:cs="宋体"/>
          <w:b/>
          <w:sz w:val="28"/>
          <w:szCs w:val="28"/>
          <w:highlight w:val="none"/>
        </w:rPr>
      </w:pPr>
      <w:bookmarkStart w:id="164" w:name="_Toc512345459"/>
      <w:bookmarkStart w:id="165" w:name="_Toc513034944"/>
      <w:bookmarkStart w:id="166" w:name="_Toc512676868"/>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bookmarkStart w:id="167" w:name="_Toc63332495"/>
      <w:bookmarkStart w:id="168" w:name="_Toc63332575"/>
      <w:r>
        <w:rPr>
          <w:rFonts w:hint="eastAsia" w:ascii="宋体" w:hAnsi="宋体" w:eastAsia="宋体" w:cs="宋体"/>
          <w:b/>
          <w:sz w:val="28"/>
          <w:szCs w:val="28"/>
          <w:highlight w:val="none"/>
        </w:rPr>
        <w:t>环境标志产品证明文件</w:t>
      </w:r>
      <w:bookmarkEnd w:id="164"/>
      <w:bookmarkEnd w:id="165"/>
      <w:bookmarkEnd w:id="166"/>
      <w:r>
        <w:rPr>
          <w:rFonts w:hint="eastAsia" w:ascii="宋体" w:hAnsi="宋体" w:eastAsia="宋体" w:cs="宋体"/>
          <w:b/>
          <w:sz w:val="28"/>
          <w:szCs w:val="28"/>
          <w:highlight w:val="none"/>
        </w:rPr>
        <w:t>（如有）</w:t>
      </w:r>
      <w:bookmarkEnd w:id="167"/>
      <w:bookmarkEnd w:id="168"/>
    </w:p>
    <w:p>
      <w:pPr>
        <w:spacing w:line="380" w:lineRule="exact"/>
        <w:jc w:val="center"/>
        <w:rPr>
          <w:rFonts w:hint="eastAsia" w:ascii="宋体" w:hAnsi="宋体" w:eastAsia="宋体" w:cs="宋体"/>
          <w:b/>
          <w:sz w:val="32"/>
          <w:szCs w:val="32"/>
          <w:highlight w:val="none"/>
        </w:rPr>
      </w:pPr>
    </w:p>
    <w:tbl>
      <w:tblPr>
        <w:tblStyle w:val="31"/>
        <w:tblW w:w="9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Layout w:type="fixed"/>
        </w:tblPrEx>
        <w:trPr>
          <w:trHeight w:val="10599" w:hRule="atLeast"/>
          <w:jc w:val="center"/>
        </w:trPr>
        <w:tc>
          <w:tcPr>
            <w:tcW w:w="9758" w:type="dxa"/>
          </w:tcPr>
          <w:p>
            <w:pPr>
              <w:rPr>
                <w:rFonts w:hint="eastAsia" w:ascii="宋体" w:hAnsi="宋体" w:eastAsia="宋体" w:cs="宋体"/>
                <w:szCs w:val="21"/>
                <w:highlight w:val="none"/>
              </w:rPr>
            </w:pPr>
            <w:r>
              <w:rPr>
                <w:rFonts w:hint="eastAsia" w:ascii="宋体" w:hAnsi="宋体" w:eastAsia="宋体" w:cs="宋体"/>
                <w:sz w:val="24"/>
                <w:highlight w:val="none"/>
              </w:rPr>
              <w:t>标明所在位置（若有）。</w:t>
            </w:r>
          </w:p>
        </w:tc>
      </w:tr>
    </w:tbl>
    <w:p>
      <w:pPr>
        <w:pStyle w:val="14"/>
        <w:spacing w:line="500" w:lineRule="exact"/>
        <w:ind w:left="0" w:leftChars="0" w:firstLine="0" w:firstLineChars="0"/>
        <w:outlineLvl w:val="1"/>
        <w:rPr>
          <w:rFonts w:hint="eastAsia" w:ascii="宋体" w:hAnsi="宋体" w:eastAsia="宋体" w:cs="宋体"/>
          <w:szCs w:val="21"/>
          <w:highlight w:val="none"/>
        </w:rPr>
      </w:pPr>
    </w:p>
    <w:p>
      <w:pPr>
        <w:pStyle w:val="17"/>
        <w:rPr>
          <w:rFonts w:hint="eastAsia" w:ascii="宋体" w:hAnsi="宋体" w:eastAsia="宋体" w:cs="宋体"/>
          <w:highlight w:val="none"/>
        </w:rPr>
      </w:pPr>
      <w:r>
        <w:rPr>
          <w:rFonts w:hint="eastAsia" w:ascii="宋体" w:hAnsi="宋体" w:eastAsia="宋体" w:cs="宋体"/>
          <w:highlight w:val="none"/>
        </w:rPr>
        <w:br w:type="page"/>
      </w:r>
    </w:p>
    <w:p>
      <w:pPr>
        <w:pStyle w:val="14"/>
        <w:spacing w:line="500" w:lineRule="exact"/>
        <w:ind w:left="0" w:leftChars="0" w:firstLine="0" w:firstLineChars="0"/>
        <w:outlineLvl w:val="1"/>
        <w:rPr>
          <w:rFonts w:hint="eastAsia" w:ascii="宋体" w:hAnsi="宋体" w:eastAsia="宋体" w:cs="宋体"/>
          <w:b/>
          <w:bCs/>
          <w:sz w:val="32"/>
          <w:szCs w:val="32"/>
          <w:highlight w:val="none"/>
        </w:rPr>
      </w:pPr>
      <w:bookmarkStart w:id="169" w:name="_Toc63332576"/>
      <w:bookmarkStart w:id="170" w:name="_Toc63332496"/>
      <w:r>
        <w:rPr>
          <w:rFonts w:hint="eastAsia" w:ascii="宋体" w:hAnsi="宋体" w:eastAsia="宋体" w:cs="宋体"/>
          <w:b/>
          <w:bCs/>
          <w:sz w:val="32"/>
          <w:szCs w:val="32"/>
          <w:highlight w:val="none"/>
        </w:rPr>
        <w:t>附件</w:t>
      </w:r>
      <w:r>
        <w:rPr>
          <w:rFonts w:hint="eastAsia" w:ascii="宋体" w:hAnsi="宋体" w:eastAsia="宋体" w:cs="宋体"/>
          <w:b/>
          <w:bCs/>
          <w:sz w:val="32"/>
          <w:szCs w:val="32"/>
          <w:highlight w:val="none"/>
          <w:lang w:eastAsia="zh-CN"/>
        </w:rPr>
        <w:t>十一</w:t>
      </w:r>
      <w:r>
        <w:rPr>
          <w:rFonts w:hint="eastAsia" w:ascii="宋体" w:hAnsi="宋体" w:eastAsia="宋体" w:cs="宋体"/>
          <w:b/>
          <w:bCs/>
          <w:sz w:val="32"/>
          <w:szCs w:val="32"/>
          <w:highlight w:val="none"/>
        </w:rPr>
        <w:t>：</w:t>
      </w:r>
    </w:p>
    <w:p>
      <w:pPr>
        <w:pStyle w:val="14"/>
        <w:spacing w:line="500" w:lineRule="exact"/>
        <w:ind w:left="0" w:leftChars="0" w:firstLine="0" w:firstLineChars="0"/>
        <w:jc w:val="center"/>
        <w:outlineLvl w:val="1"/>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供应商</w:t>
      </w:r>
      <w:bookmarkEnd w:id="169"/>
      <w:bookmarkEnd w:id="170"/>
      <w:r>
        <w:rPr>
          <w:rFonts w:hint="eastAsia" w:ascii="宋体" w:hAnsi="宋体" w:eastAsia="宋体" w:cs="宋体"/>
          <w:b/>
          <w:bCs/>
          <w:sz w:val="32"/>
          <w:szCs w:val="32"/>
          <w:highlight w:val="none"/>
          <w:lang w:eastAsia="zh-CN"/>
        </w:rPr>
        <w:t>基本情况表</w:t>
      </w:r>
    </w:p>
    <w:p>
      <w:pPr>
        <w:pStyle w:val="14"/>
        <w:spacing w:line="500" w:lineRule="exact"/>
        <w:ind w:left="0" w:leftChars="0" w:firstLine="0" w:firstLineChars="0"/>
        <w:jc w:val="center"/>
        <w:outlineLvl w:val="1"/>
        <w:rPr>
          <w:rFonts w:hint="eastAsia" w:ascii="宋体" w:hAnsi="宋体" w:eastAsia="宋体" w:cs="宋体"/>
          <w:b/>
          <w:bCs/>
          <w:sz w:val="32"/>
          <w:szCs w:val="32"/>
          <w:highlight w:val="none"/>
          <w:lang w:eastAsia="zh-CN"/>
        </w:rPr>
      </w:pPr>
    </w:p>
    <w:tbl>
      <w:tblPr>
        <w:tblStyle w:val="68"/>
        <w:tblW w:w="88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939"/>
        <w:gridCol w:w="1066"/>
        <w:gridCol w:w="1039"/>
        <w:gridCol w:w="296"/>
        <w:gridCol w:w="204"/>
        <w:gridCol w:w="1301"/>
        <w:gridCol w:w="274"/>
        <w:gridCol w:w="740"/>
        <w:gridCol w:w="1479"/>
      </w:tblGrid>
      <w:tr>
        <w:tblPrEx>
          <w:tblLayout w:type="fixed"/>
        </w:tblPrEx>
        <w:trPr>
          <w:trHeight w:val="568"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bookmarkStart w:id="171" w:name="_Toc403501696"/>
            <w:bookmarkStart w:id="172" w:name="_Toc432497604"/>
            <w:bookmarkStart w:id="173" w:name="_Toc409016138"/>
            <w:bookmarkStart w:id="174" w:name="_Toc403502135"/>
            <w:bookmarkStart w:id="175" w:name="_Toc14252"/>
            <w:bookmarkStart w:id="176" w:name="_Toc439664507"/>
            <w:bookmarkStart w:id="177" w:name="_Toc15780"/>
            <w:bookmarkStart w:id="178" w:name="_Toc456198643"/>
            <w:bookmarkStart w:id="179" w:name="_Toc457898985"/>
            <w:bookmarkStart w:id="180" w:name="_Toc439681709"/>
            <w:r>
              <w:rPr>
                <w:rFonts w:hint="eastAsia" w:ascii="宋体" w:hAnsi="宋体" w:eastAsia="宋体" w:cs="宋体"/>
                <w:color w:val="auto"/>
                <w:sz w:val="21"/>
                <w:highlight w:val="none"/>
                <w:lang w:eastAsia="en-US"/>
              </w:rPr>
              <w:t>供应商名称</w:t>
            </w:r>
          </w:p>
        </w:tc>
        <w:tc>
          <w:tcPr>
            <w:tcW w:w="7338" w:type="dxa"/>
            <w:gridSpan w:val="9"/>
          </w:tcPr>
          <w:p>
            <w:pPr>
              <w:pStyle w:val="64"/>
              <w:autoSpaceDE w:val="0"/>
              <w:autoSpaceDN w:val="0"/>
              <w:spacing w:before="80"/>
              <w:ind w:left="106"/>
              <w:jc w:val="center"/>
              <w:rPr>
                <w:rFonts w:hint="eastAsia" w:ascii="宋体" w:hAnsi="宋体" w:eastAsia="宋体" w:cs="宋体"/>
                <w:color w:val="auto"/>
                <w:sz w:val="21"/>
                <w:highlight w:val="none"/>
                <w:lang w:eastAsia="zh-CN"/>
              </w:rPr>
            </w:pPr>
          </w:p>
        </w:tc>
      </w:tr>
      <w:tr>
        <w:tblPrEx>
          <w:tblLayout w:type="fixed"/>
        </w:tblPrEx>
        <w:trPr>
          <w:trHeight w:val="566"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注册地址</w:t>
            </w:r>
          </w:p>
        </w:tc>
        <w:tc>
          <w:tcPr>
            <w:tcW w:w="3544" w:type="dxa"/>
            <w:gridSpan w:val="5"/>
          </w:tcPr>
          <w:p>
            <w:pPr>
              <w:pStyle w:val="64"/>
              <w:autoSpaceDE w:val="0"/>
              <w:autoSpaceDN w:val="0"/>
              <w:spacing w:before="80"/>
              <w:ind w:left="110"/>
              <w:jc w:val="center"/>
              <w:rPr>
                <w:rFonts w:hint="eastAsia" w:ascii="宋体" w:hAnsi="宋体" w:eastAsia="宋体" w:cs="宋体"/>
                <w:color w:val="auto"/>
                <w:sz w:val="21"/>
                <w:highlight w:val="none"/>
                <w:lang w:eastAsia="zh-CN"/>
              </w:rPr>
            </w:pPr>
          </w:p>
        </w:tc>
        <w:tc>
          <w:tcPr>
            <w:tcW w:w="1301" w:type="dxa"/>
          </w:tcPr>
          <w:p>
            <w:pPr>
              <w:pStyle w:val="64"/>
              <w:autoSpaceDE w:val="0"/>
              <w:autoSpaceDN w:val="0"/>
              <w:spacing w:before="80"/>
              <w:ind w:left="231" w:right="12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邮政编码</w:t>
            </w:r>
          </w:p>
        </w:tc>
        <w:tc>
          <w:tcPr>
            <w:tcW w:w="2493" w:type="dxa"/>
            <w:gridSpan w:val="3"/>
          </w:tcPr>
          <w:p>
            <w:pPr>
              <w:pStyle w:val="64"/>
              <w:autoSpaceDE w:val="0"/>
              <w:autoSpaceDN w:val="0"/>
              <w:spacing w:before="80"/>
              <w:ind w:left="109"/>
              <w:jc w:val="center"/>
              <w:rPr>
                <w:rFonts w:hint="eastAsia" w:ascii="宋体" w:hAnsi="宋体" w:eastAsia="宋体" w:cs="宋体"/>
                <w:color w:val="auto"/>
                <w:sz w:val="21"/>
                <w:highlight w:val="none"/>
                <w:lang w:eastAsia="zh-CN"/>
              </w:rPr>
            </w:pPr>
          </w:p>
        </w:tc>
      </w:tr>
      <w:tr>
        <w:tblPrEx>
          <w:tblLayout w:type="fixed"/>
        </w:tblPrEx>
        <w:trPr>
          <w:trHeight w:val="568" w:hRule="atLeast"/>
          <w:jc w:val="center"/>
        </w:trPr>
        <w:tc>
          <w:tcPr>
            <w:tcW w:w="1552" w:type="dxa"/>
            <w:vMerge w:val="restart"/>
          </w:tcPr>
          <w:p>
            <w:pPr>
              <w:pStyle w:val="64"/>
              <w:autoSpaceDE w:val="0"/>
              <w:autoSpaceDN w:val="0"/>
              <w:spacing w:before="12"/>
              <w:rPr>
                <w:rFonts w:hint="eastAsia" w:ascii="宋体" w:hAnsi="宋体" w:eastAsia="宋体" w:cs="宋体"/>
                <w:color w:val="auto"/>
                <w:sz w:val="28"/>
                <w:highlight w:val="none"/>
                <w:lang w:eastAsia="en-US"/>
              </w:rPr>
            </w:pPr>
          </w:p>
          <w:p>
            <w:pPr>
              <w:pStyle w:val="64"/>
              <w:autoSpaceDE w:val="0"/>
              <w:autoSpaceDN w:val="0"/>
              <w:ind w:left="323"/>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联系方式</w:t>
            </w:r>
          </w:p>
        </w:tc>
        <w:tc>
          <w:tcPr>
            <w:tcW w:w="939" w:type="dxa"/>
          </w:tcPr>
          <w:p>
            <w:pPr>
              <w:pStyle w:val="64"/>
              <w:autoSpaceDE w:val="0"/>
              <w:autoSpaceDN w:val="0"/>
              <w:spacing w:before="80"/>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联系人</w:t>
            </w:r>
          </w:p>
        </w:tc>
        <w:tc>
          <w:tcPr>
            <w:tcW w:w="2605" w:type="dxa"/>
            <w:gridSpan w:val="4"/>
          </w:tcPr>
          <w:p>
            <w:pPr>
              <w:pStyle w:val="64"/>
              <w:autoSpaceDE w:val="0"/>
              <w:autoSpaceDN w:val="0"/>
              <w:spacing w:before="80"/>
              <w:ind w:left="108"/>
              <w:jc w:val="center"/>
              <w:rPr>
                <w:rFonts w:hint="eastAsia" w:ascii="宋体" w:hAnsi="宋体" w:eastAsia="宋体" w:cs="宋体"/>
                <w:color w:val="auto"/>
                <w:sz w:val="21"/>
                <w:highlight w:val="none"/>
                <w:lang w:eastAsia="zh-CN"/>
              </w:rPr>
            </w:pPr>
          </w:p>
        </w:tc>
        <w:tc>
          <w:tcPr>
            <w:tcW w:w="1301" w:type="dxa"/>
          </w:tcPr>
          <w:p>
            <w:pPr>
              <w:pStyle w:val="64"/>
              <w:autoSpaceDE w:val="0"/>
              <w:autoSpaceDN w:val="0"/>
              <w:spacing w:before="80"/>
              <w:ind w:left="231" w:right="121"/>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电话</w:t>
            </w:r>
          </w:p>
        </w:tc>
        <w:tc>
          <w:tcPr>
            <w:tcW w:w="2493" w:type="dxa"/>
            <w:gridSpan w:val="3"/>
          </w:tcPr>
          <w:p>
            <w:pPr>
              <w:pStyle w:val="64"/>
              <w:autoSpaceDE w:val="0"/>
              <w:autoSpaceDN w:val="0"/>
              <w:spacing w:before="80"/>
              <w:ind w:left="109"/>
              <w:jc w:val="center"/>
              <w:rPr>
                <w:rFonts w:hint="eastAsia" w:ascii="宋体" w:hAnsi="宋体" w:eastAsia="宋体" w:cs="宋体"/>
                <w:color w:val="auto"/>
                <w:sz w:val="21"/>
                <w:highlight w:val="none"/>
                <w:lang w:eastAsia="zh-CN"/>
              </w:rPr>
            </w:pPr>
          </w:p>
        </w:tc>
      </w:tr>
      <w:tr>
        <w:tblPrEx>
          <w:tblLayout w:type="fixed"/>
        </w:tblPrEx>
        <w:trPr>
          <w:trHeight w:val="565" w:hRule="atLeast"/>
          <w:jc w:val="center"/>
        </w:trPr>
        <w:tc>
          <w:tcPr>
            <w:tcW w:w="1552"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939" w:type="dxa"/>
          </w:tcPr>
          <w:p>
            <w:pPr>
              <w:pStyle w:val="64"/>
              <w:autoSpaceDE w:val="0"/>
              <w:autoSpaceDN w:val="0"/>
              <w:spacing w:before="80"/>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传真</w:t>
            </w:r>
          </w:p>
        </w:tc>
        <w:tc>
          <w:tcPr>
            <w:tcW w:w="2605" w:type="dxa"/>
            <w:gridSpan w:val="4"/>
          </w:tcPr>
          <w:p>
            <w:pPr>
              <w:pStyle w:val="64"/>
              <w:autoSpaceDE w:val="0"/>
              <w:autoSpaceDN w:val="0"/>
              <w:spacing w:before="80"/>
              <w:ind w:left="108"/>
              <w:jc w:val="center"/>
              <w:rPr>
                <w:rFonts w:hint="eastAsia" w:ascii="宋体" w:hAnsi="宋体" w:eastAsia="宋体" w:cs="宋体"/>
                <w:color w:val="auto"/>
                <w:sz w:val="21"/>
                <w:highlight w:val="none"/>
                <w:lang w:eastAsia="zh-CN"/>
              </w:rPr>
            </w:pPr>
          </w:p>
        </w:tc>
        <w:tc>
          <w:tcPr>
            <w:tcW w:w="1301" w:type="dxa"/>
          </w:tcPr>
          <w:p>
            <w:pPr>
              <w:pStyle w:val="64"/>
              <w:autoSpaceDE w:val="0"/>
              <w:autoSpaceDN w:val="0"/>
              <w:spacing w:before="80"/>
              <w:ind w:left="231" w:right="121"/>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网址</w:t>
            </w:r>
          </w:p>
        </w:tc>
        <w:tc>
          <w:tcPr>
            <w:tcW w:w="2493" w:type="dxa"/>
            <w:gridSpan w:val="3"/>
          </w:tcPr>
          <w:p>
            <w:pPr>
              <w:pStyle w:val="64"/>
              <w:autoSpaceDE w:val="0"/>
              <w:autoSpaceDN w:val="0"/>
              <w:spacing w:before="80"/>
              <w:ind w:left="109"/>
              <w:jc w:val="center"/>
              <w:rPr>
                <w:rFonts w:hint="eastAsia" w:ascii="宋体" w:hAnsi="宋体" w:eastAsia="宋体" w:cs="宋体"/>
                <w:color w:val="auto"/>
                <w:sz w:val="21"/>
                <w:highlight w:val="none"/>
                <w:lang w:eastAsia="zh-CN"/>
              </w:rPr>
            </w:pPr>
          </w:p>
        </w:tc>
      </w:tr>
      <w:tr>
        <w:tblPrEx>
          <w:tblLayout w:type="fixed"/>
        </w:tblPrEx>
        <w:trPr>
          <w:trHeight w:val="566"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组织结构</w:t>
            </w:r>
          </w:p>
        </w:tc>
        <w:tc>
          <w:tcPr>
            <w:tcW w:w="7338" w:type="dxa"/>
            <w:gridSpan w:val="9"/>
          </w:tcPr>
          <w:p>
            <w:pPr>
              <w:pStyle w:val="64"/>
              <w:autoSpaceDE w:val="0"/>
              <w:autoSpaceDN w:val="0"/>
              <w:spacing w:before="80"/>
              <w:ind w:left="106"/>
              <w:jc w:val="center"/>
              <w:rPr>
                <w:rFonts w:hint="eastAsia" w:ascii="宋体" w:hAnsi="宋体" w:eastAsia="宋体" w:cs="宋体"/>
                <w:color w:val="auto"/>
                <w:sz w:val="21"/>
                <w:highlight w:val="none"/>
                <w:lang w:eastAsia="zh-CN"/>
              </w:rPr>
            </w:pPr>
          </w:p>
        </w:tc>
      </w:tr>
      <w:tr>
        <w:tblPrEx>
          <w:tblLayout w:type="fixed"/>
        </w:tblPrEx>
        <w:trPr>
          <w:trHeight w:val="568" w:hRule="atLeast"/>
          <w:jc w:val="center"/>
        </w:trPr>
        <w:tc>
          <w:tcPr>
            <w:tcW w:w="1552" w:type="dxa"/>
          </w:tcPr>
          <w:p>
            <w:pPr>
              <w:pStyle w:val="64"/>
              <w:autoSpaceDE w:val="0"/>
              <w:autoSpaceDN w:val="0"/>
              <w:spacing w:before="82"/>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法定代表人</w:t>
            </w:r>
          </w:p>
        </w:tc>
        <w:tc>
          <w:tcPr>
            <w:tcW w:w="939" w:type="dxa"/>
          </w:tcPr>
          <w:p>
            <w:pPr>
              <w:pStyle w:val="64"/>
              <w:autoSpaceDE w:val="0"/>
              <w:autoSpaceDN w:val="0"/>
              <w:spacing w:before="82"/>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姓名</w:t>
            </w:r>
          </w:p>
        </w:tc>
        <w:tc>
          <w:tcPr>
            <w:tcW w:w="1066" w:type="dxa"/>
          </w:tcPr>
          <w:p>
            <w:pPr>
              <w:pStyle w:val="64"/>
              <w:autoSpaceDE w:val="0"/>
              <w:autoSpaceDN w:val="0"/>
              <w:spacing w:before="82"/>
              <w:ind w:right="396"/>
              <w:jc w:val="right"/>
              <w:rPr>
                <w:rFonts w:hint="eastAsia" w:ascii="宋体" w:hAnsi="宋体" w:eastAsia="宋体" w:cs="宋体"/>
                <w:color w:val="auto"/>
                <w:sz w:val="21"/>
                <w:highlight w:val="none"/>
                <w:lang w:eastAsia="zh-CN"/>
              </w:rPr>
            </w:pPr>
          </w:p>
        </w:tc>
        <w:tc>
          <w:tcPr>
            <w:tcW w:w="1335" w:type="dxa"/>
            <w:gridSpan w:val="2"/>
          </w:tcPr>
          <w:p>
            <w:pPr>
              <w:pStyle w:val="64"/>
              <w:autoSpaceDE w:val="0"/>
              <w:autoSpaceDN w:val="0"/>
              <w:spacing w:before="82"/>
              <w:ind w:left="21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技术职称</w:t>
            </w:r>
          </w:p>
        </w:tc>
        <w:tc>
          <w:tcPr>
            <w:tcW w:w="1779" w:type="dxa"/>
            <w:gridSpan w:val="3"/>
          </w:tcPr>
          <w:p>
            <w:pPr>
              <w:pStyle w:val="64"/>
              <w:autoSpaceDE w:val="0"/>
              <w:autoSpaceDN w:val="0"/>
              <w:spacing w:before="82"/>
              <w:ind w:left="103"/>
              <w:jc w:val="center"/>
              <w:rPr>
                <w:rFonts w:hint="eastAsia" w:ascii="宋体" w:hAnsi="宋体" w:eastAsia="宋体" w:cs="宋体"/>
                <w:color w:val="auto"/>
                <w:sz w:val="21"/>
                <w:highlight w:val="none"/>
                <w:lang w:eastAsia="zh-CN"/>
              </w:rPr>
            </w:pPr>
          </w:p>
        </w:tc>
        <w:tc>
          <w:tcPr>
            <w:tcW w:w="740" w:type="dxa"/>
          </w:tcPr>
          <w:p>
            <w:pPr>
              <w:pStyle w:val="64"/>
              <w:autoSpaceDE w:val="0"/>
              <w:autoSpaceDN w:val="0"/>
              <w:spacing w:before="82"/>
              <w:ind w:right="32"/>
              <w:jc w:val="righ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电话</w:t>
            </w:r>
          </w:p>
        </w:tc>
        <w:tc>
          <w:tcPr>
            <w:tcW w:w="1479" w:type="dxa"/>
          </w:tcPr>
          <w:p>
            <w:pPr>
              <w:pStyle w:val="64"/>
              <w:autoSpaceDE w:val="0"/>
              <w:autoSpaceDN w:val="0"/>
              <w:spacing w:before="82"/>
              <w:ind w:right="596"/>
              <w:jc w:val="right"/>
              <w:rPr>
                <w:rFonts w:hint="eastAsia" w:ascii="宋体" w:hAnsi="宋体" w:eastAsia="宋体" w:cs="宋体"/>
                <w:color w:val="auto"/>
                <w:sz w:val="21"/>
                <w:highlight w:val="none"/>
                <w:lang w:eastAsia="zh-CN"/>
              </w:rPr>
            </w:pPr>
          </w:p>
        </w:tc>
      </w:tr>
      <w:tr>
        <w:tblPrEx>
          <w:tblLayout w:type="fixed"/>
        </w:tblPrEx>
        <w:trPr>
          <w:trHeight w:val="566"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技术负责人</w:t>
            </w:r>
          </w:p>
        </w:tc>
        <w:tc>
          <w:tcPr>
            <w:tcW w:w="939" w:type="dxa"/>
          </w:tcPr>
          <w:p>
            <w:pPr>
              <w:pStyle w:val="64"/>
              <w:autoSpaceDE w:val="0"/>
              <w:autoSpaceDN w:val="0"/>
              <w:spacing w:before="80"/>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姓名</w:t>
            </w:r>
          </w:p>
        </w:tc>
        <w:tc>
          <w:tcPr>
            <w:tcW w:w="1066" w:type="dxa"/>
          </w:tcPr>
          <w:p>
            <w:pPr>
              <w:pStyle w:val="64"/>
              <w:autoSpaceDE w:val="0"/>
              <w:autoSpaceDN w:val="0"/>
              <w:spacing w:before="80"/>
              <w:ind w:right="396"/>
              <w:jc w:val="right"/>
              <w:rPr>
                <w:rFonts w:hint="eastAsia" w:ascii="宋体" w:hAnsi="宋体" w:eastAsia="宋体" w:cs="宋体"/>
                <w:color w:val="auto"/>
                <w:sz w:val="21"/>
                <w:highlight w:val="none"/>
                <w:lang w:eastAsia="zh-CN"/>
              </w:rPr>
            </w:pPr>
          </w:p>
        </w:tc>
        <w:tc>
          <w:tcPr>
            <w:tcW w:w="1335" w:type="dxa"/>
            <w:gridSpan w:val="2"/>
          </w:tcPr>
          <w:p>
            <w:pPr>
              <w:pStyle w:val="64"/>
              <w:autoSpaceDE w:val="0"/>
              <w:autoSpaceDN w:val="0"/>
              <w:spacing w:before="80"/>
              <w:ind w:left="21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技术职称</w:t>
            </w:r>
          </w:p>
        </w:tc>
        <w:tc>
          <w:tcPr>
            <w:tcW w:w="1779" w:type="dxa"/>
            <w:gridSpan w:val="3"/>
          </w:tcPr>
          <w:p>
            <w:pPr>
              <w:pStyle w:val="64"/>
              <w:autoSpaceDE w:val="0"/>
              <w:autoSpaceDN w:val="0"/>
              <w:spacing w:before="80"/>
              <w:ind w:left="103"/>
              <w:jc w:val="center"/>
              <w:rPr>
                <w:rFonts w:hint="eastAsia" w:ascii="宋体" w:hAnsi="宋体" w:eastAsia="宋体" w:cs="宋体"/>
                <w:color w:val="auto"/>
                <w:sz w:val="21"/>
                <w:highlight w:val="none"/>
                <w:lang w:eastAsia="zh-CN"/>
              </w:rPr>
            </w:pPr>
          </w:p>
        </w:tc>
        <w:tc>
          <w:tcPr>
            <w:tcW w:w="740" w:type="dxa"/>
          </w:tcPr>
          <w:p>
            <w:pPr>
              <w:pStyle w:val="64"/>
              <w:autoSpaceDE w:val="0"/>
              <w:autoSpaceDN w:val="0"/>
              <w:spacing w:before="80"/>
              <w:ind w:right="32"/>
              <w:jc w:val="righ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电话</w:t>
            </w:r>
          </w:p>
        </w:tc>
        <w:tc>
          <w:tcPr>
            <w:tcW w:w="1479" w:type="dxa"/>
          </w:tcPr>
          <w:p>
            <w:pPr>
              <w:pStyle w:val="64"/>
              <w:autoSpaceDE w:val="0"/>
              <w:autoSpaceDN w:val="0"/>
              <w:spacing w:before="80"/>
              <w:ind w:right="596"/>
              <w:jc w:val="right"/>
              <w:rPr>
                <w:rFonts w:hint="eastAsia" w:ascii="宋体" w:hAnsi="宋体" w:eastAsia="宋体" w:cs="宋体"/>
                <w:color w:val="auto"/>
                <w:sz w:val="21"/>
                <w:highlight w:val="none"/>
                <w:lang w:eastAsia="zh-CN"/>
              </w:rPr>
            </w:pPr>
          </w:p>
        </w:tc>
      </w:tr>
      <w:tr>
        <w:tblPrEx>
          <w:tblLayout w:type="fixed"/>
        </w:tblPrEx>
        <w:trPr>
          <w:trHeight w:val="568"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成立时间</w:t>
            </w:r>
          </w:p>
        </w:tc>
        <w:tc>
          <w:tcPr>
            <w:tcW w:w="2005" w:type="dxa"/>
            <w:gridSpan w:val="2"/>
          </w:tcPr>
          <w:p>
            <w:pPr>
              <w:pStyle w:val="64"/>
              <w:autoSpaceDE w:val="0"/>
              <w:autoSpaceDN w:val="0"/>
              <w:spacing w:before="80"/>
              <w:ind w:left="110"/>
              <w:jc w:val="center"/>
              <w:rPr>
                <w:rFonts w:hint="eastAsia" w:ascii="宋体" w:hAnsi="宋体" w:eastAsia="宋体" w:cs="宋体"/>
                <w:color w:val="auto"/>
                <w:sz w:val="21"/>
                <w:highlight w:val="none"/>
                <w:lang w:eastAsia="zh-CN"/>
              </w:rPr>
            </w:pPr>
          </w:p>
        </w:tc>
        <w:tc>
          <w:tcPr>
            <w:tcW w:w="5333" w:type="dxa"/>
            <w:gridSpan w:val="7"/>
          </w:tcPr>
          <w:p>
            <w:pPr>
              <w:pStyle w:val="64"/>
              <w:autoSpaceDE w:val="0"/>
              <w:autoSpaceDN w:val="0"/>
              <w:spacing w:before="80"/>
              <w:ind w:left="1953" w:right="184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员工总人数：</w:t>
            </w:r>
          </w:p>
        </w:tc>
      </w:tr>
      <w:tr>
        <w:tblPrEx>
          <w:tblLayout w:type="fixed"/>
        </w:tblPrEx>
        <w:trPr>
          <w:trHeight w:val="566" w:hRule="atLeast"/>
          <w:jc w:val="center"/>
        </w:trPr>
        <w:tc>
          <w:tcPr>
            <w:tcW w:w="1552" w:type="dxa"/>
          </w:tcPr>
          <w:p>
            <w:pPr>
              <w:pStyle w:val="64"/>
              <w:autoSpaceDE w:val="0"/>
              <w:autoSpaceDN w:val="0"/>
              <w:spacing w:before="80"/>
              <w:ind w:left="162"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pacing w:val="-3"/>
                <w:sz w:val="21"/>
                <w:highlight w:val="none"/>
                <w:lang w:eastAsia="en-US"/>
              </w:rPr>
              <w:t>企业资质等级</w:t>
            </w:r>
          </w:p>
        </w:tc>
        <w:tc>
          <w:tcPr>
            <w:tcW w:w="939" w:type="dxa"/>
          </w:tcPr>
          <w:p>
            <w:pPr>
              <w:pStyle w:val="64"/>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64"/>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5"/>
              <w:rPr>
                <w:rFonts w:hint="eastAsia" w:ascii="宋体" w:hAnsi="宋体" w:eastAsia="宋体" w:cs="宋体"/>
                <w:color w:val="auto"/>
                <w:sz w:val="16"/>
                <w:highlight w:val="none"/>
                <w:lang w:eastAsia="en-US"/>
              </w:rPr>
            </w:pPr>
          </w:p>
          <w:p>
            <w:pPr>
              <w:pStyle w:val="64"/>
              <w:autoSpaceDE w:val="0"/>
              <w:autoSpaceDN w:val="0"/>
              <w:ind w:left="285"/>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其中</w:t>
            </w:r>
          </w:p>
        </w:tc>
        <w:tc>
          <w:tcPr>
            <w:tcW w:w="2075" w:type="dxa"/>
            <w:gridSpan w:val="4"/>
          </w:tcPr>
          <w:p>
            <w:pPr>
              <w:pStyle w:val="64"/>
              <w:autoSpaceDE w:val="0"/>
              <w:autoSpaceDN w:val="0"/>
              <w:spacing w:before="80"/>
              <w:ind w:left="56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项目经理</w:t>
            </w:r>
          </w:p>
        </w:tc>
        <w:tc>
          <w:tcPr>
            <w:tcW w:w="2219" w:type="dxa"/>
            <w:gridSpan w:val="2"/>
          </w:tcPr>
          <w:p>
            <w:pPr>
              <w:pStyle w:val="64"/>
              <w:autoSpaceDE w:val="0"/>
              <w:autoSpaceDN w:val="0"/>
              <w:spacing w:before="80"/>
              <w:ind w:left="102"/>
              <w:jc w:val="center"/>
              <w:rPr>
                <w:rFonts w:hint="eastAsia" w:ascii="宋体" w:hAnsi="宋体" w:eastAsia="宋体" w:cs="宋体"/>
                <w:color w:val="auto"/>
                <w:sz w:val="21"/>
                <w:highlight w:val="none"/>
                <w:lang w:eastAsia="zh-CN"/>
              </w:rPr>
            </w:pPr>
          </w:p>
        </w:tc>
      </w:tr>
      <w:tr>
        <w:tblPrEx>
          <w:tblLayout w:type="fixed"/>
        </w:tblPrEx>
        <w:trPr>
          <w:trHeight w:val="566"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营业执照号</w:t>
            </w:r>
          </w:p>
        </w:tc>
        <w:tc>
          <w:tcPr>
            <w:tcW w:w="939" w:type="dxa"/>
          </w:tcPr>
          <w:p>
            <w:pPr>
              <w:pStyle w:val="64"/>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64"/>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64"/>
              <w:autoSpaceDE w:val="0"/>
              <w:autoSpaceDN w:val="0"/>
              <w:spacing w:before="80"/>
              <w:ind w:left="35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高级职称人员</w:t>
            </w:r>
          </w:p>
        </w:tc>
        <w:tc>
          <w:tcPr>
            <w:tcW w:w="2219" w:type="dxa"/>
            <w:gridSpan w:val="2"/>
          </w:tcPr>
          <w:p>
            <w:pPr>
              <w:pStyle w:val="64"/>
              <w:autoSpaceDE w:val="0"/>
              <w:autoSpaceDN w:val="0"/>
              <w:spacing w:before="80"/>
              <w:ind w:left="102"/>
              <w:jc w:val="center"/>
              <w:rPr>
                <w:rFonts w:hint="eastAsia" w:ascii="宋体" w:hAnsi="宋体" w:eastAsia="宋体" w:cs="宋体"/>
                <w:color w:val="auto"/>
                <w:sz w:val="21"/>
                <w:highlight w:val="none"/>
                <w:lang w:eastAsia="zh-CN"/>
              </w:rPr>
            </w:pPr>
          </w:p>
        </w:tc>
      </w:tr>
      <w:tr>
        <w:tblPrEx>
          <w:tblLayout w:type="fixed"/>
        </w:tblPrEx>
        <w:trPr>
          <w:trHeight w:val="568" w:hRule="atLeast"/>
          <w:jc w:val="center"/>
        </w:trPr>
        <w:tc>
          <w:tcPr>
            <w:tcW w:w="1552" w:type="dxa"/>
          </w:tcPr>
          <w:p>
            <w:pPr>
              <w:pStyle w:val="64"/>
              <w:autoSpaceDE w:val="0"/>
              <w:autoSpaceDN w:val="0"/>
              <w:spacing w:before="82"/>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注册资金</w:t>
            </w:r>
          </w:p>
        </w:tc>
        <w:tc>
          <w:tcPr>
            <w:tcW w:w="939" w:type="dxa"/>
          </w:tcPr>
          <w:p>
            <w:pPr>
              <w:pStyle w:val="64"/>
              <w:autoSpaceDE w:val="0"/>
              <w:autoSpaceDN w:val="0"/>
              <w:spacing w:before="82"/>
              <w:ind w:left="114"/>
              <w:jc w:val="center"/>
              <w:rPr>
                <w:rFonts w:hint="eastAsia" w:ascii="宋体" w:hAnsi="宋体" w:eastAsia="宋体" w:cs="宋体"/>
                <w:color w:val="auto"/>
                <w:sz w:val="21"/>
                <w:highlight w:val="none"/>
                <w:lang w:eastAsia="zh-CN"/>
              </w:rPr>
            </w:pPr>
          </w:p>
        </w:tc>
        <w:tc>
          <w:tcPr>
            <w:tcW w:w="1066" w:type="dxa"/>
          </w:tcPr>
          <w:p>
            <w:pPr>
              <w:pStyle w:val="64"/>
              <w:autoSpaceDE w:val="0"/>
              <w:autoSpaceDN w:val="0"/>
              <w:spacing w:before="82"/>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64"/>
              <w:autoSpaceDE w:val="0"/>
              <w:autoSpaceDN w:val="0"/>
              <w:spacing w:before="82"/>
              <w:ind w:left="35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中级职称人员</w:t>
            </w:r>
          </w:p>
        </w:tc>
        <w:tc>
          <w:tcPr>
            <w:tcW w:w="2219" w:type="dxa"/>
            <w:gridSpan w:val="2"/>
          </w:tcPr>
          <w:p>
            <w:pPr>
              <w:pStyle w:val="64"/>
              <w:autoSpaceDE w:val="0"/>
              <w:autoSpaceDN w:val="0"/>
              <w:spacing w:before="82"/>
              <w:ind w:left="102"/>
              <w:jc w:val="center"/>
              <w:rPr>
                <w:rFonts w:hint="eastAsia" w:ascii="宋体" w:hAnsi="宋体" w:eastAsia="宋体" w:cs="宋体"/>
                <w:color w:val="auto"/>
                <w:sz w:val="21"/>
                <w:highlight w:val="none"/>
                <w:lang w:eastAsia="zh-CN"/>
              </w:rPr>
            </w:pPr>
          </w:p>
        </w:tc>
      </w:tr>
      <w:tr>
        <w:tblPrEx>
          <w:tblLayout w:type="fixed"/>
        </w:tblPrEx>
        <w:trPr>
          <w:trHeight w:val="565"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开户银行</w:t>
            </w:r>
          </w:p>
        </w:tc>
        <w:tc>
          <w:tcPr>
            <w:tcW w:w="939" w:type="dxa"/>
          </w:tcPr>
          <w:p>
            <w:pPr>
              <w:pStyle w:val="64"/>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64"/>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64"/>
              <w:autoSpaceDE w:val="0"/>
              <w:autoSpaceDN w:val="0"/>
              <w:spacing w:before="80"/>
              <w:ind w:left="35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初级职称人员</w:t>
            </w:r>
          </w:p>
        </w:tc>
        <w:tc>
          <w:tcPr>
            <w:tcW w:w="2219" w:type="dxa"/>
            <w:gridSpan w:val="2"/>
          </w:tcPr>
          <w:p>
            <w:pPr>
              <w:pStyle w:val="64"/>
              <w:autoSpaceDE w:val="0"/>
              <w:autoSpaceDN w:val="0"/>
              <w:spacing w:before="80"/>
              <w:ind w:left="102"/>
              <w:jc w:val="center"/>
              <w:rPr>
                <w:rFonts w:hint="eastAsia" w:ascii="宋体" w:hAnsi="宋体" w:eastAsia="宋体" w:cs="宋体"/>
                <w:color w:val="auto"/>
                <w:sz w:val="21"/>
                <w:highlight w:val="none"/>
                <w:lang w:eastAsia="zh-CN"/>
              </w:rPr>
            </w:pPr>
          </w:p>
        </w:tc>
      </w:tr>
      <w:tr>
        <w:tblPrEx>
          <w:tblLayout w:type="fixed"/>
        </w:tblPrEx>
        <w:trPr>
          <w:trHeight w:val="568" w:hRule="atLeast"/>
          <w:jc w:val="center"/>
        </w:trPr>
        <w:tc>
          <w:tcPr>
            <w:tcW w:w="1552" w:type="dxa"/>
          </w:tcPr>
          <w:p>
            <w:pPr>
              <w:pStyle w:val="64"/>
              <w:autoSpaceDE w:val="0"/>
              <w:autoSpaceDN w:val="0"/>
              <w:spacing w:before="80"/>
              <w:ind w:left="151"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账号</w:t>
            </w:r>
          </w:p>
        </w:tc>
        <w:tc>
          <w:tcPr>
            <w:tcW w:w="939" w:type="dxa"/>
          </w:tcPr>
          <w:p>
            <w:pPr>
              <w:pStyle w:val="64"/>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64"/>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64"/>
              <w:autoSpaceDE w:val="0"/>
              <w:autoSpaceDN w:val="0"/>
              <w:spacing w:before="80"/>
              <w:ind w:left="811" w:right="705"/>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技工</w:t>
            </w:r>
          </w:p>
        </w:tc>
        <w:tc>
          <w:tcPr>
            <w:tcW w:w="2219" w:type="dxa"/>
            <w:gridSpan w:val="2"/>
          </w:tcPr>
          <w:p>
            <w:pPr>
              <w:pStyle w:val="64"/>
              <w:autoSpaceDE w:val="0"/>
              <w:autoSpaceDN w:val="0"/>
              <w:spacing w:before="80"/>
              <w:ind w:left="102"/>
              <w:jc w:val="center"/>
              <w:rPr>
                <w:rFonts w:hint="eastAsia" w:ascii="宋体" w:hAnsi="宋体" w:eastAsia="宋体" w:cs="宋体"/>
                <w:color w:val="auto"/>
                <w:sz w:val="21"/>
                <w:highlight w:val="none"/>
                <w:lang w:eastAsia="zh-CN"/>
              </w:rPr>
            </w:pPr>
          </w:p>
        </w:tc>
      </w:tr>
      <w:tr>
        <w:tblPrEx>
          <w:tblLayout w:type="fixed"/>
        </w:tblPrEx>
        <w:trPr>
          <w:trHeight w:val="2551" w:hRule="atLeast"/>
          <w:jc w:val="center"/>
        </w:trPr>
        <w:tc>
          <w:tcPr>
            <w:tcW w:w="1552" w:type="dxa"/>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8"/>
              <w:rPr>
                <w:rFonts w:hint="eastAsia" w:ascii="宋体" w:hAnsi="宋体" w:eastAsia="宋体" w:cs="宋体"/>
                <w:color w:val="auto"/>
                <w:sz w:val="23"/>
                <w:highlight w:val="none"/>
                <w:lang w:eastAsia="en-US"/>
              </w:rPr>
            </w:pPr>
          </w:p>
          <w:p>
            <w:pPr>
              <w:pStyle w:val="64"/>
              <w:autoSpaceDE w:val="0"/>
              <w:autoSpaceDN w:val="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经营范围</w:t>
            </w:r>
          </w:p>
        </w:tc>
        <w:tc>
          <w:tcPr>
            <w:tcW w:w="7338" w:type="dxa"/>
            <w:gridSpan w:val="9"/>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8"/>
              <w:rPr>
                <w:rFonts w:hint="eastAsia" w:ascii="宋体" w:hAnsi="宋体" w:eastAsia="宋体" w:cs="宋体"/>
                <w:color w:val="auto"/>
                <w:sz w:val="23"/>
                <w:highlight w:val="none"/>
                <w:lang w:eastAsia="en-US"/>
              </w:rPr>
            </w:pPr>
          </w:p>
          <w:p>
            <w:pPr>
              <w:pStyle w:val="64"/>
              <w:autoSpaceDE w:val="0"/>
              <w:autoSpaceDN w:val="0"/>
              <w:ind w:left="106"/>
              <w:jc w:val="center"/>
              <w:rPr>
                <w:rFonts w:hint="eastAsia" w:ascii="宋体" w:hAnsi="宋体" w:eastAsia="宋体" w:cs="宋体"/>
                <w:color w:val="auto"/>
                <w:sz w:val="21"/>
                <w:highlight w:val="none"/>
                <w:lang w:eastAsia="zh-CN"/>
              </w:rPr>
            </w:pPr>
          </w:p>
        </w:tc>
      </w:tr>
      <w:tr>
        <w:tblPrEx>
          <w:tblLayout w:type="fixed"/>
        </w:tblPrEx>
        <w:trPr>
          <w:trHeight w:val="568" w:hRule="atLeast"/>
          <w:jc w:val="center"/>
        </w:trPr>
        <w:tc>
          <w:tcPr>
            <w:tcW w:w="1552" w:type="dxa"/>
          </w:tcPr>
          <w:p>
            <w:pPr>
              <w:pStyle w:val="64"/>
              <w:autoSpaceDE w:val="0"/>
              <w:autoSpaceDN w:val="0"/>
              <w:spacing w:before="80"/>
              <w:ind w:left="151"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备注</w:t>
            </w:r>
          </w:p>
        </w:tc>
        <w:tc>
          <w:tcPr>
            <w:tcW w:w="7338" w:type="dxa"/>
            <w:gridSpan w:val="9"/>
          </w:tcPr>
          <w:p>
            <w:pPr>
              <w:pStyle w:val="64"/>
              <w:autoSpaceDE w:val="0"/>
              <w:autoSpaceDN w:val="0"/>
              <w:spacing w:before="80"/>
              <w:ind w:left="106"/>
              <w:jc w:val="center"/>
              <w:rPr>
                <w:rFonts w:hint="eastAsia" w:ascii="宋体" w:hAnsi="宋体" w:eastAsia="宋体" w:cs="宋体"/>
                <w:color w:val="auto"/>
                <w:sz w:val="21"/>
                <w:highlight w:val="none"/>
                <w:lang w:eastAsia="zh-CN"/>
              </w:rPr>
            </w:pPr>
          </w:p>
        </w:tc>
      </w:tr>
    </w:tbl>
    <w:p>
      <w:pPr>
        <w:spacing w:before="145" w:beforeLines="50" w:after="290" w:afterLines="100" w:line="440" w:lineRule="exact"/>
        <w:rPr>
          <w:rFonts w:hint="eastAsia" w:ascii="宋体" w:hAnsi="宋体" w:eastAsia="宋体" w:cs="宋体"/>
          <w:sz w:val="24"/>
          <w:szCs w:val="20"/>
          <w:highlight w:val="none"/>
        </w:rPr>
      </w:pPr>
    </w:p>
    <w:p>
      <w:pPr>
        <w:spacing w:before="145" w:beforeLines="50" w:after="290" w:afterLines="100" w:line="440" w:lineRule="exact"/>
        <w:rPr>
          <w:rFonts w:hint="eastAsia" w:ascii="宋体" w:hAnsi="宋体" w:eastAsia="宋体" w:cs="宋体"/>
          <w:sz w:val="24"/>
          <w:szCs w:val="20"/>
          <w:highlight w:val="none"/>
        </w:rPr>
      </w:pPr>
    </w:p>
    <w:p>
      <w:pPr>
        <w:spacing w:before="145" w:beforeLines="50" w:after="290" w:afterLines="100" w:line="440" w:lineRule="exact"/>
        <w:rPr>
          <w:rFonts w:hint="eastAsia" w:ascii="宋体" w:hAnsi="宋体" w:eastAsia="宋体" w:cs="宋体"/>
          <w:sz w:val="24"/>
          <w:szCs w:val="20"/>
          <w:highlight w:val="none"/>
        </w:rPr>
      </w:pPr>
      <w:r>
        <w:rPr>
          <w:rFonts w:hint="eastAsia" w:ascii="宋体" w:hAnsi="宋体" w:eastAsia="宋体" w:cs="宋体"/>
          <w:sz w:val="24"/>
          <w:szCs w:val="20"/>
          <w:highlight w:val="none"/>
        </w:rPr>
        <w:t>（二）近年财务状况表</w:t>
      </w:r>
      <w:bookmarkEnd w:id="171"/>
      <w:bookmarkEnd w:id="172"/>
      <w:bookmarkEnd w:id="173"/>
      <w:bookmarkEnd w:id="174"/>
      <w:bookmarkEnd w:id="175"/>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备注：在此附近三年经会计师事务所或审计机构审计的财务会计报表，包括资产负债表、损益表、现金流量表、利润表和财务情况说明书的复印件的扫描件。</w:t>
      </w:r>
    </w:p>
    <w:p>
      <w:pPr>
        <w:spacing w:before="145" w:beforeLines="50" w:after="145" w:afterLines="50" w:line="440" w:lineRule="exact"/>
        <w:ind w:left="630" w:hanging="630" w:hangingChars="300"/>
        <w:rPr>
          <w:rFonts w:hint="eastAsia" w:ascii="宋体" w:hAnsi="宋体" w:eastAsia="宋体" w:cs="宋体"/>
          <w:sz w:val="24"/>
          <w:szCs w:val="20"/>
          <w:highlight w:val="none"/>
        </w:rPr>
      </w:pPr>
      <w:r>
        <w:rPr>
          <w:rFonts w:hint="eastAsia" w:ascii="宋体" w:hAnsi="宋体" w:eastAsia="宋体" w:cs="宋体"/>
          <w:szCs w:val="21"/>
          <w:highlight w:val="none"/>
        </w:rPr>
        <w:br w:type="page"/>
      </w:r>
      <w:bookmarkStart w:id="181" w:name="_Toc409016141"/>
      <w:bookmarkStart w:id="182" w:name="_Toc403502138"/>
      <w:bookmarkStart w:id="183" w:name="_Toc432497607"/>
      <w:bookmarkStart w:id="184" w:name="_Toc20849"/>
      <w:bookmarkStart w:id="185" w:name="_Toc403501699"/>
    </w:p>
    <w:p>
      <w:pPr>
        <w:spacing w:before="145" w:beforeLines="50" w:after="290" w:afterLines="100" w:line="440" w:lineRule="exact"/>
        <w:rPr>
          <w:rFonts w:hint="eastAsia" w:ascii="宋体" w:hAnsi="宋体" w:eastAsia="宋体" w:cs="宋体"/>
          <w:sz w:val="24"/>
          <w:szCs w:val="20"/>
          <w:highlight w:val="none"/>
        </w:rPr>
      </w:pPr>
      <w:r>
        <w:rPr>
          <w:rFonts w:hint="eastAsia" w:ascii="宋体" w:hAnsi="宋体" w:eastAsia="宋体" w:cs="宋体"/>
          <w:sz w:val="24"/>
          <w:szCs w:val="20"/>
          <w:highlight w:val="none"/>
        </w:rPr>
        <w:t>（三）近年发生的诉讼和仲裁情况</w:t>
      </w:r>
      <w:bookmarkEnd w:id="181"/>
      <w:bookmarkEnd w:id="182"/>
      <w:bookmarkEnd w:id="183"/>
      <w:bookmarkEnd w:id="184"/>
      <w:bookmarkEnd w:id="185"/>
    </w:p>
    <w:p>
      <w:pPr>
        <w:spacing w:before="145" w:beforeLines="50" w:after="290" w:afterLines="100" w:line="440" w:lineRule="exact"/>
        <w:rPr>
          <w:rFonts w:hint="eastAsia" w:ascii="宋体" w:hAnsi="宋体" w:eastAsia="宋体" w:cs="宋体"/>
          <w:sz w:val="24"/>
          <w:szCs w:val="20"/>
          <w:highlight w:val="none"/>
        </w:rPr>
      </w:pPr>
      <w:r>
        <w:rPr>
          <w:rFonts w:hint="eastAsia" w:ascii="宋体" w:hAnsi="宋体" w:eastAsia="宋体" w:cs="宋体"/>
          <w:sz w:val="24"/>
          <w:szCs w:val="20"/>
          <w:highlight w:val="none"/>
        </w:rPr>
        <w:t>说明：近年发生的诉讼和仲裁情况仅限于供应商单位败诉的，且与履行施工承包合同有关的案件，不包括调解结案以及未裁决的仲裁或未终审判决的诉讼。</w:t>
      </w:r>
    </w:p>
    <w:p>
      <w:pPr>
        <w:spacing w:before="145" w:beforeLines="50" w:after="145" w:afterLines="50" w:line="440" w:lineRule="exact"/>
        <w:ind w:left="630" w:hanging="630" w:hangingChars="300"/>
        <w:rPr>
          <w:rFonts w:hint="eastAsia" w:ascii="宋体" w:hAnsi="宋体" w:eastAsia="宋体" w:cs="宋体"/>
          <w:sz w:val="24"/>
          <w:szCs w:val="20"/>
          <w:highlight w:val="none"/>
        </w:rPr>
      </w:pPr>
      <w:r>
        <w:rPr>
          <w:rFonts w:hint="eastAsia" w:ascii="宋体" w:hAnsi="宋体" w:eastAsia="宋体" w:cs="宋体"/>
          <w:szCs w:val="21"/>
          <w:highlight w:val="none"/>
        </w:rPr>
        <w:br w:type="page"/>
      </w:r>
      <w:bookmarkStart w:id="186" w:name="_Toc403501700"/>
      <w:bookmarkStart w:id="187" w:name="_Toc29616"/>
      <w:bookmarkStart w:id="188" w:name="_Toc432497608"/>
      <w:bookmarkStart w:id="189" w:name="_Toc403502139"/>
      <w:bookmarkStart w:id="190" w:name="_Toc409016142"/>
      <w:r>
        <w:rPr>
          <w:rFonts w:hint="eastAsia" w:ascii="宋体" w:hAnsi="宋体" w:eastAsia="宋体" w:cs="宋体"/>
          <w:sz w:val="24"/>
          <w:szCs w:val="20"/>
          <w:highlight w:val="none"/>
        </w:rPr>
        <w:t>（四）企业其他信誉情况表（年份要求同诉讼及仲裁情况年份要求）</w:t>
      </w:r>
      <w:bookmarkEnd w:id="186"/>
      <w:bookmarkEnd w:id="187"/>
      <w:bookmarkEnd w:id="188"/>
      <w:bookmarkEnd w:id="189"/>
      <w:bookmarkEnd w:id="190"/>
    </w:p>
    <w:p>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1、近年企业不良行为记录情况</w:t>
      </w: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2、在施工程以及近年已竣工工程合同履行情况</w:t>
      </w: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3、其他</w:t>
      </w: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945" w:hanging="945" w:hangingChars="450"/>
        <w:rPr>
          <w:rFonts w:hint="eastAsia" w:ascii="宋体" w:hAnsi="宋体" w:eastAsia="宋体" w:cs="宋体"/>
          <w:szCs w:val="21"/>
          <w:highlight w:val="none"/>
        </w:rPr>
      </w:pPr>
      <w:r>
        <w:rPr>
          <w:rFonts w:hint="eastAsia" w:ascii="宋体" w:hAnsi="宋体" w:eastAsia="宋体" w:cs="宋体"/>
          <w:szCs w:val="21"/>
          <w:highlight w:val="none"/>
        </w:rPr>
        <w:t>备注：1、企业不良行为记录情况主要是近年供应商单位在工程建设过程中因违反有关工程建设的法律、法规、规章或强制性标准和执业行为规范，经县级以上建设行政主管部门或其委托的执法监督机构查实和行政处罚，形成的不良行为记录。</w:t>
      </w:r>
    </w:p>
    <w:p>
      <w:pPr>
        <w:spacing w:line="440" w:lineRule="exact"/>
        <w:ind w:left="945" w:leftChars="300" w:hanging="315" w:hangingChars="150"/>
        <w:rPr>
          <w:rFonts w:hint="eastAsia" w:ascii="宋体" w:hAnsi="宋体" w:eastAsia="宋体" w:cs="宋体"/>
          <w:szCs w:val="21"/>
          <w:highlight w:val="none"/>
        </w:rPr>
      </w:pPr>
      <w:r>
        <w:rPr>
          <w:rFonts w:hint="eastAsia" w:ascii="宋体" w:hAnsi="宋体" w:eastAsia="宋体" w:cs="宋体"/>
          <w:szCs w:val="21"/>
          <w:highlight w:val="none"/>
        </w:rPr>
        <w:t>2、合同履行情况主要是供应商单位近年所承接工程和已竣工工程是否按合同约定的服务期限、质量、安全等履行合同义务，对未竣工工程合同履行情况还应重点说明非不可抗力解除合同（如果有)的原因等具体情况等。</w:t>
      </w:r>
    </w:p>
    <w:p>
      <w:pPr>
        <w:spacing w:line="440" w:lineRule="exact"/>
        <w:ind w:left="1080" w:leftChars="300" w:hanging="450" w:hangingChars="150"/>
        <w:jc w:val="center"/>
        <w:rPr>
          <w:rFonts w:hint="eastAsia" w:ascii="宋体" w:hAnsi="宋体" w:eastAsia="宋体" w:cs="宋体"/>
          <w:sz w:val="30"/>
          <w:szCs w:val="30"/>
          <w:highlight w:val="none"/>
        </w:rPr>
      </w:pPr>
    </w:p>
    <w:p>
      <w:pPr>
        <w:spacing w:line="440" w:lineRule="exact"/>
        <w:ind w:left="1080" w:leftChars="300" w:hanging="450" w:hangingChars="150"/>
        <w:jc w:val="center"/>
        <w:rPr>
          <w:rFonts w:hint="eastAsia" w:ascii="宋体" w:hAnsi="宋体" w:eastAsia="宋体" w:cs="宋体"/>
          <w:sz w:val="30"/>
          <w:szCs w:val="30"/>
          <w:highlight w:val="none"/>
        </w:rPr>
      </w:pPr>
    </w:p>
    <w:p>
      <w:pPr>
        <w:widowControl/>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outlineLvl w:val="1"/>
        <w:rPr>
          <w:rFonts w:hint="eastAsia" w:ascii="宋体" w:hAnsi="宋体" w:eastAsia="宋体" w:cs="宋体"/>
          <w:b/>
          <w:sz w:val="32"/>
          <w:szCs w:val="32"/>
          <w:highlight w:val="none"/>
        </w:rPr>
      </w:pPr>
      <w:bookmarkStart w:id="191" w:name="_Toc63332497"/>
      <w:bookmarkStart w:id="192" w:name="_Toc63332577"/>
      <w:r>
        <w:rPr>
          <w:rFonts w:hint="eastAsia" w:ascii="宋体" w:hAnsi="宋体" w:eastAsia="宋体" w:cs="宋体"/>
          <w:b/>
          <w:sz w:val="32"/>
          <w:szCs w:val="32"/>
          <w:highlight w:val="none"/>
        </w:rPr>
        <w:t>附件十</w:t>
      </w:r>
      <w:r>
        <w:rPr>
          <w:rFonts w:hint="eastAsia" w:ascii="宋体" w:hAnsi="宋体" w:eastAsia="宋体" w:cs="宋体"/>
          <w:b/>
          <w:sz w:val="32"/>
          <w:szCs w:val="32"/>
          <w:highlight w:val="none"/>
          <w:lang w:eastAsia="zh-CN"/>
        </w:rPr>
        <w:t>二</w:t>
      </w:r>
      <w:r>
        <w:rPr>
          <w:rFonts w:hint="eastAsia" w:ascii="宋体" w:hAnsi="宋体" w:eastAsia="宋体" w:cs="宋体"/>
          <w:b/>
          <w:sz w:val="32"/>
          <w:szCs w:val="32"/>
          <w:highlight w:val="none"/>
        </w:rPr>
        <w:t>：</w:t>
      </w:r>
      <w:bookmarkEnd w:id="176"/>
      <w:bookmarkEnd w:id="177"/>
      <w:bookmarkEnd w:id="178"/>
      <w:bookmarkEnd w:id="179"/>
      <w:bookmarkEnd w:id="180"/>
      <w:r>
        <w:rPr>
          <w:rFonts w:hint="eastAsia" w:ascii="宋体" w:hAnsi="宋体" w:eastAsia="宋体" w:cs="宋体"/>
          <w:b/>
          <w:sz w:val="32"/>
          <w:szCs w:val="32"/>
          <w:highlight w:val="none"/>
        </w:rPr>
        <w:t>业绩一览表</w:t>
      </w:r>
      <w:bookmarkEnd w:id="191"/>
      <w:bookmarkEnd w:id="192"/>
    </w:p>
    <w:p>
      <w:pPr>
        <w:widowControl/>
        <w:jc w:val="left"/>
        <w:rPr>
          <w:rFonts w:hint="eastAsia" w:ascii="宋体" w:hAnsi="宋体" w:eastAsia="宋体" w:cs="宋体"/>
          <w:highlight w:val="none"/>
        </w:rPr>
      </w:pPr>
      <w:bookmarkStart w:id="193" w:name="_Toc321842210"/>
      <w:bookmarkStart w:id="194" w:name="_Toc424113136"/>
      <w:bookmarkStart w:id="195" w:name="_Toc338378164"/>
      <w:bookmarkStart w:id="196" w:name="_Toc419377299"/>
    </w:p>
    <w:tbl>
      <w:tblPr>
        <w:tblStyle w:val="3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328"/>
        <w:gridCol w:w="1100"/>
        <w:gridCol w:w="962"/>
        <w:gridCol w:w="826"/>
        <w:gridCol w:w="824"/>
        <w:gridCol w:w="1199"/>
        <w:gridCol w:w="1843"/>
        <w:gridCol w:w="1134"/>
      </w:tblGrid>
      <w:tr>
        <w:tblPrEx>
          <w:tblLayout w:type="fixed"/>
        </w:tblPrEx>
        <w:trPr>
          <w:cantSplit/>
          <w:trHeight w:val="820" w:hRule="atLeast"/>
        </w:trPr>
        <w:tc>
          <w:tcPr>
            <w:tcW w:w="7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3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11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w:t>
            </w:r>
          </w:p>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9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w:t>
            </w:r>
          </w:p>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内容</w:t>
            </w:r>
          </w:p>
        </w:tc>
        <w:tc>
          <w:tcPr>
            <w:tcW w:w="8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合同签订时间</w:t>
            </w:r>
          </w:p>
        </w:tc>
        <w:tc>
          <w:tcPr>
            <w:tcW w:w="8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合同金额</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项目单位联系人</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联系电话</w:t>
            </w:r>
          </w:p>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（固定电话及手机号码）</w:t>
            </w:r>
          </w:p>
        </w:tc>
        <w:tc>
          <w:tcPr>
            <w:tcW w:w="1134" w:type="dxa"/>
            <w:tcBorders>
              <w:top w:val="single" w:color="auto" w:sz="4" w:space="0"/>
              <w:left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Layout w:type="fixed"/>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bookmarkEnd w:id="193"/>
      <w:bookmarkEnd w:id="194"/>
      <w:bookmarkEnd w:id="195"/>
      <w:bookmarkEnd w:id="196"/>
    </w:tbl>
    <w:p>
      <w:pPr>
        <w:pStyle w:val="4"/>
        <w:jc w:val="center"/>
        <w:rPr>
          <w:rFonts w:hint="eastAsia" w:ascii="宋体" w:hAnsi="宋体" w:eastAsia="宋体" w:cs="宋体"/>
          <w:bCs w:val="0"/>
          <w:kern w:val="2"/>
          <w:highlight w:val="none"/>
        </w:rPr>
      </w:pPr>
    </w:p>
    <w:p>
      <w:pPr>
        <w:pStyle w:val="34"/>
        <w:rPr>
          <w:rFonts w:hint="eastAsia" w:ascii="宋体" w:hAnsi="宋体" w:eastAsia="宋体" w:cs="宋体"/>
          <w:sz w:val="32"/>
          <w:szCs w:val="32"/>
          <w:highlight w:val="none"/>
        </w:rPr>
      </w:pPr>
      <w:r>
        <w:rPr>
          <w:rFonts w:hint="eastAsia" w:ascii="宋体" w:hAnsi="宋体" w:eastAsia="宋体" w:cs="宋体"/>
          <w:highlight w:val="none"/>
        </w:rPr>
        <w:br w:type="page"/>
      </w:r>
    </w:p>
    <w:p>
      <w:pPr>
        <w:spacing w:line="420" w:lineRule="exact"/>
        <w:rPr>
          <w:rFonts w:hint="eastAsia" w:ascii="宋体" w:hAnsi="宋体" w:eastAsia="宋体" w:cs="宋体"/>
          <w:sz w:val="28"/>
          <w:szCs w:val="28"/>
          <w:highlight w:val="none"/>
        </w:rPr>
      </w:pPr>
      <w:r>
        <w:rPr>
          <w:rFonts w:hint="eastAsia" w:ascii="宋体" w:hAnsi="宋体" w:eastAsia="宋体" w:cs="宋体"/>
          <w:b/>
          <w:sz w:val="32"/>
          <w:szCs w:val="32"/>
          <w:highlight w:val="none"/>
        </w:rPr>
        <w:t>附件十</w:t>
      </w:r>
      <w:r>
        <w:rPr>
          <w:rFonts w:hint="eastAsia" w:ascii="宋体" w:hAnsi="宋体" w:eastAsia="宋体" w:cs="宋体"/>
          <w:b/>
          <w:sz w:val="32"/>
          <w:szCs w:val="32"/>
          <w:highlight w:val="none"/>
          <w:lang w:eastAsia="zh-CN"/>
        </w:rPr>
        <w:t>三</w:t>
      </w:r>
      <w:r>
        <w:rPr>
          <w:rFonts w:hint="eastAsia" w:ascii="宋体" w:hAnsi="宋体" w:eastAsia="宋体" w:cs="宋体"/>
          <w:b/>
          <w:sz w:val="32"/>
          <w:szCs w:val="32"/>
          <w:highlight w:val="none"/>
        </w:rPr>
        <w:t>：项目管理机构</w:t>
      </w:r>
    </w:p>
    <w:p>
      <w:pPr>
        <w:spacing w:line="360" w:lineRule="auto"/>
        <w:ind w:firstLine="482" w:firstLineChars="200"/>
        <w:jc w:val="center"/>
        <w:rPr>
          <w:rFonts w:hint="eastAsia" w:ascii="宋体" w:hAnsi="宋体" w:eastAsia="宋体" w:cs="宋体"/>
          <w:b/>
          <w:sz w:val="24"/>
          <w:highlight w:val="none"/>
        </w:rPr>
      </w:pP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（一）项目管理机构组成表</w:t>
      </w:r>
    </w:p>
    <w:tbl>
      <w:tblPr>
        <w:tblStyle w:val="68"/>
        <w:tblW w:w="100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610"/>
        <w:gridCol w:w="1313"/>
        <w:gridCol w:w="1311"/>
        <w:gridCol w:w="1313"/>
        <w:gridCol w:w="1315"/>
        <w:gridCol w:w="1313"/>
        <w:gridCol w:w="1312"/>
        <w:gridCol w:w="842"/>
      </w:tblGrid>
      <w:tr>
        <w:tblPrEx>
          <w:tblLayout w:type="fixed"/>
        </w:tblPrEx>
        <w:trPr>
          <w:trHeight w:val="825" w:hRule="atLeast"/>
          <w:jc w:val="center"/>
        </w:trPr>
        <w:tc>
          <w:tcPr>
            <w:tcW w:w="704"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5"/>
              <w:rPr>
                <w:rFonts w:hint="eastAsia" w:ascii="宋体" w:hAnsi="宋体" w:eastAsia="宋体" w:cs="宋体"/>
                <w:color w:val="auto"/>
                <w:sz w:val="14"/>
                <w:highlight w:val="none"/>
                <w:lang w:eastAsia="en-US"/>
              </w:rPr>
            </w:pPr>
          </w:p>
          <w:p>
            <w:pPr>
              <w:pStyle w:val="64"/>
              <w:autoSpaceDE w:val="0"/>
              <w:autoSpaceDN w:val="0"/>
              <w:ind w:left="143"/>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序号</w:t>
            </w:r>
          </w:p>
        </w:tc>
        <w:tc>
          <w:tcPr>
            <w:tcW w:w="610"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9"/>
              <w:rPr>
                <w:rFonts w:hint="eastAsia" w:ascii="宋体" w:hAnsi="宋体" w:eastAsia="宋体" w:cs="宋体"/>
                <w:color w:val="auto"/>
                <w:sz w:val="23"/>
                <w:highlight w:val="none"/>
                <w:lang w:eastAsia="en-US"/>
              </w:rPr>
            </w:pPr>
          </w:p>
          <w:p>
            <w:pPr>
              <w:pStyle w:val="64"/>
              <w:autoSpaceDE w:val="0"/>
              <w:autoSpaceDN w:val="0"/>
              <w:spacing w:line="242" w:lineRule="auto"/>
              <w:ind w:left="201" w:right="8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姓名</w:t>
            </w:r>
          </w:p>
        </w:tc>
        <w:tc>
          <w:tcPr>
            <w:tcW w:w="1313"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5"/>
              <w:rPr>
                <w:rFonts w:hint="eastAsia" w:ascii="宋体" w:hAnsi="宋体" w:eastAsia="宋体" w:cs="宋体"/>
                <w:color w:val="auto"/>
                <w:sz w:val="14"/>
                <w:highlight w:val="none"/>
                <w:lang w:eastAsia="en-US"/>
              </w:rPr>
            </w:pPr>
          </w:p>
          <w:p>
            <w:pPr>
              <w:pStyle w:val="64"/>
              <w:autoSpaceDE w:val="0"/>
              <w:autoSpaceDN w:val="0"/>
              <w:ind w:left="445"/>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职务</w:t>
            </w:r>
          </w:p>
        </w:tc>
        <w:tc>
          <w:tcPr>
            <w:tcW w:w="1311"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9"/>
              <w:rPr>
                <w:rFonts w:hint="eastAsia" w:ascii="宋体" w:hAnsi="宋体" w:eastAsia="宋体" w:cs="宋体"/>
                <w:color w:val="auto"/>
                <w:sz w:val="23"/>
                <w:highlight w:val="none"/>
                <w:lang w:eastAsia="en-US"/>
              </w:rPr>
            </w:pPr>
          </w:p>
          <w:p>
            <w:pPr>
              <w:pStyle w:val="64"/>
              <w:autoSpaceDE w:val="0"/>
              <w:autoSpaceDN w:val="0"/>
              <w:spacing w:line="242" w:lineRule="auto"/>
              <w:ind w:left="445" w:right="116" w:hanging="31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执业资格或职称</w:t>
            </w:r>
          </w:p>
        </w:tc>
        <w:tc>
          <w:tcPr>
            <w:tcW w:w="5253" w:type="dxa"/>
            <w:gridSpan w:val="4"/>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681"/>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执业或职业资格证明</w:t>
            </w:r>
          </w:p>
        </w:tc>
        <w:tc>
          <w:tcPr>
            <w:tcW w:w="842"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9"/>
              <w:rPr>
                <w:rFonts w:hint="eastAsia" w:ascii="宋体" w:hAnsi="宋体" w:eastAsia="宋体" w:cs="宋体"/>
                <w:color w:val="auto"/>
                <w:sz w:val="23"/>
                <w:highlight w:val="none"/>
                <w:lang w:eastAsia="en-US"/>
              </w:rPr>
            </w:pPr>
          </w:p>
          <w:p>
            <w:pPr>
              <w:pStyle w:val="64"/>
              <w:autoSpaceDE w:val="0"/>
              <w:autoSpaceDN w:val="0"/>
              <w:spacing w:line="242" w:lineRule="auto"/>
              <w:ind w:left="211" w:right="92"/>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联系方式</w:t>
            </w:r>
          </w:p>
        </w:tc>
      </w:tr>
      <w:tr>
        <w:tblPrEx>
          <w:tblLayout w:type="fixed"/>
        </w:tblPrEx>
        <w:trPr>
          <w:trHeight w:val="827" w:hRule="atLeast"/>
          <w:jc w:val="center"/>
        </w:trPr>
        <w:tc>
          <w:tcPr>
            <w:tcW w:w="704"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610"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1313"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1311"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269" w:right="1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证书名称</w:t>
            </w:r>
          </w:p>
        </w:tc>
        <w:tc>
          <w:tcPr>
            <w:tcW w:w="1315"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480" w:right="36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级别</w:t>
            </w: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267" w:right="1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证号</w:t>
            </w:r>
          </w:p>
        </w:tc>
        <w:tc>
          <w:tcPr>
            <w:tcW w:w="131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478" w:right="363"/>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专业</w:t>
            </w:r>
          </w:p>
        </w:tc>
        <w:tc>
          <w:tcPr>
            <w:tcW w:w="842"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r>
      <w:tr>
        <w:tblPrEx>
          <w:tblLayout w:type="fixed"/>
        </w:tblPrEx>
        <w:trPr>
          <w:trHeight w:val="825" w:hRule="atLeast"/>
          <w:jc w:val="center"/>
        </w:trPr>
        <w:tc>
          <w:tcPr>
            <w:tcW w:w="704"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305"/>
              <w:jc w:val="right"/>
              <w:rPr>
                <w:rFonts w:hint="eastAsia" w:ascii="宋体" w:hAnsi="宋体" w:eastAsia="宋体" w:cs="宋体"/>
                <w:color w:val="auto"/>
                <w:sz w:val="21"/>
                <w:highlight w:val="none"/>
                <w:lang w:eastAsia="zh-CN"/>
              </w:rPr>
            </w:pPr>
          </w:p>
        </w:tc>
      </w:tr>
      <w:tr>
        <w:tblPrEx>
          <w:tblLayout w:type="fixed"/>
        </w:tblPrEx>
        <w:trPr>
          <w:trHeight w:val="825" w:hRule="atLeast"/>
          <w:jc w:val="center"/>
        </w:trPr>
        <w:tc>
          <w:tcPr>
            <w:tcW w:w="704"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right="305"/>
              <w:jc w:val="right"/>
              <w:rPr>
                <w:rFonts w:hint="eastAsia" w:ascii="宋体" w:hAnsi="宋体" w:eastAsia="宋体" w:cs="宋体"/>
                <w:color w:val="auto"/>
                <w:sz w:val="21"/>
                <w:highlight w:val="none"/>
                <w:lang w:eastAsia="zh-CN"/>
              </w:rPr>
            </w:pPr>
          </w:p>
        </w:tc>
      </w:tr>
      <w:tr>
        <w:tblPrEx>
          <w:tblLayout w:type="fixed"/>
        </w:tblPrEx>
        <w:trPr>
          <w:trHeight w:val="827" w:hRule="atLeast"/>
          <w:jc w:val="center"/>
        </w:trPr>
        <w:tc>
          <w:tcPr>
            <w:tcW w:w="704"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305"/>
              <w:jc w:val="right"/>
              <w:rPr>
                <w:rFonts w:hint="eastAsia" w:ascii="宋体" w:hAnsi="宋体" w:eastAsia="宋体" w:cs="宋体"/>
                <w:color w:val="auto"/>
                <w:sz w:val="21"/>
                <w:highlight w:val="none"/>
                <w:lang w:eastAsia="zh-CN"/>
              </w:rPr>
            </w:pPr>
          </w:p>
        </w:tc>
      </w:tr>
      <w:tr>
        <w:tblPrEx>
          <w:tblLayout w:type="fixed"/>
        </w:tblPrEx>
        <w:trPr>
          <w:trHeight w:val="825" w:hRule="atLeast"/>
          <w:jc w:val="center"/>
        </w:trPr>
        <w:tc>
          <w:tcPr>
            <w:tcW w:w="704"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305"/>
              <w:jc w:val="right"/>
              <w:rPr>
                <w:rFonts w:hint="eastAsia" w:ascii="宋体" w:hAnsi="宋体" w:eastAsia="宋体" w:cs="宋体"/>
                <w:color w:val="auto"/>
                <w:sz w:val="21"/>
                <w:highlight w:val="none"/>
                <w:lang w:eastAsia="zh-CN"/>
              </w:rPr>
            </w:pPr>
          </w:p>
        </w:tc>
      </w:tr>
      <w:tr>
        <w:tblPrEx>
          <w:tblLayout w:type="fixed"/>
        </w:tblPrEx>
        <w:trPr>
          <w:trHeight w:val="825" w:hRule="atLeast"/>
          <w:jc w:val="center"/>
        </w:trPr>
        <w:tc>
          <w:tcPr>
            <w:tcW w:w="704"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305"/>
              <w:jc w:val="right"/>
              <w:rPr>
                <w:rFonts w:hint="eastAsia" w:ascii="宋体" w:hAnsi="宋体" w:eastAsia="宋体" w:cs="宋体"/>
                <w:color w:val="auto"/>
                <w:sz w:val="21"/>
                <w:highlight w:val="none"/>
                <w:lang w:eastAsia="zh-CN"/>
              </w:rPr>
            </w:pPr>
          </w:p>
        </w:tc>
      </w:tr>
      <w:tr>
        <w:tblPrEx>
          <w:tblLayout w:type="fixed"/>
        </w:tblPrEx>
        <w:trPr>
          <w:trHeight w:val="827" w:hRule="atLeast"/>
          <w:jc w:val="center"/>
        </w:trPr>
        <w:tc>
          <w:tcPr>
            <w:tcW w:w="704"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305"/>
              <w:jc w:val="right"/>
              <w:rPr>
                <w:rFonts w:hint="eastAsia" w:ascii="宋体" w:hAnsi="宋体" w:eastAsia="宋体" w:cs="宋体"/>
                <w:color w:val="auto"/>
                <w:sz w:val="21"/>
                <w:highlight w:val="none"/>
                <w:lang w:eastAsia="zh-CN"/>
              </w:rPr>
            </w:pPr>
          </w:p>
        </w:tc>
      </w:tr>
      <w:tr>
        <w:tblPrEx>
          <w:tblLayout w:type="fixed"/>
        </w:tblPrEx>
        <w:trPr>
          <w:trHeight w:val="825" w:hRule="atLeast"/>
          <w:jc w:val="center"/>
        </w:trPr>
        <w:tc>
          <w:tcPr>
            <w:tcW w:w="704"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305"/>
              <w:jc w:val="right"/>
              <w:rPr>
                <w:rFonts w:hint="eastAsia" w:ascii="宋体" w:hAnsi="宋体" w:eastAsia="宋体" w:cs="宋体"/>
                <w:color w:val="auto"/>
                <w:sz w:val="21"/>
                <w:highlight w:val="none"/>
                <w:lang w:eastAsia="zh-CN"/>
              </w:rPr>
            </w:pPr>
          </w:p>
        </w:tc>
      </w:tr>
      <w:tr>
        <w:tblPrEx>
          <w:tblLayout w:type="fixed"/>
        </w:tblPrEx>
        <w:trPr>
          <w:trHeight w:val="825" w:hRule="atLeast"/>
          <w:jc w:val="center"/>
        </w:trPr>
        <w:tc>
          <w:tcPr>
            <w:tcW w:w="704"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right="305"/>
              <w:jc w:val="right"/>
              <w:rPr>
                <w:rFonts w:hint="eastAsia" w:ascii="宋体" w:hAnsi="宋体" w:eastAsia="宋体" w:cs="宋体"/>
                <w:color w:val="auto"/>
                <w:sz w:val="21"/>
                <w:highlight w:val="none"/>
                <w:lang w:eastAsia="zh-CN"/>
              </w:rPr>
            </w:pPr>
          </w:p>
        </w:tc>
      </w:tr>
    </w:tbl>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（格式可自拟、此表可扩展）</w:t>
      </w:r>
    </w:p>
    <w:p>
      <w:pPr>
        <w:pStyle w:val="17"/>
        <w:rPr>
          <w:rFonts w:hint="eastAsia" w:ascii="宋体" w:hAnsi="宋体" w:eastAsia="宋体" w:cs="宋体"/>
          <w:highlight w:val="none"/>
        </w:rPr>
      </w:pPr>
      <w:r>
        <w:rPr>
          <w:rFonts w:hint="eastAsia" w:ascii="宋体" w:hAnsi="宋体" w:eastAsia="宋体" w:cs="宋体"/>
          <w:highlight w:val="none"/>
        </w:rPr>
        <w:br w:type="page"/>
      </w:r>
    </w:p>
    <w:p>
      <w:pPr>
        <w:rPr>
          <w:rFonts w:hint="eastAsia" w:ascii="宋体" w:hAnsi="宋体" w:eastAsia="宋体" w:cs="宋体"/>
          <w:b/>
          <w:sz w:val="24"/>
          <w:highlight w:val="none"/>
        </w:rPr>
      </w:pPr>
      <w:r>
        <w:rPr>
          <w:rFonts w:hint="eastAsia" w:ascii="宋体" w:hAnsi="宋体" w:eastAsia="宋体" w:cs="宋体"/>
          <w:b/>
          <w:sz w:val="24"/>
          <w:highlight w:val="none"/>
        </w:rPr>
        <w:t>（二）主要人员简历表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“主要人员简历表”中的项目负责人应附身份证、职称证、养老保险扫描件，其他主要人员应附职称证（执业证或上岗证书）、养老保险扫描件。</w:t>
      </w:r>
    </w:p>
    <w:p>
      <w:pPr>
        <w:spacing w:line="360" w:lineRule="auto"/>
        <w:rPr>
          <w:rFonts w:hint="eastAsia" w:ascii="宋体" w:hAnsi="宋体" w:eastAsia="宋体" w:cs="宋体"/>
          <w:sz w:val="24"/>
          <w:highlight w:val="none"/>
        </w:rPr>
      </w:pPr>
    </w:p>
    <w:tbl>
      <w:tblPr>
        <w:tblStyle w:val="3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Layout w:type="fixed"/>
        </w:tblPrEx>
        <w:trPr>
          <w:trHeight w:val="463" w:hRule="atLeast"/>
          <w:jc w:val="center"/>
        </w:trPr>
        <w:tc>
          <w:tcPr>
            <w:tcW w:w="1615"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625" w:type="dxa"/>
          </w:tcPr>
          <w:p>
            <w:pPr>
              <w:spacing w:line="360" w:lineRule="auto"/>
              <w:rPr>
                <w:rFonts w:hint="eastAsia" w:ascii="宋体" w:hAnsi="宋体" w:eastAsia="宋体" w:cs="宋体"/>
                <w:sz w:val="24"/>
                <w:highlight w:val="none"/>
              </w:rPr>
            </w:pPr>
          </w:p>
        </w:tc>
        <w:tc>
          <w:tcPr>
            <w:tcW w:w="108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440" w:type="dxa"/>
            <w:gridSpan w:val="2"/>
          </w:tcPr>
          <w:p>
            <w:pPr>
              <w:spacing w:line="360" w:lineRule="auto"/>
              <w:rPr>
                <w:rFonts w:hint="eastAsia" w:ascii="宋体" w:hAnsi="宋体" w:eastAsia="宋体" w:cs="宋体"/>
                <w:sz w:val="24"/>
                <w:highlight w:val="none"/>
              </w:rPr>
            </w:pPr>
          </w:p>
        </w:tc>
        <w:tc>
          <w:tcPr>
            <w:tcW w:w="1980"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1789" w:type="dxa"/>
          </w:tcPr>
          <w:p>
            <w:pPr>
              <w:spacing w:line="360" w:lineRule="auto"/>
              <w:rPr>
                <w:rFonts w:hint="eastAsia" w:ascii="宋体" w:hAnsi="宋体" w:eastAsia="宋体" w:cs="宋体"/>
                <w:sz w:val="24"/>
                <w:highlight w:val="none"/>
              </w:rPr>
            </w:pPr>
          </w:p>
        </w:tc>
      </w:tr>
      <w:tr>
        <w:tblPrEx>
          <w:tblLayout w:type="fixed"/>
        </w:tblPrEx>
        <w:trPr>
          <w:trHeight w:val="451" w:hRule="atLeast"/>
          <w:jc w:val="center"/>
        </w:trPr>
        <w:tc>
          <w:tcPr>
            <w:tcW w:w="1615"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625" w:type="dxa"/>
          </w:tcPr>
          <w:p>
            <w:pPr>
              <w:spacing w:line="360" w:lineRule="auto"/>
              <w:rPr>
                <w:rFonts w:hint="eastAsia" w:ascii="宋体" w:hAnsi="宋体" w:eastAsia="宋体" w:cs="宋体"/>
                <w:sz w:val="24"/>
                <w:highlight w:val="none"/>
              </w:rPr>
            </w:pPr>
          </w:p>
        </w:tc>
        <w:tc>
          <w:tcPr>
            <w:tcW w:w="108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职务</w:t>
            </w:r>
          </w:p>
        </w:tc>
        <w:tc>
          <w:tcPr>
            <w:tcW w:w="1440" w:type="dxa"/>
            <w:gridSpan w:val="2"/>
          </w:tcPr>
          <w:p>
            <w:pPr>
              <w:spacing w:line="360" w:lineRule="auto"/>
              <w:rPr>
                <w:rFonts w:hint="eastAsia" w:ascii="宋体" w:hAnsi="宋体" w:eastAsia="宋体" w:cs="宋体"/>
                <w:sz w:val="24"/>
                <w:highlight w:val="none"/>
              </w:rPr>
            </w:pPr>
          </w:p>
        </w:tc>
        <w:tc>
          <w:tcPr>
            <w:tcW w:w="1980"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拟在本合同任职</w:t>
            </w:r>
          </w:p>
        </w:tc>
        <w:tc>
          <w:tcPr>
            <w:tcW w:w="1789" w:type="dxa"/>
          </w:tcPr>
          <w:p>
            <w:pPr>
              <w:spacing w:line="360" w:lineRule="auto"/>
              <w:rPr>
                <w:rFonts w:hint="eastAsia" w:ascii="宋体" w:hAnsi="宋体" w:eastAsia="宋体" w:cs="宋体"/>
                <w:sz w:val="24"/>
                <w:highlight w:val="none"/>
              </w:rPr>
            </w:pPr>
          </w:p>
        </w:tc>
      </w:tr>
      <w:tr>
        <w:tblPrEx>
          <w:tblLayout w:type="fixed"/>
        </w:tblPrEx>
        <w:trPr>
          <w:trHeight w:val="600" w:hRule="atLeast"/>
          <w:jc w:val="center"/>
        </w:trPr>
        <w:tc>
          <w:tcPr>
            <w:tcW w:w="1615"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毕业学校</w:t>
            </w:r>
          </w:p>
        </w:tc>
        <w:tc>
          <w:tcPr>
            <w:tcW w:w="7914" w:type="dxa"/>
            <w:gridSpan w:val="7"/>
          </w:tcPr>
          <w:p>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年毕业于学校专业</w:t>
            </w:r>
          </w:p>
        </w:tc>
      </w:tr>
      <w:tr>
        <w:tblPrEx>
          <w:tblLayout w:type="fixed"/>
        </w:tblPrEx>
        <w:trPr>
          <w:trHeight w:val="613" w:hRule="atLeast"/>
          <w:jc w:val="center"/>
        </w:trPr>
        <w:tc>
          <w:tcPr>
            <w:tcW w:w="9529" w:type="dxa"/>
            <w:gridSpan w:val="9"/>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主要工作经历</w:t>
            </w:r>
          </w:p>
        </w:tc>
      </w:tr>
      <w:tr>
        <w:tblPrEx>
          <w:tblLayout w:type="fixed"/>
        </w:tblPrEx>
        <w:trPr>
          <w:trHeight w:val="540" w:hRule="atLeast"/>
          <w:jc w:val="center"/>
        </w:trPr>
        <w:tc>
          <w:tcPr>
            <w:tcW w:w="126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时间</w:t>
            </w:r>
          </w:p>
        </w:tc>
        <w:tc>
          <w:tcPr>
            <w:tcW w:w="3960" w:type="dxa"/>
            <w:gridSpan w:val="4"/>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参加过的类似项目</w:t>
            </w:r>
          </w:p>
        </w:tc>
        <w:tc>
          <w:tcPr>
            <w:tcW w:w="1792"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担任职务</w:t>
            </w:r>
          </w:p>
        </w:tc>
        <w:tc>
          <w:tcPr>
            <w:tcW w:w="2517"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建设单位及联系电话</w:t>
            </w: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Layout w:type="fixed"/>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bl>
    <w:p>
      <w:pPr>
        <w:jc w:val="center"/>
        <w:rPr>
          <w:rFonts w:hint="eastAsia" w:ascii="宋体" w:hAnsi="宋体" w:eastAsia="宋体" w:cs="宋体"/>
          <w:sz w:val="24"/>
          <w:highlight w:val="none"/>
        </w:rPr>
      </w:pPr>
    </w:p>
    <w:p>
      <w:pPr>
        <w:pStyle w:val="17"/>
        <w:rPr>
          <w:rFonts w:hint="eastAsia" w:ascii="宋体" w:hAnsi="宋体" w:eastAsia="宋体" w:cs="宋体"/>
          <w:b/>
          <w:sz w:val="32"/>
          <w:szCs w:val="32"/>
          <w:highlight w:val="none"/>
        </w:rPr>
      </w:pPr>
      <w:r>
        <w:rPr>
          <w:rFonts w:hint="eastAsia" w:ascii="宋体" w:hAnsi="宋体" w:eastAsia="宋体" w:cs="宋体"/>
          <w:highlight w:val="none"/>
        </w:rPr>
        <w:t>（格式可自拟、此表可扩展）</w:t>
      </w:r>
      <w:r>
        <w:rPr>
          <w:rFonts w:hint="eastAsia" w:ascii="宋体" w:hAnsi="宋体" w:eastAsia="宋体" w:cs="宋体"/>
          <w:highlight w:val="none"/>
        </w:rPr>
        <w:br w:type="page"/>
      </w:r>
      <w:r>
        <w:rPr>
          <w:rFonts w:hint="eastAsia" w:ascii="宋体" w:hAnsi="宋体" w:eastAsia="宋体" w:cs="宋体"/>
          <w:b/>
          <w:sz w:val="32"/>
          <w:szCs w:val="32"/>
          <w:highlight w:val="none"/>
        </w:rPr>
        <w:t>附件十</w:t>
      </w:r>
      <w:r>
        <w:rPr>
          <w:rFonts w:hint="eastAsia" w:ascii="宋体" w:hAnsi="宋体" w:eastAsia="宋体" w:cs="宋体"/>
          <w:b/>
          <w:sz w:val="32"/>
          <w:szCs w:val="32"/>
          <w:highlight w:val="none"/>
          <w:lang w:eastAsia="zh-CN"/>
        </w:rPr>
        <w:t>四</w:t>
      </w:r>
      <w:r>
        <w:rPr>
          <w:rFonts w:hint="eastAsia" w:ascii="宋体" w:hAnsi="宋体" w:eastAsia="宋体" w:cs="宋体"/>
          <w:b/>
          <w:sz w:val="32"/>
          <w:szCs w:val="32"/>
          <w:highlight w:val="none"/>
        </w:rPr>
        <w:t>：供应商认为需要提交的其他文件</w:t>
      </w:r>
    </w:p>
    <w:p>
      <w:pPr>
        <w:pStyle w:val="2"/>
        <w:spacing w:line="460" w:lineRule="exact"/>
        <w:outlineLvl w:val="1"/>
        <w:rPr>
          <w:rFonts w:hint="eastAsia" w:ascii="宋体" w:hAnsi="宋体" w:eastAsia="宋体" w:cs="宋体"/>
          <w:b/>
          <w:color w:val="auto"/>
          <w:spacing w:val="-2"/>
          <w:sz w:val="28"/>
          <w:szCs w:val="28"/>
          <w:highlight w:val="none"/>
        </w:rPr>
      </w:pPr>
      <w:r>
        <w:rPr>
          <w:rFonts w:hint="eastAsia" w:ascii="宋体" w:hAnsi="宋体" w:eastAsia="宋体" w:cs="宋体"/>
          <w:highlight w:val="none"/>
        </w:rPr>
        <w:br w:type="page"/>
      </w:r>
      <w:bookmarkStart w:id="197" w:name="_Toc516647526"/>
      <w:bookmarkStart w:id="198" w:name="_Toc516838972"/>
      <w:bookmarkStart w:id="199" w:name="_Toc18653883"/>
      <w:bookmarkStart w:id="200" w:name="_Toc18653937"/>
      <w:bookmarkStart w:id="201" w:name="_Toc519081998"/>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eastAsia="zh-CN"/>
        </w:rPr>
        <w:t>十五</w:t>
      </w:r>
      <w:r>
        <w:rPr>
          <w:rFonts w:hint="eastAsia" w:ascii="宋体" w:hAnsi="宋体" w:eastAsia="宋体" w:cs="宋体"/>
          <w:b/>
          <w:color w:val="auto"/>
          <w:sz w:val="28"/>
          <w:szCs w:val="28"/>
          <w:highlight w:val="none"/>
        </w:rPr>
        <w:t>：封面格式</w:t>
      </w:r>
      <w:bookmarkEnd w:id="197"/>
      <w:bookmarkEnd w:id="198"/>
      <w:bookmarkEnd w:id="199"/>
      <w:bookmarkEnd w:id="200"/>
      <w:bookmarkEnd w:id="201"/>
    </w:p>
    <w:tbl>
      <w:tblPr>
        <w:tblStyle w:val="31"/>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2"/>
        <w:gridCol w:w="4467"/>
      </w:tblGrid>
      <w:tr>
        <w:tblPrEx>
          <w:tblLayout w:type="fixed"/>
        </w:tblPrEx>
        <w:trPr>
          <w:trHeight w:val="3917" w:hRule="atLeast"/>
          <w:jc w:val="center"/>
        </w:trPr>
        <w:tc>
          <w:tcPr>
            <w:tcW w:w="5012" w:type="dxa"/>
          </w:tcPr>
          <w:p>
            <w:pPr>
              <w:pStyle w:val="26"/>
              <w:spacing w:before="0" w:beforeAutospacing="0" w:after="0" w:afterAutospacing="0" w:line="360" w:lineRule="auto"/>
              <w:ind w:firstLine="1656" w:firstLineChars="550"/>
              <w:rPr>
                <w:rFonts w:hint="eastAsia" w:ascii="宋体" w:hAnsi="宋体" w:eastAsia="宋体" w:cs="宋体"/>
                <w:b/>
                <w:color w:val="auto"/>
                <w:sz w:val="30"/>
                <w:szCs w:val="24"/>
                <w:highlight w:val="none"/>
              </w:rPr>
            </w:pPr>
            <w:r>
              <w:rPr>
                <w:rFonts w:hint="eastAsia" w:ascii="宋体" w:hAnsi="宋体" w:eastAsia="宋体" w:cs="宋体"/>
                <w:b/>
                <w:color w:val="auto"/>
                <w:sz w:val="30"/>
                <w:szCs w:val="24"/>
                <w:highlight w:val="none"/>
              </w:rPr>
              <w:t>报价文件</w:t>
            </w:r>
          </w:p>
          <w:p>
            <w:pPr>
              <w:pStyle w:val="26"/>
              <w:spacing w:before="0" w:beforeAutospacing="0" w:after="0" w:afterAutospacing="0" w:line="360" w:lineRule="auto"/>
              <w:ind w:firstLine="1506" w:firstLineChars="500"/>
              <w:rPr>
                <w:rFonts w:hint="eastAsia" w:ascii="宋体" w:hAnsi="宋体" w:eastAsia="宋体" w:cs="宋体"/>
                <w:color w:val="auto"/>
                <w:sz w:val="30"/>
                <w:szCs w:val="24"/>
                <w:highlight w:val="none"/>
              </w:rPr>
            </w:pPr>
            <w:r>
              <w:rPr>
                <w:rFonts w:hint="eastAsia" w:ascii="宋体" w:hAnsi="宋体" w:eastAsia="宋体" w:cs="宋体"/>
                <w:b/>
                <w:color w:val="auto"/>
                <w:sz w:val="30"/>
                <w:szCs w:val="24"/>
                <w:highlight w:val="none"/>
              </w:rPr>
              <w:t>（正本）</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供应商名称（公章）：</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传真：</w:t>
            </w:r>
          </w:p>
        </w:tc>
        <w:tc>
          <w:tcPr>
            <w:tcW w:w="4467" w:type="dxa"/>
          </w:tcPr>
          <w:p>
            <w:pPr>
              <w:pStyle w:val="26"/>
              <w:spacing w:before="0" w:beforeAutospacing="0" w:after="0" w:afterAutospacing="0" w:line="360" w:lineRule="auto"/>
              <w:ind w:firstLine="1506" w:firstLineChars="500"/>
              <w:rPr>
                <w:rFonts w:hint="eastAsia" w:ascii="宋体" w:hAnsi="宋体" w:eastAsia="宋体" w:cs="宋体"/>
                <w:b/>
                <w:color w:val="auto"/>
                <w:sz w:val="30"/>
                <w:szCs w:val="24"/>
                <w:highlight w:val="none"/>
              </w:rPr>
            </w:pPr>
            <w:r>
              <w:rPr>
                <w:rFonts w:hint="eastAsia" w:ascii="宋体" w:hAnsi="宋体" w:eastAsia="宋体" w:cs="宋体"/>
                <w:b/>
                <w:color w:val="auto"/>
                <w:sz w:val="30"/>
                <w:szCs w:val="24"/>
                <w:highlight w:val="none"/>
              </w:rPr>
              <w:t>报价文件</w:t>
            </w:r>
          </w:p>
          <w:p>
            <w:pPr>
              <w:pStyle w:val="26"/>
              <w:spacing w:before="0" w:beforeAutospacing="0" w:after="0" w:afterAutospacing="0" w:line="360" w:lineRule="auto"/>
              <w:ind w:firstLine="1506" w:firstLineChars="500"/>
              <w:rPr>
                <w:rFonts w:hint="eastAsia" w:ascii="宋体" w:hAnsi="宋体" w:eastAsia="宋体" w:cs="宋体"/>
                <w:color w:val="auto"/>
                <w:sz w:val="30"/>
                <w:szCs w:val="24"/>
                <w:highlight w:val="none"/>
              </w:rPr>
            </w:pPr>
            <w:r>
              <w:rPr>
                <w:rFonts w:hint="eastAsia" w:ascii="宋体" w:hAnsi="宋体" w:eastAsia="宋体" w:cs="宋体"/>
                <w:b/>
                <w:color w:val="auto"/>
                <w:sz w:val="30"/>
                <w:szCs w:val="24"/>
                <w:highlight w:val="none"/>
              </w:rPr>
              <w:t>（副本）</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供应商名称（公章）：</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p>
          <w:p>
            <w:pPr>
              <w:pStyle w:val="26"/>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w:t>
            </w:r>
          </w:p>
          <w:p>
            <w:pPr>
              <w:pStyle w:val="26"/>
              <w:spacing w:before="0" w:beforeAutospacing="0" w:after="0" w:afterAutospacing="0" w:line="360" w:lineRule="auto"/>
              <w:rPr>
                <w:rFonts w:hint="eastAsia" w:ascii="宋体" w:hAnsi="宋体" w:eastAsia="宋体" w:cs="宋体"/>
                <w:color w:val="auto"/>
                <w:sz w:val="32"/>
                <w:szCs w:val="24"/>
                <w:highlight w:val="none"/>
              </w:rPr>
            </w:pPr>
            <w:r>
              <w:rPr>
                <w:rFonts w:hint="eastAsia" w:ascii="宋体" w:hAnsi="宋体" w:eastAsia="宋体" w:cs="宋体"/>
                <w:color w:val="auto"/>
                <w:szCs w:val="24"/>
                <w:highlight w:val="none"/>
              </w:rPr>
              <w:t>传真：</w:t>
            </w:r>
          </w:p>
        </w:tc>
      </w:tr>
    </w:tbl>
    <w:p>
      <w:pPr>
        <w:pStyle w:val="26"/>
        <w:spacing w:line="300" w:lineRule="exact"/>
        <w:rPr>
          <w:rFonts w:hint="eastAsia" w:ascii="宋体" w:hAnsi="宋体" w:eastAsia="宋体" w:cs="宋体"/>
          <w:color w:val="auto"/>
          <w:highlight w:val="none"/>
        </w:rPr>
      </w:pPr>
    </w:p>
    <w:tbl>
      <w:tblPr>
        <w:tblStyle w:val="31"/>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7"/>
        <w:gridCol w:w="4455"/>
      </w:tblGrid>
      <w:tr>
        <w:tblPrEx>
          <w:tblLayout w:type="fixed"/>
        </w:tblPrEx>
        <w:trPr>
          <w:trHeight w:val="4232" w:hRule="atLeast"/>
          <w:jc w:val="center"/>
        </w:trPr>
        <w:tc>
          <w:tcPr>
            <w:tcW w:w="5047" w:type="dxa"/>
            <w:vAlign w:val="top"/>
          </w:tcPr>
          <w:p>
            <w:pPr>
              <w:pStyle w:val="13"/>
              <w:spacing w:line="480" w:lineRule="exact"/>
              <w:ind w:left="152" w:leftChars="0" w:hanging="152" w:hangingChars="63"/>
              <w:rPr>
                <w:rFonts w:hint="eastAsia" w:ascii="宋体" w:hAnsi="宋体" w:eastAsia="宋体" w:cs="宋体"/>
                <w:sz w:val="24"/>
                <w:highlight w:val="none"/>
                <w:lang w:eastAsia="zh-CN"/>
              </w:rPr>
            </w:pPr>
            <w:r>
              <w:rPr>
                <w:rFonts w:hint="eastAsia" w:ascii="宋体" w:hAnsi="宋体" w:eastAsia="宋体" w:cs="宋体"/>
                <w:b/>
                <w:sz w:val="24"/>
                <w:highlight w:val="none"/>
              </w:rPr>
              <w:t>报价一览表</w:t>
            </w:r>
          </w:p>
          <w:p>
            <w:pPr>
              <w:pStyle w:val="13"/>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项目编号：</w:t>
            </w:r>
          </w:p>
          <w:p>
            <w:pPr>
              <w:pStyle w:val="13"/>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项目名称：</w:t>
            </w:r>
          </w:p>
          <w:p>
            <w:pPr>
              <w:pStyle w:val="1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供应商名称（公章）：</w:t>
            </w:r>
          </w:p>
          <w:p>
            <w:pPr>
              <w:pStyle w:val="1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地址：</w:t>
            </w:r>
          </w:p>
          <w:p>
            <w:pPr>
              <w:pStyle w:val="1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电话：</w:t>
            </w:r>
          </w:p>
          <w:p>
            <w:pPr>
              <w:pStyle w:val="13"/>
              <w:spacing w:line="480" w:lineRule="exact"/>
              <w:ind w:left="151" w:leftChars="0" w:hanging="151" w:hangingChars="63"/>
              <w:rPr>
                <w:rFonts w:hint="eastAsia" w:ascii="宋体" w:hAnsi="宋体" w:eastAsia="宋体" w:cs="宋体"/>
                <w:color w:val="auto"/>
                <w:szCs w:val="24"/>
                <w:highlight w:val="none"/>
              </w:rPr>
            </w:pPr>
            <w:r>
              <w:rPr>
                <w:rFonts w:hint="eastAsia" w:ascii="宋体" w:hAnsi="宋体" w:eastAsia="宋体" w:cs="宋体"/>
                <w:sz w:val="24"/>
                <w:highlight w:val="none"/>
              </w:rPr>
              <w:t>传真：</w:t>
            </w:r>
          </w:p>
        </w:tc>
        <w:tc>
          <w:tcPr>
            <w:tcW w:w="4455" w:type="dxa"/>
            <w:vAlign w:val="top"/>
          </w:tcPr>
          <w:p>
            <w:pPr>
              <w:pStyle w:val="13"/>
              <w:spacing w:line="480" w:lineRule="exact"/>
              <w:ind w:left="152" w:leftChars="0" w:hanging="152" w:hangingChars="63"/>
              <w:rPr>
                <w:rFonts w:hint="eastAsia" w:ascii="宋体" w:hAnsi="宋体" w:eastAsia="宋体" w:cs="宋体"/>
                <w:sz w:val="24"/>
                <w:highlight w:val="none"/>
                <w:lang w:eastAsia="zh-CN"/>
              </w:rPr>
            </w:pPr>
            <w:r>
              <w:rPr>
                <w:rFonts w:hint="eastAsia" w:ascii="宋体" w:hAnsi="宋体" w:eastAsia="宋体" w:cs="宋体"/>
                <w:b/>
                <w:sz w:val="24"/>
                <w:highlight w:val="none"/>
              </w:rPr>
              <w:t>资质证明文件</w:t>
            </w:r>
          </w:p>
          <w:p>
            <w:pPr>
              <w:pStyle w:val="13"/>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项目编号：</w:t>
            </w:r>
          </w:p>
          <w:p>
            <w:pPr>
              <w:pStyle w:val="13"/>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项目名称：</w:t>
            </w:r>
          </w:p>
          <w:p>
            <w:pPr>
              <w:pStyle w:val="1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供应商名称（公章）：</w:t>
            </w:r>
          </w:p>
          <w:p>
            <w:pPr>
              <w:pStyle w:val="1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地址：</w:t>
            </w:r>
          </w:p>
          <w:p>
            <w:pPr>
              <w:pStyle w:val="1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电话：</w:t>
            </w:r>
          </w:p>
          <w:p>
            <w:pPr>
              <w:pStyle w:val="13"/>
              <w:spacing w:line="480" w:lineRule="exact"/>
              <w:ind w:left="151" w:leftChars="0" w:hanging="151" w:hangingChars="63"/>
              <w:rPr>
                <w:rFonts w:hint="eastAsia" w:ascii="宋体" w:hAnsi="宋体" w:eastAsia="宋体" w:cs="宋体"/>
                <w:color w:val="auto"/>
                <w:szCs w:val="24"/>
                <w:highlight w:val="none"/>
              </w:rPr>
            </w:pPr>
            <w:r>
              <w:rPr>
                <w:rFonts w:hint="eastAsia" w:ascii="宋体" w:hAnsi="宋体" w:eastAsia="宋体" w:cs="宋体"/>
                <w:sz w:val="24"/>
                <w:highlight w:val="none"/>
              </w:rPr>
              <w:t>传真：</w:t>
            </w:r>
          </w:p>
        </w:tc>
      </w:tr>
    </w:tbl>
    <w:p>
      <w:pPr>
        <w:pStyle w:val="17"/>
        <w:rPr>
          <w:rFonts w:hint="eastAsia" w:ascii="宋体" w:hAnsi="宋体" w:eastAsia="宋体" w:cs="宋体"/>
          <w:highlight w:val="none"/>
        </w:rPr>
      </w:pPr>
    </w:p>
    <w:bookmarkEnd w:id="128"/>
    <w:bookmarkEnd w:id="129"/>
    <w:bookmarkEnd w:id="130"/>
    <w:bookmarkEnd w:id="131"/>
    <w:p>
      <w:pPr>
        <w:widowControl/>
        <w:jc w:val="left"/>
        <w:rPr>
          <w:rFonts w:hint="eastAsia" w:ascii="宋体" w:hAnsi="宋体" w:eastAsia="宋体" w:cs="宋体"/>
          <w:b/>
          <w:kern w:val="0"/>
          <w:sz w:val="30"/>
          <w:szCs w:val="30"/>
          <w:highlight w:val="none"/>
        </w:rPr>
      </w:pPr>
    </w:p>
    <w:p>
      <w:pPr>
        <w:pStyle w:val="66"/>
        <w:rPr>
          <w:rFonts w:hint="eastAsia" w:ascii="宋体" w:hAnsi="宋体" w:eastAsia="宋体" w:cs="宋体"/>
          <w:b/>
          <w:kern w:val="0"/>
          <w:sz w:val="30"/>
          <w:szCs w:val="30"/>
          <w:highlight w:val="none"/>
        </w:rPr>
      </w:pPr>
    </w:p>
    <w:p>
      <w:pPr>
        <w:rPr>
          <w:rFonts w:hint="eastAsia" w:ascii="宋体" w:hAnsi="宋体" w:eastAsia="宋体" w:cs="宋体"/>
          <w:b/>
          <w:kern w:val="0"/>
          <w:sz w:val="30"/>
          <w:szCs w:val="30"/>
          <w:highlight w:val="none"/>
        </w:rPr>
      </w:pPr>
    </w:p>
    <w:p>
      <w:pPr>
        <w:pStyle w:val="66"/>
        <w:rPr>
          <w:rFonts w:hint="eastAsia" w:ascii="宋体" w:hAnsi="宋体" w:eastAsia="宋体" w:cs="宋体"/>
          <w:b/>
          <w:kern w:val="0"/>
          <w:sz w:val="30"/>
          <w:szCs w:val="30"/>
          <w:highlight w:val="none"/>
        </w:rPr>
      </w:pPr>
    </w:p>
    <w:p>
      <w:pPr>
        <w:rPr>
          <w:rFonts w:hint="eastAsia" w:ascii="宋体" w:hAnsi="宋体" w:eastAsia="宋体" w:cs="宋体"/>
          <w:b/>
          <w:kern w:val="0"/>
          <w:sz w:val="30"/>
          <w:szCs w:val="30"/>
          <w:highlight w:val="none"/>
        </w:rPr>
      </w:pPr>
    </w:p>
    <w:p>
      <w:pPr>
        <w:pStyle w:val="66"/>
        <w:rPr>
          <w:rFonts w:hint="eastAsia" w:ascii="宋体" w:hAnsi="宋体" w:eastAsia="宋体" w:cs="宋体"/>
          <w:b/>
          <w:kern w:val="0"/>
          <w:sz w:val="30"/>
          <w:szCs w:val="30"/>
          <w:highlight w:val="none"/>
        </w:rPr>
      </w:pPr>
    </w:p>
    <w:p>
      <w:pPr>
        <w:rPr>
          <w:rFonts w:hint="eastAsia" w:ascii="宋体" w:hAnsi="宋体" w:eastAsia="宋体" w:cs="宋体"/>
          <w:b/>
          <w:kern w:val="0"/>
          <w:sz w:val="30"/>
          <w:szCs w:val="30"/>
          <w:highlight w:val="none"/>
        </w:rPr>
      </w:pPr>
    </w:p>
    <w:p>
      <w:pPr>
        <w:pStyle w:val="66"/>
        <w:rPr>
          <w:rFonts w:hint="eastAsia" w:ascii="宋体" w:hAnsi="宋体" w:eastAsia="宋体" w:cs="宋体"/>
          <w:highlight w:val="none"/>
        </w:rPr>
      </w:pPr>
    </w:p>
    <w:p>
      <w:pPr>
        <w:spacing w:after="120" w:afterLines="50"/>
        <w:jc w:val="center"/>
        <w:outlineLvl w:val="0"/>
        <w:rPr>
          <w:rFonts w:hint="eastAsia" w:ascii="宋体" w:hAnsi="宋体" w:eastAsia="宋体" w:cs="宋体"/>
          <w:b/>
          <w:sz w:val="36"/>
          <w:szCs w:val="36"/>
          <w:highlight w:val="none"/>
        </w:rPr>
      </w:pPr>
      <w:bookmarkStart w:id="202" w:name="_Toc10390"/>
      <w:r>
        <w:rPr>
          <w:rFonts w:hint="eastAsia" w:ascii="宋体" w:hAnsi="宋体" w:eastAsia="宋体" w:cs="宋体"/>
          <w:b/>
          <w:sz w:val="36"/>
          <w:szCs w:val="36"/>
          <w:highlight w:val="none"/>
        </w:rPr>
        <w:t>第六章评审标准</w:t>
      </w:r>
      <w:bookmarkEnd w:id="202"/>
    </w:p>
    <w:p>
      <w:pPr>
        <w:keepNext w:val="0"/>
        <w:keepLines w:val="0"/>
        <w:pageBreakBefore w:val="0"/>
        <w:widowControl w:val="0"/>
        <w:kinsoku/>
        <w:wordWrap/>
        <w:overflowPunct/>
        <w:topLinePunct w:val="0"/>
        <w:autoSpaceDE/>
        <w:autoSpaceDN/>
        <w:bidi w:val="0"/>
        <w:adjustRightInd/>
        <w:snapToGrid/>
        <w:spacing w:line="476"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本次评审采用综合评分法（百分制打分法），满分100分。</w:t>
      </w:r>
    </w:p>
    <w:p>
      <w:pPr>
        <w:keepNext w:val="0"/>
        <w:keepLines w:val="0"/>
        <w:pageBreakBefore w:val="0"/>
        <w:widowControl w:val="0"/>
        <w:kinsoku/>
        <w:wordWrap/>
        <w:overflowPunct/>
        <w:topLinePunct w:val="0"/>
        <w:autoSpaceDE/>
        <w:autoSpaceDN/>
        <w:bidi w:val="0"/>
        <w:adjustRightInd/>
        <w:snapToGrid/>
        <w:spacing w:line="476"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打分前，首先进行竞争性磋商响应文件的符合性评审。竞争性磋商响应文件应实质性响应磋商文件的所有条款、条件，所谓实质上响应是指响应文件应与磋商文件的所有实质性条款、条件和规定相符，无显著差异或保留，或者对合同中约定的采购人的权利和供应商的义务方面未造成重大的限制，纠正这些显著差异或保留，不会对其他实质上响应磋商文件要求的供应商的竞争地位产生不公正的影响。响应文件能实质性响应磋商文件的供应商进入评审打分阶段。</w:t>
      </w:r>
    </w:p>
    <w:p>
      <w:pPr>
        <w:keepNext w:val="0"/>
        <w:keepLines w:val="0"/>
        <w:pageBreakBefore w:val="0"/>
        <w:widowControl w:val="0"/>
        <w:kinsoku/>
        <w:wordWrap/>
        <w:overflowPunct/>
        <w:topLinePunct w:val="0"/>
        <w:autoSpaceDE/>
        <w:autoSpaceDN/>
        <w:bidi w:val="0"/>
        <w:adjustRightInd/>
        <w:snapToGrid/>
        <w:spacing w:line="476"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按附表所述的评审标准，由磋商小组成员对供应商的响应文件进行综合评审，并打分。磋商小组择优推荐成交候选供应商。</w:t>
      </w:r>
    </w:p>
    <w:p>
      <w:pPr>
        <w:pStyle w:val="2"/>
        <w:numPr>
          <w:ilvl w:val="0"/>
          <w:numId w:val="7"/>
        </w:numPr>
        <w:bidi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bookmarkEnd w:id="0"/>
    <w:tbl>
      <w:tblPr>
        <w:tblStyle w:val="31"/>
        <w:tblW w:w="95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952"/>
        <w:gridCol w:w="1025"/>
        <w:gridCol w:w="6030"/>
      </w:tblGrid>
      <w:tr>
        <w:tblPrEx>
          <w:tblLayout w:type="fixed"/>
        </w:tblPrEx>
        <w:trPr>
          <w:trHeight w:val="647" w:hRule="atLeast"/>
        </w:trPr>
        <w:tc>
          <w:tcPr>
            <w:tcW w:w="2451" w:type="dxa"/>
            <w:gridSpan w:val="2"/>
          </w:tcPr>
          <w:p>
            <w:pPr>
              <w:pStyle w:val="64"/>
              <w:spacing w:before="4"/>
              <w:rPr>
                <w:rFonts w:hint="eastAsia" w:ascii="宋体" w:hAnsi="宋体" w:eastAsia="宋体" w:cs="宋体"/>
                <w:sz w:val="14"/>
                <w:highlight w:val="none"/>
              </w:rPr>
            </w:pPr>
          </w:p>
          <w:p>
            <w:pPr>
              <w:pStyle w:val="64"/>
              <w:ind w:left="868" w:right="858"/>
              <w:jc w:val="center"/>
              <w:rPr>
                <w:rFonts w:hint="eastAsia" w:ascii="宋体" w:hAnsi="宋体" w:eastAsia="宋体" w:cs="宋体"/>
                <w:b/>
                <w:sz w:val="21"/>
                <w:highlight w:val="none"/>
              </w:rPr>
            </w:pPr>
            <w:r>
              <w:rPr>
                <w:rFonts w:hint="eastAsia" w:ascii="宋体" w:hAnsi="宋体" w:eastAsia="宋体" w:cs="宋体"/>
                <w:b/>
                <w:sz w:val="21"/>
                <w:highlight w:val="none"/>
              </w:rPr>
              <w:t>条款号</w:t>
            </w:r>
          </w:p>
        </w:tc>
        <w:tc>
          <w:tcPr>
            <w:tcW w:w="1025" w:type="dxa"/>
          </w:tcPr>
          <w:p>
            <w:pPr>
              <w:pStyle w:val="64"/>
              <w:spacing w:before="49" w:line="244" w:lineRule="auto"/>
              <w:ind w:left="293" w:right="280"/>
              <w:rPr>
                <w:rFonts w:hint="eastAsia" w:ascii="宋体" w:hAnsi="宋体" w:eastAsia="宋体" w:cs="宋体"/>
                <w:b/>
                <w:sz w:val="21"/>
                <w:highlight w:val="none"/>
              </w:rPr>
            </w:pPr>
            <w:r>
              <w:rPr>
                <w:rFonts w:hint="eastAsia" w:ascii="宋体" w:hAnsi="宋体" w:eastAsia="宋体" w:cs="宋体"/>
                <w:b/>
                <w:sz w:val="21"/>
                <w:highlight w:val="none"/>
              </w:rPr>
              <w:t>评分因素</w:t>
            </w:r>
          </w:p>
        </w:tc>
        <w:tc>
          <w:tcPr>
            <w:tcW w:w="6030" w:type="dxa"/>
          </w:tcPr>
          <w:p>
            <w:pPr>
              <w:pStyle w:val="64"/>
              <w:spacing w:before="4"/>
              <w:rPr>
                <w:rFonts w:hint="eastAsia" w:ascii="宋体" w:hAnsi="宋体" w:eastAsia="宋体" w:cs="宋体"/>
                <w:sz w:val="14"/>
                <w:highlight w:val="none"/>
              </w:rPr>
            </w:pPr>
          </w:p>
          <w:p>
            <w:pPr>
              <w:pStyle w:val="64"/>
              <w:ind w:left="2602" w:right="2591"/>
              <w:jc w:val="center"/>
              <w:rPr>
                <w:rFonts w:hint="eastAsia" w:ascii="宋体" w:hAnsi="宋体" w:eastAsia="宋体" w:cs="宋体"/>
                <w:b/>
                <w:sz w:val="21"/>
                <w:highlight w:val="none"/>
              </w:rPr>
            </w:pPr>
            <w:r>
              <w:rPr>
                <w:rFonts w:hint="eastAsia" w:ascii="宋体" w:hAnsi="宋体" w:eastAsia="宋体" w:cs="宋体"/>
                <w:b/>
                <w:sz w:val="21"/>
                <w:highlight w:val="none"/>
              </w:rPr>
              <w:t>评分标准</w:t>
            </w:r>
          </w:p>
        </w:tc>
      </w:tr>
      <w:tr>
        <w:tblPrEx>
          <w:tblLayout w:type="fixed"/>
        </w:tblPrEx>
        <w:trPr>
          <w:trHeight w:val="1785" w:hRule="atLeast"/>
        </w:trPr>
        <w:tc>
          <w:tcPr>
            <w:tcW w:w="499" w:type="dxa"/>
          </w:tcPr>
          <w:p>
            <w:pPr>
              <w:pStyle w:val="64"/>
              <w:rPr>
                <w:rFonts w:hint="eastAsia" w:ascii="宋体" w:hAnsi="宋体" w:eastAsia="宋体" w:cs="宋体"/>
                <w:sz w:val="20"/>
                <w:highlight w:val="none"/>
              </w:rPr>
            </w:pPr>
          </w:p>
          <w:p>
            <w:pPr>
              <w:pStyle w:val="64"/>
              <w:rPr>
                <w:rFonts w:hint="eastAsia" w:ascii="宋体" w:hAnsi="宋体" w:eastAsia="宋体" w:cs="宋体"/>
                <w:sz w:val="20"/>
                <w:highlight w:val="none"/>
              </w:rPr>
            </w:pPr>
          </w:p>
          <w:p>
            <w:pPr>
              <w:pStyle w:val="64"/>
              <w:spacing w:before="11"/>
              <w:rPr>
                <w:rFonts w:hint="eastAsia" w:ascii="宋体" w:hAnsi="宋体" w:eastAsia="宋体" w:cs="宋体"/>
                <w:sz w:val="18"/>
                <w:highlight w:val="none"/>
              </w:rPr>
            </w:pPr>
          </w:p>
          <w:p>
            <w:pPr>
              <w:pStyle w:val="64"/>
              <w:spacing w:before="1"/>
              <w:ind w:left="9"/>
              <w:jc w:val="center"/>
              <w:rPr>
                <w:rFonts w:hint="eastAsia" w:ascii="宋体" w:hAnsi="宋体" w:eastAsia="宋体" w:cs="宋体"/>
                <w:b/>
                <w:sz w:val="21"/>
                <w:highlight w:val="none"/>
              </w:rPr>
            </w:pPr>
            <w:r>
              <w:rPr>
                <w:rFonts w:hint="eastAsia" w:ascii="宋体" w:hAnsi="宋体" w:eastAsia="宋体" w:cs="宋体"/>
                <w:b/>
                <w:w w:val="100"/>
                <w:sz w:val="21"/>
                <w:highlight w:val="none"/>
              </w:rPr>
              <w:t>一</w:t>
            </w:r>
          </w:p>
        </w:tc>
        <w:tc>
          <w:tcPr>
            <w:tcW w:w="1952" w:type="dxa"/>
          </w:tcPr>
          <w:p>
            <w:pPr>
              <w:pStyle w:val="64"/>
              <w:rPr>
                <w:rFonts w:hint="eastAsia" w:ascii="宋体" w:hAnsi="宋体" w:eastAsia="宋体" w:cs="宋体"/>
                <w:sz w:val="20"/>
                <w:highlight w:val="none"/>
              </w:rPr>
            </w:pPr>
          </w:p>
          <w:p>
            <w:pPr>
              <w:pStyle w:val="64"/>
              <w:rPr>
                <w:rFonts w:hint="eastAsia" w:ascii="宋体" w:hAnsi="宋体" w:eastAsia="宋体" w:cs="宋体"/>
                <w:sz w:val="20"/>
                <w:highlight w:val="none"/>
              </w:rPr>
            </w:pPr>
          </w:p>
          <w:p>
            <w:pPr>
              <w:pStyle w:val="64"/>
              <w:spacing w:before="11"/>
              <w:rPr>
                <w:rFonts w:hint="eastAsia" w:ascii="宋体" w:hAnsi="宋体" w:eastAsia="宋体" w:cs="宋体"/>
                <w:sz w:val="18"/>
                <w:highlight w:val="none"/>
              </w:rPr>
            </w:pPr>
          </w:p>
          <w:p>
            <w:pPr>
              <w:pStyle w:val="64"/>
              <w:spacing w:before="1"/>
              <w:ind w:left="10"/>
              <w:jc w:val="center"/>
              <w:rPr>
                <w:rFonts w:hint="eastAsia" w:ascii="宋体" w:hAnsi="宋体" w:eastAsia="宋体" w:cs="宋体"/>
                <w:b/>
                <w:sz w:val="21"/>
                <w:highlight w:val="none"/>
              </w:rPr>
            </w:pPr>
            <w:r>
              <w:rPr>
                <w:rFonts w:hint="eastAsia" w:ascii="宋体" w:hAnsi="宋体" w:eastAsia="宋体" w:cs="宋体"/>
                <w:b/>
                <w:sz w:val="21"/>
                <w:highlight w:val="none"/>
              </w:rPr>
              <w:t>报价</w:t>
            </w:r>
          </w:p>
        </w:tc>
        <w:tc>
          <w:tcPr>
            <w:tcW w:w="1025" w:type="dxa"/>
          </w:tcPr>
          <w:p>
            <w:pPr>
              <w:pStyle w:val="64"/>
              <w:rPr>
                <w:rFonts w:hint="eastAsia" w:ascii="宋体" w:hAnsi="宋体" w:eastAsia="宋体" w:cs="宋体"/>
                <w:sz w:val="20"/>
                <w:highlight w:val="none"/>
              </w:rPr>
            </w:pPr>
          </w:p>
          <w:p>
            <w:pPr>
              <w:pStyle w:val="64"/>
              <w:rPr>
                <w:rFonts w:hint="eastAsia" w:ascii="宋体" w:hAnsi="宋体" w:eastAsia="宋体" w:cs="宋体"/>
                <w:sz w:val="20"/>
                <w:highlight w:val="none"/>
              </w:rPr>
            </w:pPr>
          </w:p>
          <w:p>
            <w:pPr>
              <w:pStyle w:val="64"/>
              <w:spacing w:before="11"/>
              <w:rPr>
                <w:rFonts w:hint="eastAsia" w:ascii="宋体" w:hAnsi="宋体" w:eastAsia="宋体" w:cs="宋体"/>
                <w:sz w:val="18"/>
                <w:highlight w:val="none"/>
              </w:rPr>
            </w:pPr>
          </w:p>
          <w:p>
            <w:pPr>
              <w:pStyle w:val="64"/>
              <w:spacing w:before="1"/>
              <w:ind w:right="251"/>
              <w:jc w:val="right"/>
              <w:rPr>
                <w:rFonts w:hint="eastAsia" w:ascii="宋体" w:hAnsi="宋体" w:eastAsia="宋体" w:cs="宋体"/>
                <w:b/>
                <w:sz w:val="21"/>
                <w:highlight w:val="none"/>
              </w:rPr>
            </w:pPr>
            <w:r>
              <w:rPr>
                <w:rFonts w:hint="eastAsia" w:ascii="宋体" w:hAnsi="宋体" w:eastAsia="宋体" w:cs="宋体"/>
                <w:b/>
                <w:sz w:val="21"/>
                <w:highlight w:val="none"/>
              </w:rPr>
              <w:t>3</w:t>
            </w:r>
            <w:r>
              <w:rPr>
                <w:rFonts w:hint="eastAsia" w:ascii="宋体" w:hAnsi="宋体" w:eastAsia="宋体" w:cs="宋体"/>
                <w:b/>
                <w:sz w:val="21"/>
                <w:highlight w:val="none"/>
                <w:lang w:val="en-US" w:eastAsia="zh-CN"/>
              </w:rPr>
              <w:t>0</w:t>
            </w:r>
            <w:r>
              <w:rPr>
                <w:rFonts w:hint="eastAsia" w:ascii="宋体" w:hAnsi="宋体" w:eastAsia="宋体" w:cs="宋体"/>
                <w:b/>
                <w:sz w:val="21"/>
                <w:highlight w:val="none"/>
              </w:rPr>
              <w:t>分</w:t>
            </w:r>
          </w:p>
        </w:tc>
        <w:tc>
          <w:tcPr>
            <w:tcW w:w="6030" w:type="dxa"/>
          </w:tcPr>
          <w:p>
            <w:pPr>
              <w:pStyle w:val="64"/>
              <w:spacing w:before="10"/>
              <w:rPr>
                <w:rFonts w:hint="eastAsia" w:ascii="宋体" w:hAnsi="宋体" w:eastAsia="宋体" w:cs="宋体"/>
                <w:sz w:val="15"/>
                <w:highlight w:val="none"/>
              </w:rPr>
            </w:pPr>
          </w:p>
          <w:p>
            <w:pPr>
              <w:pStyle w:val="64"/>
              <w:spacing w:line="357" w:lineRule="auto"/>
              <w:ind w:left="111" w:right="89"/>
              <w:jc w:val="both"/>
              <w:rPr>
                <w:rFonts w:hint="eastAsia" w:ascii="宋体" w:hAnsi="宋体" w:eastAsia="宋体" w:cs="宋体"/>
                <w:sz w:val="21"/>
                <w:highlight w:val="none"/>
              </w:rPr>
            </w:pPr>
            <w:r>
              <w:rPr>
                <w:rFonts w:hint="eastAsia" w:ascii="宋体" w:hAnsi="宋体" w:eastAsia="宋体" w:cs="宋体"/>
                <w:spacing w:val="-6"/>
                <w:sz w:val="21"/>
                <w:highlight w:val="none"/>
              </w:rPr>
              <w:t>供应商的报价得分统一采用最低价优先法计算，即满足磋商文件</w:t>
            </w:r>
            <w:r>
              <w:rPr>
                <w:rFonts w:hint="eastAsia" w:ascii="宋体" w:hAnsi="宋体" w:eastAsia="宋体" w:cs="宋体"/>
                <w:spacing w:val="-7"/>
                <w:sz w:val="21"/>
                <w:highlight w:val="none"/>
              </w:rPr>
              <w:t>要求且最终报价最低的供应商的价格为磋商基准价，其报价得分</w:t>
            </w:r>
            <w:r>
              <w:rPr>
                <w:rFonts w:hint="eastAsia" w:ascii="宋体" w:hAnsi="宋体" w:eastAsia="宋体" w:cs="宋体"/>
                <w:spacing w:val="-13"/>
                <w:sz w:val="21"/>
                <w:highlight w:val="none"/>
              </w:rPr>
              <w:t>为满分</w:t>
            </w:r>
            <w:r>
              <w:rPr>
                <w:rFonts w:hint="eastAsia" w:ascii="宋体" w:hAnsi="宋体" w:eastAsia="宋体" w:cs="宋体"/>
                <w:b/>
                <w:sz w:val="21"/>
                <w:highlight w:val="none"/>
              </w:rPr>
              <w:t>3</w:t>
            </w:r>
            <w:r>
              <w:rPr>
                <w:rFonts w:hint="eastAsia" w:ascii="宋体" w:hAnsi="宋体" w:eastAsia="宋体" w:cs="宋体"/>
                <w:b/>
                <w:sz w:val="21"/>
                <w:highlight w:val="none"/>
                <w:lang w:val="en-US" w:eastAsia="zh-CN"/>
              </w:rPr>
              <w:t>0</w:t>
            </w:r>
            <w:r>
              <w:rPr>
                <w:rFonts w:hint="eastAsia" w:ascii="宋体" w:hAnsi="宋体" w:eastAsia="宋体" w:cs="宋体"/>
                <w:b/>
                <w:spacing w:val="-21"/>
                <w:sz w:val="21"/>
                <w:highlight w:val="none"/>
              </w:rPr>
              <w:t>分</w:t>
            </w:r>
            <w:r>
              <w:rPr>
                <w:rFonts w:hint="eastAsia" w:ascii="宋体" w:hAnsi="宋体" w:eastAsia="宋体" w:cs="宋体"/>
                <w:spacing w:val="-5"/>
                <w:sz w:val="21"/>
                <w:highlight w:val="none"/>
              </w:rPr>
              <w:t>。其他供应商的报价得分统一按照下列公式计算：</w:t>
            </w:r>
          </w:p>
          <w:p>
            <w:pPr>
              <w:pStyle w:val="64"/>
              <w:spacing w:line="267" w:lineRule="exact"/>
              <w:ind w:left="111"/>
              <w:rPr>
                <w:rFonts w:hint="eastAsia" w:ascii="宋体" w:hAnsi="宋体" w:eastAsia="宋体" w:cs="宋体"/>
                <w:b/>
                <w:sz w:val="21"/>
                <w:highlight w:val="none"/>
              </w:rPr>
            </w:pPr>
            <w:r>
              <w:rPr>
                <w:rFonts w:hint="eastAsia" w:ascii="宋体" w:hAnsi="宋体" w:eastAsia="宋体" w:cs="宋体"/>
                <w:b/>
                <w:sz w:val="21"/>
                <w:highlight w:val="none"/>
              </w:rPr>
              <w:t>磋商报价得分=（磋商基准价/最终磋商报价）×3</w:t>
            </w:r>
            <w:r>
              <w:rPr>
                <w:rFonts w:hint="eastAsia" w:ascii="宋体" w:hAnsi="宋体" w:eastAsia="宋体" w:cs="宋体"/>
                <w:b/>
                <w:sz w:val="21"/>
                <w:highlight w:val="none"/>
                <w:lang w:val="en-US" w:eastAsia="zh-CN"/>
              </w:rPr>
              <w:t>0</w:t>
            </w:r>
            <w:r>
              <w:rPr>
                <w:rFonts w:hint="eastAsia" w:ascii="宋体" w:hAnsi="宋体" w:eastAsia="宋体" w:cs="宋体"/>
                <w:b/>
                <w:sz w:val="21"/>
                <w:highlight w:val="none"/>
              </w:rPr>
              <w:t>%×100。</w:t>
            </w:r>
          </w:p>
        </w:tc>
      </w:tr>
      <w:tr>
        <w:tblPrEx>
          <w:tblLayout w:type="fixed"/>
        </w:tblPrEx>
        <w:trPr>
          <w:trHeight w:val="90" w:hRule="atLeast"/>
        </w:trPr>
        <w:tc>
          <w:tcPr>
            <w:tcW w:w="499" w:type="dxa"/>
          </w:tcPr>
          <w:p>
            <w:pPr>
              <w:pStyle w:val="64"/>
              <w:spacing w:before="164"/>
              <w:ind w:left="9"/>
              <w:jc w:val="center"/>
              <w:rPr>
                <w:rFonts w:hint="eastAsia" w:ascii="宋体" w:hAnsi="宋体" w:eastAsia="宋体" w:cs="宋体"/>
                <w:b/>
                <w:sz w:val="21"/>
                <w:highlight w:val="none"/>
              </w:rPr>
            </w:pPr>
            <w:r>
              <w:rPr>
                <w:rFonts w:hint="eastAsia" w:ascii="宋体" w:hAnsi="宋体" w:eastAsia="宋体" w:cs="宋体"/>
                <w:b/>
                <w:w w:val="100"/>
                <w:sz w:val="21"/>
                <w:highlight w:val="none"/>
              </w:rPr>
              <w:t>二</w:t>
            </w:r>
          </w:p>
        </w:tc>
        <w:tc>
          <w:tcPr>
            <w:tcW w:w="1952" w:type="dxa"/>
          </w:tcPr>
          <w:p>
            <w:pPr>
              <w:pStyle w:val="64"/>
              <w:spacing w:before="164"/>
              <w:ind w:left="20"/>
              <w:jc w:val="center"/>
              <w:rPr>
                <w:rFonts w:hint="eastAsia" w:ascii="宋体" w:hAnsi="宋体" w:eastAsia="宋体" w:cs="宋体"/>
                <w:b/>
                <w:sz w:val="21"/>
                <w:highlight w:val="none"/>
                <w:lang w:eastAsia="zh-CN"/>
              </w:rPr>
            </w:pPr>
            <w:r>
              <w:rPr>
                <w:rFonts w:hint="eastAsia" w:ascii="宋体" w:hAnsi="宋体" w:eastAsia="宋体" w:cs="宋体"/>
                <w:b/>
                <w:sz w:val="21"/>
                <w:highlight w:val="none"/>
                <w:lang w:val="en-US" w:eastAsia="zh-CN"/>
              </w:rPr>
              <w:t>技术部分</w:t>
            </w:r>
          </w:p>
        </w:tc>
        <w:tc>
          <w:tcPr>
            <w:tcW w:w="1025" w:type="dxa"/>
          </w:tcPr>
          <w:p>
            <w:pPr>
              <w:pStyle w:val="64"/>
              <w:spacing w:before="164"/>
              <w:ind w:right="251"/>
              <w:jc w:val="right"/>
              <w:rPr>
                <w:rFonts w:hint="eastAsia" w:ascii="宋体" w:hAnsi="宋体" w:eastAsia="宋体" w:cs="宋体"/>
                <w:b/>
                <w:sz w:val="21"/>
                <w:highlight w:val="none"/>
              </w:rPr>
            </w:pPr>
            <w:r>
              <w:rPr>
                <w:rFonts w:hint="eastAsia" w:ascii="宋体" w:hAnsi="宋体" w:eastAsia="宋体" w:cs="宋体"/>
                <w:b/>
                <w:sz w:val="21"/>
                <w:highlight w:val="none"/>
                <w:lang w:val="en-US" w:eastAsia="zh-CN"/>
              </w:rPr>
              <w:t>60</w:t>
            </w:r>
            <w:r>
              <w:rPr>
                <w:rFonts w:hint="eastAsia" w:ascii="宋体" w:hAnsi="宋体" w:eastAsia="宋体" w:cs="宋体"/>
                <w:b/>
                <w:sz w:val="21"/>
                <w:highlight w:val="none"/>
              </w:rPr>
              <w:t>分</w:t>
            </w:r>
          </w:p>
        </w:tc>
        <w:tc>
          <w:tcPr>
            <w:tcW w:w="6030" w:type="dxa"/>
          </w:tcPr>
          <w:p>
            <w:pPr>
              <w:pStyle w:val="64"/>
              <w:rPr>
                <w:rFonts w:hint="eastAsia" w:ascii="宋体" w:hAnsi="宋体" w:eastAsia="宋体" w:cs="宋体"/>
                <w:sz w:val="20"/>
                <w:highlight w:val="none"/>
              </w:rPr>
            </w:pPr>
          </w:p>
        </w:tc>
      </w:tr>
      <w:tr>
        <w:tblPrEx>
          <w:tblLayout w:type="fixed"/>
        </w:tblPrEx>
        <w:trPr>
          <w:trHeight w:val="90"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1</w:t>
            </w:r>
          </w:p>
        </w:tc>
        <w:tc>
          <w:tcPr>
            <w:tcW w:w="1952" w:type="dxa"/>
            <w:vAlign w:val="center"/>
          </w:tcPr>
          <w:p>
            <w:pPr>
              <w:widowControl/>
              <w:adjustRightInd w:val="0"/>
              <w:snapToGrid w:val="0"/>
              <w:spacing w:line="400" w:lineRule="exact"/>
              <w:jc w:val="center"/>
              <w:rPr>
                <w:rFonts w:hint="eastAsia" w:ascii="宋体" w:hAnsi="宋体" w:eastAsia="宋体" w:cs="宋体"/>
                <w:highlight w:val="none"/>
              </w:rPr>
            </w:pPr>
            <w:r>
              <w:rPr>
                <w:rFonts w:hint="eastAsia" w:ascii="宋体" w:hAnsi="宋体" w:eastAsia="宋体" w:cs="宋体"/>
                <w:highlight w:val="none"/>
              </w:rPr>
              <w:t>总体概述</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center"/>
          </w:tcPr>
          <w:p>
            <w:pPr>
              <w:spacing w:line="400" w:lineRule="exact"/>
              <w:rPr>
                <w:rFonts w:hint="eastAsia" w:ascii="宋体" w:hAnsi="宋体" w:eastAsia="宋体" w:cs="宋体"/>
                <w:sz w:val="21"/>
                <w:highlight w:val="none"/>
              </w:rPr>
            </w:pPr>
            <w:r>
              <w:rPr>
                <w:rFonts w:hint="eastAsia" w:ascii="宋体" w:hAnsi="宋体" w:eastAsia="宋体" w:cs="宋体"/>
                <w:sz w:val="22"/>
                <w:szCs w:val="22"/>
                <w:highlight w:val="none"/>
              </w:rPr>
              <w:t>对工程整体的认识表述完整清晰程度，科学、完整、合理得</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分，完整、合理得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分，合理的</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分，缺项或明显不合理不得分；</w:t>
            </w:r>
          </w:p>
        </w:tc>
      </w:tr>
      <w:tr>
        <w:tblPrEx>
          <w:tblLayout w:type="fixed"/>
        </w:tblPrEx>
        <w:trPr>
          <w:trHeight w:val="1038"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2</w:t>
            </w:r>
          </w:p>
        </w:tc>
        <w:tc>
          <w:tcPr>
            <w:tcW w:w="1952" w:type="dxa"/>
            <w:vAlign w:val="center"/>
          </w:tcPr>
          <w:p>
            <w:pPr>
              <w:widowControl/>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施工进度计划和保证措施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szCs w:val="21"/>
                <w:lang w:val="en-US" w:eastAsia="zh-CN"/>
              </w:rPr>
              <w:t>7</w:t>
            </w:r>
            <w:r>
              <w:rPr>
                <w:rFonts w:hint="eastAsia" w:ascii="宋体" w:hAnsi="宋体"/>
                <w:szCs w:val="21"/>
              </w:rPr>
              <w:t>分</w:t>
            </w:r>
          </w:p>
        </w:tc>
        <w:tc>
          <w:tcPr>
            <w:tcW w:w="6030" w:type="dxa"/>
            <w:vAlign w:val="center"/>
          </w:tcPr>
          <w:p>
            <w:pPr>
              <w:spacing w:line="400" w:lineRule="exact"/>
              <w:rPr>
                <w:rFonts w:hint="eastAsia" w:ascii="宋体" w:hAnsi="宋体" w:eastAsia="宋体" w:cs="宋体"/>
                <w:sz w:val="21"/>
                <w:highlight w:val="none"/>
              </w:rPr>
            </w:pPr>
            <w:r>
              <w:rPr>
                <w:rFonts w:hint="eastAsia" w:ascii="宋体" w:hAnsi="宋体"/>
                <w:szCs w:val="21"/>
              </w:rPr>
              <w:t>根据投标人技术方案中施工进度计划编排</w:t>
            </w:r>
            <w:r>
              <w:rPr>
                <w:rFonts w:hint="eastAsia" w:ascii="宋体" w:hAnsi="宋体"/>
                <w:szCs w:val="21"/>
                <w:lang w:val="en-US" w:eastAsia="zh-CN"/>
              </w:rPr>
              <w:t>进行综合评定，</w:t>
            </w:r>
            <w:r>
              <w:rPr>
                <w:rFonts w:hint="eastAsia" w:ascii="宋体" w:hAnsi="宋体"/>
                <w:szCs w:val="21"/>
              </w:rPr>
              <w:t>合理，科学、完整、合理得7分，完整、合理得5分，合理的3分，缺项或明显不合理不得分；</w:t>
            </w:r>
          </w:p>
        </w:tc>
      </w:tr>
      <w:tr>
        <w:tblPrEx>
          <w:tblLayout w:type="fixed"/>
        </w:tblPrEx>
        <w:trPr>
          <w:trHeight w:val="761"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3</w:t>
            </w:r>
          </w:p>
        </w:tc>
        <w:tc>
          <w:tcPr>
            <w:tcW w:w="1952" w:type="dxa"/>
            <w:vAlign w:val="center"/>
          </w:tcPr>
          <w:p>
            <w:pPr>
              <w:widowControl/>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质量管理体系与措施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top"/>
          </w:tcPr>
          <w:p>
            <w:pPr>
              <w:spacing w:line="400" w:lineRule="exac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质量管理体系与措施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Layout w:type="fixed"/>
        </w:tblPrEx>
        <w:trPr>
          <w:trHeight w:val="0"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4</w:t>
            </w:r>
          </w:p>
        </w:tc>
        <w:tc>
          <w:tcPr>
            <w:tcW w:w="1952" w:type="dxa"/>
            <w:vAlign w:val="center"/>
          </w:tcPr>
          <w:p>
            <w:pPr>
              <w:widowControl/>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安全管理体系与措施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center"/>
          </w:tcPr>
          <w:p>
            <w:pPr>
              <w:spacing w:line="400" w:lineRule="exact"/>
              <w:rPr>
                <w:rFonts w:hint="eastAsia" w:ascii="宋体" w:hAnsi="宋体" w:eastAsia="宋体" w:cs="宋体"/>
                <w:sz w:val="19"/>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安全管理体系与措施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Layout w:type="fixed"/>
        </w:tblPrEx>
        <w:trPr>
          <w:trHeight w:val="412"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bCs/>
                <w:szCs w:val="21"/>
                <w:highlight w:val="none"/>
              </w:rPr>
              <w:t>5</w:t>
            </w:r>
          </w:p>
        </w:tc>
        <w:tc>
          <w:tcPr>
            <w:tcW w:w="1952" w:type="dxa"/>
            <w:vAlign w:val="center"/>
          </w:tcPr>
          <w:p>
            <w:pPr>
              <w:widowControl/>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环保管理体系与措施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center"/>
          </w:tcPr>
          <w:p>
            <w:pPr>
              <w:spacing w:line="400" w:lineRule="exac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环保管理体系与措施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Layout w:type="fixed"/>
        </w:tblPrEx>
        <w:trPr>
          <w:trHeight w:val="880"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bCs/>
                <w:szCs w:val="21"/>
                <w:highlight w:val="none"/>
              </w:rPr>
              <w:t>6</w:t>
            </w:r>
          </w:p>
        </w:tc>
        <w:tc>
          <w:tcPr>
            <w:tcW w:w="1952"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文明管理体系与措施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top"/>
          </w:tcPr>
          <w:p>
            <w:pPr>
              <w:spacing w:line="400" w:lineRule="exac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文明管理体系与措施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Layout w:type="fixed"/>
        </w:tblPrEx>
        <w:trPr>
          <w:trHeight w:val="23"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bCs/>
                <w:szCs w:val="21"/>
                <w:highlight w:val="none"/>
              </w:rPr>
              <w:t>7</w:t>
            </w:r>
          </w:p>
        </w:tc>
        <w:tc>
          <w:tcPr>
            <w:tcW w:w="1952"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资源配备计划及措施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center"/>
          </w:tcPr>
          <w:p>
            <w:pPr>
              <w:spacing w:line="400" w:lineRule="exac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资源配备计划及措施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Layout w:type="fixed"/>
        </w:tblPrEx>
        <w:trPr>
          <w:trHeight w:val="23"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8</w:t>
            </w:r>
          </w:p>
        </w:tc>
        <w:tc>
          <w:tcPr>
            <w:tcW w:w="1952"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施工管理及措施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center"/>
          </w:tcPr>
          <w:p>
            <w:pPr>
              <w:spacing w:line="400" w:lineRule="exac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施工管理及措施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Layout w:type="fixed"/>
        </w:tblPrEx>
        <w:trPr>
          <w:trHeight w:val="23"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9</w:t>
            </w:r>
          </w:p>
        </w:tc>
        <w:tc>
          <w:tcPr>
            <w:tcW w:w="1952"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施工关键部位、材料采购要点的控制及措施（根据工程特点及本磋商文件要求应具有针对性）</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p>
        </w:tc>
        <w:tc>
          <w:tcPr>
            <w:tcW w:w="6030" w:type="dxa"/>
            <w:vAlign w:val="center"/>
          </w:tcPr>
          <w:p>
            <w:pPr>
              <w:adjustRightInd w:val="0"/>
              <w:snapToGrid w:val="0"/>
              <w:spacing w:line="400" w:lineRule="exact"/>
              <w:jc w:val="lef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施工关键部位、材料采购要点的控制及措施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分，完整、合理得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分，缺项或明显不合理不得分；</w:t>
            </w:r>
          </w:p>
        </w:tc>
      </w:tr>
      <w:tr>
        <w:tblPrEx>
          <w:tblLayout w:type="fixed"/>
        </w:tblPrEx>
        <w:trPr>
          <w:trHeight w:val="542" w:hRule="atLeast"/>
        </w:trPr>
        <w:tc>
          <w:tcPr>
            <w:tcW w:w="499" w:type="dxa"/>
          </w:tcPr>
          <w:p>
            <w:pPr>
              <w:pStyle w:val="64"/>
              <w:spacing w:before="131"/>
              <w:ind w:left="9"/>
              <w:jc w:val="center"/>
              <w:rPr>
                <w:rFonts w:hint="eastAsia" w:ascii="宋体" w:hAnsi="宋体" w:eastAsia="宋体" w:cs="宋体"/>
                <w:b/>
                <w:bCs w:val="0"/>
                <w:sz w:val="21"/>
                <w:highlight w:val="none"/>
              </w:rPr>
            </w:pPr>
            <w:r>
              <w:rPr>
                <w:rFonts w:hint="eastAsia" w:ascii="宋体" w:hAnsi="宋体" w:eastAsia="宋体" w:cs="宋体"/>
                <w:b/>
                <w:bCs w:val="0"/>
                <w:w w:val="100"/>
                <w:sz w:val="21"/>
                <w:highlight w:val="none"/>
              </w:rPr>
              <w:t>三</w:t>
            </w:r>
          </w:p>
        </w:tc>
        <w:tc>
          <w:tcPr>
            <w:tcW w:w="1952" w:type="dxa"/>
          </w:tcPr>
          <w:p>
            <w:pPr>
              <w:pStyle w:val="64"/>
              <w:spacing w:before="131"/>
              <w:ind w:left="10"/>
              <w:jc w:val="center"/>
              <w:rPr>
                <w:rFonts w:hint="eastAsia" w:ascii="宋体" w:hAnsi="宋体" w:eastAsia="宋体" w:cs="宋体"/>
                <w:b/>
                <w:bCs w:val="0"/>
                <w:sz w:val="21"/>
                <w:highlight w:val="none"/>
              </w:rPr>
            </w:pPr>
            <w:r>
              <w:rPr>
                <w:rFonts w:hint="eastAsia" w:ascii="宋体" w:hAnsi="宋体" w:eastAsia="宋体" w:cs="宋体"/>
                <w:b/>
                <w:bCs w:val="0"/>
                <w:sz w:val="21"/>
                <w:highlight w:val="none"/>
              </w:rPr>
              <w:t>资信</w:t>
            </w:r>
          </w:p>
        </w:tc>
        <w:tc>
          <w:tcPr>
            <w:tcW w:w="1025" w:type="dxa"/>
          </w:tcPr>
          <w:p>
            <w:pPr>
              <w:pStyle w:val="64"/>
              <w:spacing w:before="131"/>
              <w:ind w:right="251"/>
              <w:jc w:val="right"/>
              <w:rPr>
                <w:rFonts w:hint="eastAsia" w:ascii="宋体" w:hAnsi="宋体" w:eastAsia="宋体" w:cs="宋体"/>
                <w:b/>
                <w:bCs w:val="0"/>
                <w:sz w:val="21"/>
                <w:highlight w:val="none"/>
              </w:rPr>
            </w:pPr>
            <w:r>
              <w:rPr>
                <w:rFonts w:hint="eastAsia" w:ascii="宋体" w:hAnsi="宋体" w:eastAsia="宋体" w:cs="宋体"/>
                <w:b/>
                <w:bCs w:val="0"/>
                <w:sz w:val="21"/>
                <w:highlight w:val="none"/>
                <w:lang w:val="en-US" w:eastAsia="zh-CN"/>
              </w:rPr>
              <w:t>10</w:t>
            </w:r>
            <w:r>
              <w:rPr>
                <w:rFonts w:hint="eastAsia" w:ascii="宋体" w:hAnsi="宋体" w:eastAsia="宋体" w:cs="宋体"/>
                <w:b/>
                <w:bCs w:val="0"/>
                <w:sz w:val="21"/>
                <w:highlight w:val="none"/>
              </w:rPr>
              <w:t>分</w:t>
            </w:r>
          </w:p>
        </w:tc>
        <w:tc>
          <w:tcPr>
            <w:tcW w:w="6030" w:type="dxa"/>
          </w:tcPr>
          <w:p>
            <w:pPr>
              <w:pStyle w:val="64"/>
              <w:rPr>
                <w:rFonts w:hint="eastAsia" w:ascii="宋体" w:hAnsi="宋体" w:eastAsia="宋体" w:cs="宋体"/>
                <w:sz w:val="20"/>
                <w:highlight w:val="none"/>
              </w:rPr>
            </w:pPr>
          </w:p>
        </w:tc>
      </w:tr>
      <w:tr>
        <w:tblPrEx>
          <w:tblLayout w:type="fixed"/>
        </w:tblPrEx>
        <w:trPr>
          <w:trHeight w:val="1555" w:hRule="atLeast"/>
        </w:trPr>
        <w:tc>
          <w:tcPr>
            <w:tcW w:w="499" w:type="dxa"/>
            <w:vAlign w:val="center"/>
          </w:tcPr>
          <w:p>
            <w:pPr>
              <w:adjustRightInd w:val="0"/>
              <w:snapToGrid w:val="0"/>
              <w:spacing w:line="360" w:lineRule="auto"/>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1</w:t>
            </w:r>
          </w:p>
        </w:tc>
        <w:tc>
          <w:tcPr>
            <w:tcW w:w="1952" w:type="dxa"/>
            <w:vAlign w:val="center"/>
          </w:tcPr>
          <w:p>
            <w:pPr>
              <w:widowControl/>
              <w:adjustRightInd w:val="0"/>
              <w:snapToGrid w:val="0"/>
              <w:spacing w:line="360" w:lineRule="auto"/>
              <w:jc w:val="center"/>
              <w:rPr>
                <w:rFonts w:hint="eastAsia" w:ascii="宋体" w:hAnsi="宋体" w:eastAsia="宋体" w:cs="宋体"/>
                <w:sz w:val="21"/>
                <w:highlight w:val="none"/>
              </w:rPr>
            </w:pPr>
            <w:r>
              <w:rPr>
                <w:rFonts w:hint="eastAsia" w:ascii="宋体" w:hAnsi="宋体" w:eastAsia="宋体" w:cs="宋体"/>
                <w:szCs w:val="21"/>
                <w:highlight w:val="none"/>
              </w:rPr>
              <w:t>供应商近三年承担的类似工程业绩</w:t>
            </w:r>
          </w:p>
        </w:tc>
        <w:tc>
          <w:tcPr>
            <w:tcW w:w="1025" w:type="dxa"/>
            <w:vAlign w:val="center"/>
          </w:tcPr>
          <w:p>
            <w:pPr>
              <w:adjustRightInd w:val="0"/>
              <w:snapToGrid w:val="0"/>
              <w:spacing w:line="360" w:lineRule="auto"/>
              <w:jc w:val="center"/>
              <w:rPr>
                <w:rFonts w:hint="eastAsia" w:ascii="宋体" w:hAnsi="宋体" w:eastAsia="宋体" w:cs="宋体"/>
                <w:color w:val="auto"/>
                <w:sz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030" w:type="dxa"/>
            <w:vAlign w:val="center"/>
          </w:tcPr>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eastAsia="zh-CN"/>
              </w:rPr>
              <w:t>20</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年1月1日以来</w:t>
            </w:r>
            <w:r>
              <w:rPr>
                <w:rFonts w:hint="eastAsia" w:ascii="宋体" w:hAnsi="宋体" w:eastAsia="宋体" w:cs="宋体"/>
                <w:color w:val="auto"/>
                <w:szCs w:val="21"/>
                <w:highlight w:val="none"/>
                <w:lang w:eastAsia="zh-CN"/>
              </w:rPr>
              <w:t>每</w:t>
            </w:r>
            <w:r>
              <w:rPr>
                <w:rFonts w:hint="eastAsia" w:ascii="宋体" w:hAnsi="宋体" w:eastAsia="宋体" w:cs="宋体"/>
                <w:color w:val="auto"/>
                <w:szCs w:val="21"/>
                <w:highlight w:val="none"/>
              </w:rPr>
              <w:t>承担</w:t>
            </w:r>
            <w:r>
              <w:rPr>
                <w:rFonts w:hint="eastAsia" w:ascii="宋体" w:hAnsi="宋体" w:eastAsia="宋体" w:cs="宋体"/>
                <w:color w:val="auto"/>
                <w:szCs w:val="21"/>
                <w:highlight w:val="none"/>
                <w:lang w:eastAsia="zh-CN"/>
              </w:rPr>
              <w:t>一项</w:t>
            </w:r>
            <w:r>
              <w:rPr>
                <w:rFonts w:hint="eastAsia" w:ascii="宋体" w:hAnsi="宋体" w:eastAsia="宋体" w:cs="宋体"/>
                <w:color w:val="auto"/>
                <w:szCs w:val="21"/>
                <w:highlight w:val="none"/>
              </w:rPr>
              <w:t>类似工程业绩得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本项最高得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p>
            <w:pPr>
              <w:adjustRightInd w:val="0"/>
              <w:snapToGrid w:val="0"/>
              <w:spacing w:line="360" w:lineRule="auto"/>
              <w:jc w:val="left"/>
              <w:rPr>
                <w:rFonts w:hint="eastAsia" w:ascii="宋体" w:hAnsi="宋体" w:eastAsia="宋体" w:cs="宋体"/>
                <w:b/>
                <w:color w:val="auto"/>
                <w:sz w:val="21"/>
                <w:highlight w:val="none"/>
              </w:rPr>
            </w:pPr>
            <w:r>
              <w:rPr>
                <w:rFonts w:hint="eastAsia" w:ascii="宋体" w:hAnsi="宋体" w:eastAsia="宋体" w:cs="宋体"/>
                <w:color w:val="auto"/>
                <w:szCs w:val="21"/>
                <w:highlight w:val="none"/>
              </w:rPr>
              <w:t>备注：①类似项目工程以</w:t>
            </w:r>
            <w:r>
              <w:rPr>
                <w:rFonts w:hint="eastAsia" w:ascii="宋体" w:hAnsi="宋体" w:eastAsia="宋体" w:cs="宋体"/>
                <w:color w:val="auto"/>
                <w:szCs w:val="21"/>
                <w:highlight w:val="none"/>
                <w:lang w:val="en-US" w:eastAsia="zh-CN"/>
              </w:rPr>
              <w:t>中标通知书、</w:t>
            </w:r>
            <w:r>
              <w:rPr>
                <w:rFonts w:hint="eastAsia" w:ascii="宋体" w:hAnsi="宋体" w:eastAsia="宋体" w:cs="宋体"/>
                <w:color w:val="auto"/>
                <w:szCs w:val="21"/>
                <w:highlight w:val="none"/>
              </w:rPr>
              <w:t>施工合同</w:t>
            </w:r>
            <w:r>
              <w:rPr>
                <w:rFonts w:hint="eastAsia" w:ascii="宋体" w:hAnsi="宋体" w:eastAsia="宋体" w:cs="宋体"/>
                <w:color w:val="auto"/>
                <w:szCs w:val="21"/>
                <w:highlight w:val="none"/>
                <w:lang w:val="en-US" w:eastAsia="zh-CN"/>
              </w:rPr>
              <w:t>原件（或复印件并加盖公章）</w:t>
            </w:r>
            <w:r>
              <w:rPr>
                <w:rFonts w:hint="eastAsia" w:ascii="宋体" w:hAnsi="宋体" w:eastAsia="宋体" w:cs="宋体"/>
                <w:color w:val="auto"/>
                <w:szCs w:val="21"/>
                <w:highlight w:val="none"/>
              </w:rPr>
              <w:t>，二者缺一不可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时间以合同为准。</w:t>
            </w:r>
            <w:r>
              <w:rPr>
                <w:rFonts w:hint="eastAsia" w:ascii="宋体" w:hAnsi="宋体" w:eastAsia="宋体" w:cs="宋体"/>
                <w:color w:val="auto"/>
                <w:szCs w:val="21"/>
                <w:highlight w:val="none"/>
              </w:rPr>
              <w:t>②磋商响应文件中须附该打分项涉及的施工合同和</w:t>
            </w:r>
            <w:r>
              <w:rPr>
                <w:rFonts w:hint="eastAsia" w:ascii="宋体" w:hAnsi="宋体" w:eastAsia="宋体" w:cs="宋体"/>
                <w:color w:val="auto"/>
                <w:szCs w:val="21"/>
                <w:highlight w:val="none"/>
                <w:lang w:val="en-US" w:eastAsia="zh-CN"/>
              </w:rPr>
              <w:t>中标通知书</w:t>
            </w:r>
            <w:r>
              <w:rPr>
                <w:rFonts w:hint="eastAsia" w:ascii="宋体" w:hAnsi="宋体" w:eastAsia="宋体" w:cs="宋体"/>
                <w:color w:val="auto"/>
                <w:szCs w:val="21"/>
                <w:highlight w:val="none"/>
              </w:rPr>
              <w:t>等复印件，否则不予认可。</w:t>
            </w:r>
          </w:p>
        </w:tc>
      </w:tr>
      <w:tr>
        <w:tblPrEx>
          <w:tblLayout w:type="fixed"/>
        </w:tblPrEx>
        <w:trPr>
          <w:trHeight w:val="1001" w:hRule="atLeast"/>
        </w:trPr>
        <w:tc>
          <w:tcPr>
            <w:tcW w:w="950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textAlignment w:val="auto"/>
              <w:rPr>
                <w:rFonts w:hint="eastAsia" w:ascii="宋体" w:hAnsi="宋体" w:eastAsia="宋体" w:cs="宋体"/>
                <w:highlight w:val="none"/>
                <w:lang w:eastAsia="zh-CN"/>
              </w:rPr>
            </w:pPr>
            <w:r>
              <w:rPr>
                <w:rFonts w:hint="eastAsia" w:ascii="宋体" w:hAnsi="宋体" w:eastAsia="宋体" w:cs="宋体"/>
                <w:highlight w:val="none"/>
              </w:rPr>
              <w:t>1、总得分相同者，按最终报价低的名次在前；最终报价也相同的，资信总得分高者排名优先；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highlight w:val="none"/>
                <w:lang w:val="zh-CN" w:eastAsia="zh-CN"/>
              </w:rPr>
            </w:pPr>
            <w:r>
              <w:rPr>
                <w:rFonts w:hint="eastAsia" w:ascii="宋体" w:hAnsi="宋体" w:eastAsia="宋体" w:cs="宋体"/>
                <w:highlight w:val="none"/>
                <w:lang w:val="en-US" w:eastAsia="zh-CN"/>
              </w:rPr>
              <w:t>2、</w:t>
            </w:r>
            <w:r>
              <w:rPr>
                <w:rFonts w:hint="eastAsia" w:ascii="宋体" w:hAnsi="宋体" w:eastAsia="宋体" w:cs="宋体"/>
                <w:highlight w:val="none"/>
              </w:rPr>
              <w:t>评分分值计算保留小</w:t>
            </w:r>
            <w:r>
              <w:rPr>
                <w:rFonts w:hint="eastAsia" w:ascii="宋体" w:hAnsi="宋体" w:eastAsia="宋体" w:cs="宋体"/>
                <w:color w:val="auto"/>
                <w:highlight w:val="none"/>
              </w:rPr>
              <w:t>数点后两位，小数点后第三位“四舍五入”</w:t>
            </w:r>
            <w:r>
              <w:rPr>
                <w:rFonts w:hint="eastAsia" w:ascii="宋体" w:hAnsi="宋体" w:eastAsia="宋体" w:cs="宋体"/>
                <w:color w:val="auto"/>
                <w:highlight w:val="none"/>
                <w:lang w:eastAsia="zh-CN"/>
              </w:rPr>
              <w:t>；</w:t>
            </w:r>
          </w:p>
        </w:tc>
      </w:tr>
    </w:tbl>
    <w:p>
      <w:pPr>
        <w:pStyle w:val="2"/>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1、供应商应在响应文件中提供上表所要求的证明材料，并确保内容完整、清晰可辨，否则不予计分。</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2、评分标准仅针对供应商；</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3、本项目不接受低于成本报价；</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4、本项目不接受不平衡报价；</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5、评分如出现小数点，则保留小数点后两位；</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6、在任何评审环节中，需磋商小组就某项定性的评审结论做出表决的，由磋商小组全体成员按照少数服从多数的原则，以记名投票方式表决。</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7、关联公司之间业绩不认可，关联公司情形见供应商须知前附表第7项第</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条。</w:t>
      </w:r>
    </w:p>
    <w:p>
      <w:pPr>
        <w:pStyle w:val="2"/>
        <w:keepNext w:val="0"/>
        <w:keepLines w:val="0"/>
        <w:pageBreakBefore w:val="0"/>
        <w:kinsoku/>
        <w:wordWrap/>
        <w:overflowPunct/>
        <w:topLinePunct w:val="0"/>
        <w:autoSpaceDE/>
        <w:autoSpaceDN/>
        <w:bidi w:val="0"/>
        <w:adjustRightInd/>
        <w:snapToGrid/>
        <w:spacing w:before="72" w:beforeLines="30" w:after="72" w:afterLines="30"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（二）小微企业价格折减</w:t>
      </w:r>
    </w:p>
    <w:p>
      <w:pPr>
        <w:pStyle w:val="2"/>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1、根据财政部、工信部发布的《关于印发&lt;政府采购促进中小企业发展管理办法&gt;的通知》(财库[2020]46号)的规定，对</w:t>
      </w:r>
      <w:r>
        <w:rPr>
          <w:rFonts w:hint="eastAsia" w:ascii="宋体" w:hAnsi="宋体" w:eastAsia="宋体" w:cs="宋体"/>
          <w:sz w:val="24"/>
          <w:szCs w:val="24"/>
          <w:highlight w:val="none"/>
          <w:lang w:val="en-US" w:eastAsia="zh-CN"/>
        </w:rPr>
        <w:t>符合办法规定要求的由</w:t>
      </w:r>
      <w:r>
        <w:rPr>
          <w:rFonts w:hint="eastAsia" w:ascii="宋体" w:hAnsi="宋体" w:eastAsia="宋体" w:cs="宋体"/>
          <w:sz w:val="24"/>
          <w:szCs w:val="24"/>
          <w:highlight w:val="none"/>
        </w:rPr>
        <w:t>小型和微型企业</w:t>
      </w:r>
      <w:r>
        <w:rPr>
          <w:rFonts w:hint="eastAsia" w:ascii="宋体" w:hAnsi="宋体" w:eastAsia="宋体" w:cs="宋体"/>
          <w:sz w:val="24"/>
          <w:szCs w:val="24"/>
          <w:highlight w:val="none"/>
          <w:lang w:val="en-US" w:eastAsia="zh-CN"/>
        </w:rPr>
        <w:t>承接服务的报价</w:t>
      </w:r>
      <w:r>
        <w:rPr>
          <w:rFonts w:hint="eastAsia" w:ascii="宋体" w:hAnsi="宋体" w:eastAsia="宋体" w:cs="宋体"/>
          <w:sz w:val="24"/>
          <w:szCs w:val="24"/>
          <w:highlight w:val="none"/>
        </w:rPr>
        <w:t>给予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%的扣除，用扣除后的价格参与评审，供应商须提供《中小企业声明函》</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成交供应商享受上述价格折扣的，将随成交结果公开成交供应商的《中小企业声明函》，接受社会监督</w:t>
      </w:r>
      <w:r>
        <w:rPr>
          <w:rFonts w:hint="eastAsia" w:ascii="宋体" w:hAnsi="宋体" w:eastAsia="宋体" w:cs="宋体"/>
          <w:sz w:val="24"/>
          <w:szCs w:val="24"/>
          <w:highlight w:val="none"/>
        </w:rPr>
        <w:t>。</w:t>
      </w:r>
    </w:p>
    <w:p>
      <w:pPr>
        <w:pStyle w:val="2"/>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、中小企业划分标准详见工业和信息化部、国家统计局、国家发展和改革委员会、财政部出台的工信部联企业[2011]300号文件。</w:t>
      </w:r>
    </w:p>
    <w:p>
      <w:pPr>
        <w:pStyle w:val="2"/>
        <w:keepNext w:val="0"/>
        <w:keepLines w:val="0"/>
        <w:pageBreakBefore w:val="0"/>
        <w:kinsoku/>
        <w:wordWrap/>
        <w:overflowPunct/>
        <w:topLinePunct w:val="0"/>
        <w:autoSpaceDE/>
        <w:autoSpaceDN/>
        <w:bidi w:val="0"/>
        <w:adjustRightInd/>
        <w:snapToGrid/>
        <w:spacing w:before="72" w:beforeLines="30" w:after="72" w:afterLines="30" w:line="45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（三）</w:t>
      </w:r>
      <w:r>
        <w:rPr>
          <w:rFonts w:hint="eastAsia" w:ascii="宋体" w:hAnsi="宋体" w:eastAsia="宋体" w:cs="宋体"/>
          <w:b/>
          <w:bCs/>
          <w:sz w:val="24"/>
          <w:szCs w:val="24"/>
          <w:highlight w:val="none"/>
        </w:rPr>
        <w:t>给予监狱企业和戒毒企业价格扣除</w:t>
      </w:r>
    </w:p>
    <w:p>
      <w:pPr>
        <w:pStyle w:val="69"/>
        <w:keepNext w:val="0"/>
        <w:keepLines w:val="0"/>
        <w:pageBreakBefore w:val="0"/>
        <w:widowControl w:val="0"/>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根据《关于政府采购支持监狱企业发展有关问题的通知》（财库[2014]68号）文件规定：在政府采购活动中，监狱企业和戒毒企业视同小型、微型企业，评审中享受同小型、微型企业相同的价格扣除。</w:t>
      </w:r>
    </w:p>
    <w:p>
      <w:pPr>
        <w:pStyle w:val="2"/>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监狱企业和戒毒企业参加政府采购活动时，应当在响应文件中提供由省级以上监狱管理局、戒毒管理局（含新疆生产建设兵团）出具的属于监狱企业的证明文件。</w:t>
      </w:r>
    </w:p>
    <w:p>
      <w:pPr>
        <w:pStyle w:val="2"/>
        <w:keepNext w:val="0"/>
        <w:keepLines w:val="0"/>
        <w:pageBreakBefore w:val="0"/>
        <w:kinsoku/>
        <w:wordWrap/>
        <w:overflowPunct/>
        <w:topLinePunct w:val="0"/>
        <w:autoSpaceDE/>
        <w:autoSpaceDN/>
        <w:bidi w:val="0"/>
        <w:adjustRightInd/>
        <w:snapToGrid/>
        <w:spacing w:before="72" w:beforeLines="30" w:after="72" w:afterLines="30" w:line="45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（四）</w:t>
      </w:r>
      <w:r>
        <w:rPr>
          <w:rFonts w:hint="eastAsia" w:ascii="宋体" w:hAnsi="宋体" w:eastAsia="宋体" w:cs="宋体"/>
          <w:b/>
          <w:bCs/>
          <w:sz w:val="24"/>
          <w:szCs w:val="24"/>
          <w:highlight w:val="none"/>
        </w:rPr>
        <w:t>享受政府采购支持政策的残疾人福利性单位价格折减</w:t>
      </w:r>
    </w:p>
    <w:p>
      <w:pPr>
        <w:pStyle w:val="69"/>
        <w:keepNext w:val="0"/>
        <w:keepLines w:val="0"/>
        <w:pageBreakBefore w:val="0"/>
        <w:kinsoku/>
        <w:wordWrap/>
        <w:overflowPunct/>
        <w:topLinePunct w:val="0"/>
        <w:autoSpaceDE/>
        <w:autoSpaceDN/>
        <w:bidi w:val="0"/>
        <w:adjustRightInd/>
        <w:snapToGrid/>
        <w:spacing w:line="450" w:lineRule="exact"/>
        <w:ind w:firstLine="720" w:firstLineChars="3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财政部、民政部、中国残疾人联合会印发的《关于促进残疾人就业政府采购政策的通知》（财库〔2017〕141号）。如供应商是享受政府采购支持政策的残疾人福利性单位的最终有效报价按视同小型、微型企业标准进行价格扣除后再按“评审办法”进行评审；享受政府采购支持政策的残疾人福利性单位属于小型、微型企业的，不重复享受政策；享受政府采购支持政策的残疾人福利性单位的认定时，须</w:t>
      </w:r>
      <w:r>
        <w:rPr>
          <w:rFonts w:hint="eastAsia" w:ascii="宋体" w:hAnsi="宋体" w:eastAsia="宋体" w:cs="宋体"/>
          <w:sz w:val="24"/>
          <w:szCs w:val="24"/>
          <w:highlight w:val="none"/>
        </w:rPr>
        <w:t>在响应文件中</w:t>
      </w:r>
      <w:r>
        <w:rPr>
          <w:rFonts w:hint="eastAsia" w:ascii="宋体" w:hAnsi="宋体" w:eastAsia="宋体" w:cs="宋体"/>
          <w:kern w:val="2"/>
          <w:sz w:val="24"/>
          <w:szCs w:val="24"/>
          <w:highlight w:val="none"/>
        </w:rPr>
        <w:t>提供《残疾人福利性单位声明函》，否则不予认可；</w:t>
      </w:r>
    </w:p>
    <w:p>
      <w:pPr>
        <w:pStyle w:val="69"/>
        <w:keepNext w:val="0"/>
        <w:keepLines w:val="0"/>
        <w:pageBreakBefore w:val="0"/>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享受政府采购支持政策的残疾人福利性单位划分标准详见财政部、民政部、中国残疾人联合会出台的财库〔2017〕141号文件。</w:t>
      </w:r>
    </w:p>
    <w:p>
      <w:pPr>
        <w:pStyle w:val="2"/>
        <w:keepNext w:val="0"/>
        <w:keepLines w:val="0"/>
        <w:pageBreakBefore w:val="0"/>
        <w:kinsoku/>
        <w:wordWrap/>
        <w:overflowPunct/>
        <w:topLinePunct w:val="0"/>
        <w:autoSpaceDE/>
        <w:autoSpaceDN/>
        <w:bidi w:val="0"/>
        <w:adjustRightInd/>
        <w:snapToGrid/>
        <w:spacing w:before="72" w:beforeLines="30" w:after="72" w:afterLines="30"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（五）节能（强制类产品）产品</w:t>
      </w:r>
    </w:p>
    <w:p>
      <w:pPr>
        <w:pStyle w:val="2"/>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本项目采购的产品中如属于政府强制采购节能产品，供应商必须提供获得国家确定的认证机构出具的、处于有效期之内的节能产品认证证书的产品。</w:t>
      </w:r>
    </w:p>
    <w:p>
      <w:pPr>
        <w:pStyle w:val="2"/>
        <w:spacing w:before="48" w:beforeLines="20" w:after="48" w:afterLines="20" w:line="460" w:lineRule="exact"/>
        <w:ind w:firstLine="482" w:firstLineChars="200"/>
        <w:rPr>
          <w:rFonts w:hint="eastAsia" w:ascii="宋体" w:hAnsi="宋体" w:eastAsia="宋体" w:cs="宋体"/>
          <w:sz w:val="24"/>
          <w:highlight w:val="none"/>
        </w:rPr>
      </w:pPr>
      <w:r>
        <w:rPr>
          <w:rFonts w:hint="eastAsia" w:ascii="宋体" w:hAnsi="宋体" w:eastAsia="宋体" w:cs="宋体"/>
          <w:b/>
          <w:sz w:val="24"/>
          <w:szCs w:val="24"/>
          <w:highlight w:val="none"/>
        </w:rPr>
        <w:t>（六）</w:t>
      </w:r>
      <w:r>
        <w:rPr>
          <w:rFonts w:hint="eastAsia" w:ascii="宋体" w:hAnsi="宋体" w:eastAsia="宋体" w:cs="宋体"/>
          <w:b/>
          <w:bCs/>
          <w:sz w:val="24"/>
          <w:highlight w:val="none"/>
        </w:rPr>
        <w:t>节能（非强制类产品）价格扣除</w:t>
      </w:r>
    </w:p>
    <w:tbl>
      <w:tblPr>
        <w:tblStyle w:val="3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2"/>
        <w:gridCol w:w="1728"/>
      </w:tblGrid>
      <w:tr>
        <w:tblPrEx>
          <w:tblLayout w:type="fixed"/>
        </w:tblPrEx>
        <w:trPr>
          <w:trHeight w:val="840" w:hRule="atLeast"/>
          <w:jc w:val="center"/>
        </w:trPr>
        <w:tc>
          <w:tcPr>
            <w:tcW w:w="78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同一合同包内的节能</w:t>
            </w:r>
            <w:r>
              <w:rPr>
                <w:rFonts w:hint="eastAsia" w:ascii="宋体" w:hAnsi="宋体" w:eastAsia="宋体" w:cs="宋体"/>
                <w:b/>
                <w:sz w:val="24"/>
                <w:highlight w:val="none"/>
              </w:rPr>
              <w:t>（非强制类产品）</w:t>
            </w:r>
            <w:r>
              <w:rPr>
                <w:rFonts w:hint="eastAsia" w:ascii="宋体" w:hAnsi="宋体" w:eastAsia="宋体" w:cs="宋体"/>
                <w:sz w:val="24"/>
                <w:highlight w:val="none"/>
              </w:rPr>
              <w:t>产品报价总金额占本合同包报价总金额</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w:t>
            </w:r>
          </w:p>
        </w:tc>
      </w:tr>
      <w:tr>
        <w:tblPrEx>
          <w:tblLayout w:type="fixed"/>
        </w:tblPrEx>
        <w:trPr>
          <w:trHeight w:val="603" w:hRule="atLeast"/>
          <w:jc w:val="center"/>
        </w:trPr>
        <w:tc>
          <w:tcPr>
            <w:tcW w:w="7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20%（含20%）以下</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价格扣除5%</w:t>
            </w:r>
          </w:p>
        </w:tc>
      </w:tr>
      <w:tr>
        <w:tblPrEx>
          <w:tblLayout w:type="fixed"/>
        </w:tblPrEx>
        <w:trPr>
          <w:trHeight w:val="580" w:hRule="atLeast"/>
          <w:jc w:val="center"/>
        </w:trPr>
        <w:tc>
          <w:tcPr>
            <w:tcW w:w="7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20%—50%（不含20%含50%）</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价格扣除8%</w:t>
            </w:r>
          </w:p>
        </w:tc>
      </w:tr>
      <w:tr>
        <w:tblPrEx>
          <w:tblLayout w:type="fixed"/>
        </w:tblPrEx>
        <w:trPr>
          <w:trHeight w:val="653" w:hRule="atLeast"/>
          <w:jc w:val="center"/>
        </w:trPr>
        <w:tc>
          <w:tcPr>
            <w:tcW w:w="7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50%（不含50%）以上</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价格扣除10%</w:t>
            </w:r>
          </w:p>
        </w:tc>
      </w:tr>
    </w:tbl>
    <w:p>
      <w:pPr>
        <w:pStyle w:val="2"/>
        <w:spacing w:line="460" w:lineRule="exact"/>
        <w:ind w:firstLine="482" w:firstLineChars="200"/>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注：供应商在报价时必须对属于节能产品（非强制类）产品单独分项报价，并应于响应文件中提供证明材料（提供国家确定的认证机构出具的、处于有效期之内的节能产品认证证书，否则评审时不予认可）（</w:t>
      </w:r>
      <w:r>
        <w:rPr>
          <w:rFonts w:hint="eastAsia" w:ascii="宋体" w:hAnsi="宋体" w:eastAsia="宋体" w:cs="宋体"/>
          <w:b/>
          <w:sz w:val="24"/>
          <w:szCs w:val="24"/>
          <w:highlight w:val="none"/>
        </w:rPr>
        <w:t>①同一合同包内的节能产品部分扣除只对属于非强制类产品进行价格扣除，强制类产品不给予扣除；②</w:t>
      </w:r>
      <w:r>
        <w:rPr>
          <w:rFonts w:hint="eastAsia" w:ascii="宋体" w:hAnsi="宋体" w:eastAsia="宋体" w:cs="宋体"/>
          <w:b/>
          <w:kern w:val="0"/>
          <w:sz w:val="24"/>
          <w:szCs w:val="24"/>
          <w:highlight w:val="none"/>
        </w:rPr>
        <w:t>若</w:t>
      </w:r>
      <w:r>
        <w:rPr>
          <w:rFonts w:hint="eastAsia" w:ascii="宋体" w:hAnsi="宋体" w:eastAsia="宋体" w:cs="宋体"/>
          <w:b/>
          <w:sz w:val="24"/>
          <w:szCs w:val="24"/>
          <w:highlight w:val="none"/>
        </w:rPr>
        <w:t>同一合同包内的</w:t>
      </w:r>
      <w:r>
        <w:rPr>
          <w:rFonts w:hint="eastAsia" w:ascii="宋体" w:hAnsi="宋体" w:eastAsia="宋体" w:cs="宋体"/>
          <w:b/>
          <w:kern w:val="0"/>
          <w:sz w:val="24"/>
          <w:szCs w:val="24"/>
          <w:highlight w:val="none"/>
        </w:rPr>
        <w:t>节能产品仅是构成所投产品的部件、</w:t>
      </w:r>
      <w:r>
        <w:rPr>
          <w:rFonts w:hint="eastAsia" w:ascii="宋体" w:hAnsi="宋体" w:eastAsia="宋体" w:cs="宋体"/>
          <w:b/>
          <w:sz w:val="24"/>
          <w:szCs w:val="24"/>
          <w:highlight w:val="none"/>
        </w:rPr>
        <w:t>组件或零件的，则不给予扣除）。</w:t>
      </w:r>
    </w:p>
    <w:p>
      <w:pPr>
        <w:pStyle w:val="2"/>
        <w:spacing w:before="72" w:beforeLines="30" w:after="72" w:afterLines="30" w:line="460" w:lineRule="exact"/>
        <w:ind w:firstLine="361" w:firstLineChars="150"/>
        <w:rPr>
          <w:rFonts w:hint="eastAsia" w:ascii="宋体" w:hAnsi="宋体" w:eastAsia="宋体" w:cs="宋体"/>
          <w:b/>
          <w:sz w:val="24"/>
          <w:highlight w:val="none"/>
        </w:rPr>
      </w:pPr>
      <w:r>
        <w:rPr>
          <w:rFonts w:hint="eastAsia" w:ascii="宋体" w:hAnsi="宋体" w:eastAsia="宋体" w:cs="宋体"/>
          <w:b/>
          <w:sz w:val="24"/>
          <w:szCs w:val="24"/>
          <w:highlight w:val="none"/>
        </w:rPr>
        <w:t>（七）</w:t>
      </w:r>
      <w:r>
        <w:rPr>
          <w:rFonts w:hint="eastAsia" w:ascii="宋体" w:hAnsi="宋体" w:eastAsia="宋体" w:cs="宋体"/>
          <w:b/>
          <w:sz w:val="24"/>
          <w:highlight w:val="none"/>
        </w:rPr>
        <w:t>环境标志产品价格扣除</w:t>
      </w:r>
    </w:p>
    <w:tbl>
      <w:tblPr>
        <w:tblStyle w:val="3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6"/>
        <w:gridCol w:w="1780"/>
      </w:tblGrid>
      <w:tr>
        <w:tblPrEx>
          <w:tblLayout w:type="fixed"/>
        </w:tblPrEx>
        <w:trPr>
          <w:trHeight w:val="517" w:hRule="atLeast"/>
          <w:jc w:val="center"/>
        </w:trPr>
        <w:tc>
          <w:tcPr>
            <w:tcW w:w="79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同一合同包内的环境标志产品报价总金额占本合同包报价总金额</w:t>
            </w:r>
          </w:p>
        </w:tc>
        <w:tc>
          <w:tcPr>
            <w:tcW w:w="1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w:t>
            </w:r>
          </w:p>
        </w:tc>
      </w:tr>
      <w:tr>
        <w:tblPrEx>
          <w:tblLayout w:type="fixed"/>
        </w:tblPrEx>
        <w:trPr>
          <w:cantSplit/>
          <w:trHeight w:val="537" w:hRule="atLeast"/>
          <w:jc w:val="center"/>
        </w:trPr>
        <w:tc>
          <w:tcPr>
            <w:tcW w:w="79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20%（含20%）以下</w:t>
            </w:r>
          </w:p>
        </w:tc>
        <w:tc>
          <w:tcPr>
            <w:tcW w:w="1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价格扣除5%</w:t>
            </w:r>
          </w:p>
        </w:tc>
      </w:tr>
      <w:tr>
        <w:tblPrEx>
          <w:tblLayout w:type="fixed"/>
        </w:tblPrEx>
        <w:trPr>
          <w:cantSplit/>
          <w:trHeight w:val="525" w:hRule="atLeast"/>
          <w:jc w:val="center"/>
        </w:trPr>
        <w:tc>
          <w:tcPr>
            <w:tcW w:w="79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20%—50%（不含20%含50%）</w:t>
            </w:r>
          </w:p>
        </w:tc>
        <w:tc>
          <w:tcPr>
            <w:tcW w:w="1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价格扣除8%</w:t>
            </w:r>
          </w:p>
        </w:tc>
      </w:tr>
      <w:tr>
        <w:tblPrEx>
          <w:tblLayout w:type="fixed"/>
        </w:tblPrEx>
        <w:trPr>
          <w:cantSplit/>
          <w:trHeight w:val="569" w:hRule="atLeast"/>
          <w:jc w:val="center"/>
        </w:trPr>
        <w:tc>
          <w:tcPr>
            <w:tcW w:w="79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50%（不含50%）以上</w:t>
            </w:r>
          </w:p>
        </w:tc>
        <w:tc>
          <w:tcPr>
            <w:tcW w:w="1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价格扣除10%</w:t>
            </w:r>
          </w:p>
        </w:tc>
      </w:tr>
    </w:tbl>
    <w:p>
      <w:pPr>
        <w:spacing w:line="460" w:lineRule="exact"/>
        <w:jc w:val="left"/>
        <w:rPr>
          <w:rFonts w:hint="eastAsia" w:ascii="宋体" w:hAnsi="宋体" w:eastAsia="宋体" w:cs="宋体"/>
          <w:b/>
          <w:sz w:val="24"/>
          <w:highlight w:val="none"/>
        </w:rPr>
      </w:pPr>
      <w:r>
        <w:rPr>
          <w:rFonts w:hint="eastAsia" w:ascii="宋体" w:hAnsi="宋体" w:eastAsia="宋体" w:cs="宋体"/>
          <w:b/>
          <w:kern w:val="0"/>
          <w:sz w:val="24"/>
          <w:highlight w:val="none"/>
        </w:rPr>
        <w:t>注：供应商在报价时必须对属于环境标志产品单独分项报价，并应于响应文件中提供证明材料（提供国家确定的认证机构出具的、处于有效期之内的环境标志产品认证证书，否则评审时不予认可）（若</w:t>
      </w:r>
      <w:r>
        <w:rPr>
          <w:rFonts w:hint="eastAsia" w:ascii="宋体" w:hAnsi="宋体" w:eastAsia="宋体" w:cs="宋体"/>
          <w:b/>
          <w:sz w:val="24"/>
          <w:highlight w:val="none"/>
        </w:rPr>
        <w:t>同一合同包内的</w:t>
      </w:r>
      <w:r>
        <w:rPr>
          <w:rFonts w:hint="eastAsia" w:ascii="宋体" w:hAnsi="宋体" w:eastAsia="宋体" w:cs="宋体"/>
          <w:b/>
          <w:kern w:val="0"/>
          <w:sz w:val="24"/>
          <w:highlight w:val="none"/>
        </w:rPr>
        <w:t>环境标志产品仅是构成所投产品的部件、</w:t>
      </w:r>
      <w:r>
        <w:rPr>
          <w:rFonts w:hint="eastAsia" w:ascii="宋体" w:hAnsi="宋体" w:eastAsia="宋体" w:cs="宋体"/>
          <w:b/>
          <w:sz w:val="24"/>
          <w:highlight w:val="none"/>
        </w:rPr>
        <w:t>组件或零件的，则不给予扣除）</w:t>
      </w:r>
    </w:p>
    <w:p>
      <w:pPr>
        <w:spacing w:before="62" w:after="62" w:line="400" w:lineRule="exact"/>
        <w:ind w:firstLine="422" w:firstLineChars="200"/>
        <w:rPr>
          <w:rFonts w:hint="eastAsia" w:ascii="宋体" w:hAnsi="宋体" w:eastAsia="宋体" w:cs="宋体"/>
          <w:b/>
          <w:highlight w:val="none"/>
        </w:rPr>
      </w:pPr>
    </w:p>
    <w:sectPr>
      <w:pgSz w:w="11907" w:h="16840"/>
      <w:pgMar w:top="1440" w:right="1080" w:bottom="1440" w:left="1080"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200001FF" w:csb1="00000000"/>
  </w:font>
  <w:font w:name="Arial Unicode MS">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2C33A"/>
    <w:multiLevelType w:val="singleLevel"/>
    <w:tmpl w:val="9022C33A"/>
    <w:lvl w:ilvl="0" w:tentative="0">
      <w:start w:val="3"/>
      <w:numFmt w:val="chineseCounting"/>
      <w:suff w:val="space"/>
      <w:lvlText w:val="第%1章"/>
      <w:lvlJc w:val="left"/>
      <w:rPr>
        <w:rFonts w:hint="eastAsia"/>
      </w:rPr>
    </w:lvl>
  </w:abstractNum>
  <w:abstractNum w:abstractNumId="1">
    <w:nsid w:val="A61D9B3D"/>
    <w:multiLevelType w:val="singleLevel"/>
    <w:tmpl w:val="A61D9B3D"/>
    <w:lvl w:ilvl="0" w:tentative="0">
      <w:start w:val="4"/>
      <w:numFmt w:val="chineseCounting"/>
      <w:suff w:val="space"/>
      <w:lvlText w:val="第%1章"/>
      <w:lvlJc w:val="left"/>
      <w:rPr>
        <w:rFonts w:hint="eastAsia"/>
      </w:rPr>
    </w:lvl>
  </w:abstractNum>
  <w:abstractNum w:abstractNumId="2">
    <w:nsid w:val="C8879AEF"/>
    <w:multiLevelType w:val="multilevel"/>
    <w:tmpl w:val="C8879AEF"/>
    <w:lvl w:ilvl="0" w:tentative="0">
      <w:start w:val="1"/>
      <w:numFmt w:val="decimal"/>
      <w:lvlText w:val="（%1）"/>
      <w:lvlJc w:val="left"/>
      <w:pPr>
        <w:ind w:left="707"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1360" w:hanging="601"/>
      </w:pPr>
      <w:rPr>
        <w:rFonts w:hint="default"/>
        <w:lang w:val="en-US" w:eastAsia="zh-CN" w:bidi="ar-SA"/>
      </w:rPr>
    </w:lvl>
    <w:lvl w:ilvl="2" w:tentative="0">
      <w:start w:val="0"/>
      <w:numFmt w:val="bullet"/>
      <w:lvlText w:val="•"/>
      <w:lvlJc w:val="left"/>
      <w:pPr>
        <w:ind w:left="2021" w:hanging="601"/>
      </w:pPr>
      <w:rPr>
        <w:rFonts w:hint="default"/>
        <w:lang w:val="en-US" w:eastAsia="zh-CN" w:bidi="ar-SA"/>
      </w:rPr>
    </w:lvl>
    <w:lvl w:ilvl="3" w:tentative="0">
      <w:start w:val="0"/>
      <w:numFmt w:val="bullet"/>
      <w:lvlText w:val="•"/>
      <w:lvlJc w:val="left"/>
      <w:pPr>
        <w:ind w:left="2682" w:hanging="601"/>
      </w:pPr>
      <w:rPr>
        <w:rFonts w:hint="default"/>
        <w:lang w:val="en-US" w:eastAsia="zh-CN" w:bidi="ar-SA"/>
      </w:rPr>
    </w:lvl>
    <w:lvl w:ilvl="4" w:tentative="0">
      <w:start w:val="0"/>
      <w:numFmt w:val="bullet"/>
      <w:lvlText w:val="•"/>
      <w:lvlJc w:val="left"/>
      <w:pPr>
        <w:ind w:left="3343" w:hanging="601"/>
      </w:pPr>
      <w:rPr>
        <w:rFonts w:hint="default"/>
        <w:lang w:val="en-US" w:eastAsia="zh-CN" w:bidi="ar-SA"/>
      </w:rPr>
    </w:lvl>
    <w:lvl w:ilvl="5" w:tentative="0">
      <w:start w:val="0"/>
      <w:numFmt w:val="bullet"/>
      <w:lvlText w:val="•"/>
      <w:lvlJc w:val="left"/>
      <w:pPr>
        <w:ind w:left="4004" w:hanging="601"/>
      </w:pPr>
      <w:rPr>
        <w:rFonts w:hint="default"/>
        <w:lang w:val="en-US" w:eastAsia="zh-CN" w:bidi="ar-SA"/>
      </w:rPr>
    </w:lvl>
    <w:lvl w:ilvl="6" w:tentative="0">
      <w:start w:val="0"/>
      <w:numFmt w:val="bullet"/>
      <w:lvlText w:val="•"/>
      <w:lvlJc w:val="left"/>
      <w:pPr>
        <w:ind w:left="4664" w:hanging="601"/>
      </w:pPr>
      <w:rPr>
        <w:rFonts w:hint="default"/>
        <w:lang w:val="en-US" w:eastAsia="zh-CN" w:bidi="ar-SA"/>
      </w:rPr>
    </w:lvl>
    <w:lvl w:ilvl="7" w:tentative="0">
      <w:start w:val="0"/>
      <w:numFmt w:val="bullet"/>
      <w:lvlText w:val="•"/>
      <w:lvlJc w:val="left"/>
      <w:pPr>
        <w:ind w:left="5325" w:hanging="601"/>
      </w:pPr>
      <w:rPr>
        <w:rFonts w:hint="default"/>
        <w:lang w:val="en-US" w:eastAsia="zh-CN" w:bidi="ar-SA"/>
      </w:rPr>
    </w:lvl>
    <w:lvl w:ilvl="8" w:tentative="0">
      <w:start w:val="0"/>
      <w:numFmt w:val="bullet"/>
      <w:lvlText w:val="•"/>
      <w:lvlJc w:val="left"/>
      <w:pPr>
        <w:ind w:left="5986" w:hanging="601"/>
      </w:pPr>
      <w:rPr>
        <w:rFonts w:hint="default"/>
        <w:lang w:val="en-US" w:eastAsia="zh-CN" w:bidi="ar-SA"/>
      </w:rPr>
    </w:lvl>
  </w:abstractNum>
  <w:abstractNum w:abstractNumId="3">
    <w:nsid w:val="DEA0706B"/>
    <w:multiLevelType w:val="singleLevel"/>
    <w:tmpl w:val="DEA0706B"/>
    <w:lvl w:ilvl="0" w:tentative="0">
      <w:start w:val="1"/>
      <w:numFmt w:val="chineseCounting"/>
      <w:suff w:val="nothing"/>
      <w:lvlText w:val="%1、"/>
      <w:lvlJc w:val="left"/>
      <w:rPr>
        <w:rFonts w:hint="eastAsia"/>
      </w:rPr>
    </w:lvl>
  </w:abstractNum>
  <w:abstractNum w:abstractNumId="4">
    <w:nsid w:val="0251005A"/>
    <w:multiLevelType w:val="singleLevel"/>
    <w:tmpl w:val="0251005A"/>
    <w:lvl w:ilvl="0" w:tentative="0">
      <w:start w:val="1"/>
      <w:numFmt w:val="decimal"/>
      <w:lvlText w:val="%1."/>
      <w:lvlJc w:val="left"/>
      <w:pPr>
        <w:tabs>
          <w:tab w:val="left" w:pos="312"/>
        </w:tabs>
      </w:pPr>
    </w:lvl>
  </w:abstractNum>
  <w:abstractNum w:abstractNumId="5">
    <w:nsid w:val="1ACA73CB"/>
    <w:multiLevelType w:val="multilevel"/>
    <w:tmpl w:val="1ACA73CB"/>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F9C28C"/>
    <w:multiLevelType w:val="singleLevel"/>
    <w:tmpl w:val="31F9C28C"/>
    <w:lvl w:ilvl="0" w:tentative="0">
      <w:start w:val="2"/>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name="List 2"/>
    <w:lsdException w:qFormat="1"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Calibri" w:hAnsi="Calibri"/>
      <w:b/>
      <w:bCs/>
      <w:kern w:val="44"/>
      <w:sz w:val="44"/>
      <w:szCs w:val="44"/>
      <w:lang w:val="zh-CN"/>
    </w:rPr>
  </w:style>
  <w:style w:type="paragraph" w:styleId="4">
    <w:name w:val="heading 2"/>
    <w:basedOn w:val="1"/>
    <w:next w:val="1"/>
    <w:link w:val="36"/>
    <w:qFormat/>
    <w:uiPriority w:val="9"/>
    <w:pPr>
      <w:keepNext/>
      <w:keepLines/>
      <w:spacing w:before="260" w:after="260" w:line="416" w:lineRule="auto"/>
      <w:ind w:firstLine="420" w:firstLineChars="200"/>
      <w:outlineLvl w:val="1"/>
    </w:pPr>
    <w:rPr>
      <w:rFonts w:ascii="Calibri Light" w:hAnsi="Calibri Light"/>
      <w:b/>
      <w:bCs/>
      <w:kern w:val="0"/>
      <w:sz w:val="32"/>
      <w:szCs w:val="32"/>
      <w:lang w:val="zh-CN"/>
    </w:rPr>
  </w:style>
  <w:style w:type="paragraph" w:styleId="5">
    <w:name w:val="heading 3"/>
    <w:basedOn w:val="1"/>
    <w:next w:val="1"/>
    <w:link w:val="38"/>
    <w:qFormat/>
    <w:uiPriority w:val="9"/>
    <w:pPr>
      <w:spacing w:before="260" w:after="260" w:line="416" w:lineRule="auto"/>
      <w:outlineLvl w:val="2"/>
    </w:pPr>
    <w:rPr>
      <w:rFonts w:ascii="Calibri" w:hAnsi="Calibri" w:eastAsia="宋体"/>
      <w:kern w:val="0"/>
      <w:sz w:val="32"/>
      <w:szCs w:val="32"/>
    </w:rPr>
  </w:style>
  <w:style w:type="paragraph" w:styleId="6">
    <w:name w:val="heading 4"/>
    <w:basedOn w:val="1"/>
    <w:next w:val="1"/>
    <w:link w:val="37"/>
    <w:qFormat/>
    <w:uiPriority w:val="9"/>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27">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53"/>
    <w:qFormat/>
    <w:uiPriority w:val="0"/>
    <w:pPr>
      <w:spacing w:after="120"/>
    </w:pPr>
    <w:rPr>
      <w:kern w:val="0"/>
      <w:sz w:val="20"/>
      <w:szCs w:val="20"/>
    </w:rPr>
  </w:style>
  <w:style w:type="paragraph" w:styleId="8">
    <w:name w:val="List 3"/>
    <w:basedOn w:val="1"/>
    <w:unhideWhenUsed/>
    <w:qFormat/>
    <w:uiPriority w:val="0"/>
    <w:pPr>
      <w:ind w:left="100" w:leftChars="400" w:hanging="200" w:hangingChars="200"/>
      <w:contextualSpacing/>
    </w:pPr>
    <w:rPr>
      <w:rFonts w:ascii="Calibri" w:hAnsi="Calibri"/>
      <w:szCs w:val="22"/>
    </w:rPr>
  </w:style>
  <w:style w:type="paragraph" w:styleId="9">
    <w:name w:val="annotation subject"/>
    <w:basedOn w:val="10"/>
    <w:next w:val="10"/>
    <w:link w:val="42"/>
    <w:unhideWhenUsed/>
    <w:qFormat/>
    <w:uiPriority w:val="99"/>
    <w:rPr>
      <w:b/>
      <w:bCs/>
    </w:rPr>
  </w:style>
  <w:style w:type="paragraph" w:styleId="10">
    <w:name w:val="annotation text"/>
    <w:basedOn w:val="1"/>
    <w:link w:val="41"/>
    <w:unhideWhenUsed/>
    <w:qFormat/>
    <w:uiPriority w:val="0"/>
    <w:pPr>
      <w:jc w:val="left"/>
    </w:pPr>
    <w:rPr>
      <w:rFonts w:ascii="Calibri" w:hAnsi="Calibri"/>
      <w:szCs w:val="22"/>
      <w:lang w:val="zh-CN"/>
    </w:rPr>
  </w:style>
  <w:style w:type="paragraph" w:styleId="11">
    <w:name w:val="Body Text First Indent"/>
    <w:basedOn w:val="2"/>
    <w:unhideWhenUsed/>
    <w:qFormat/>
    <w:uiPriority w:val="99"/>
    <w:pPr>
      <w:ind w:firstLine="420" w:firstLineChars="100"/>
    </w:pPr>
  </w:style>
  <w:style w:type="paragraph" w:styleId="12">
    <w:name w:val="toa heading"/>
    <w:basedOn w:val="1"/>
    <w:next w:val="1"/>
    <w:unhideWhenUsed/>
    <w:qFormat/>
    <w:uiPriority w:val="99"/>
    <w:pPr>
      <w:spacing w:before="120"/>
    </w:pPr>
    <w:rPr>
      <w:rFonts w:ascii="Cambria" w:hAnsi="Cambria"/>
      <w:sz w:val="24"/>
    </w:rPr>
  </w:style>
  <w:style w:type="paragraph" w:styleId="13">
    <w:name w:val="Body Text Indent"/>
    <w:basedOn w:val="1"/>
    <w:next w:val="1"/>
    <w:link w:val="60"/>
    <w:unhideWhenUsed/>
    <w:qFormat/>
    <w:uiPriority w:val="99"/>
    <w:pPr>
      <w:spacing w:after="120"/>
      <w:ind w:left="420" w:leftChars="200"/>
    </w:pPr>
    <w:rPr>
      <w:rFonts w:ascii="Calibri" w:hAnsi="Calibri"/>
      <w:szCs w:val="22"/>
    </w:rPr>
  </w:style>
  <w:style w:type="paragraph" w:styleId="14">
    <w:name w:val="List 2"/>
    <w:basedOn w:val="1"/>
    <w:semiHidden/>
    <w:qFormat/>
    <w:uiPriority w:val="0"/>
    <w:pPr>
      <w:ind w:left="200" w:leftChars="200" w:hanging="200" w:hangingChars="200"/>
    </w:pPr>
  </w:style>
  <w:style w:type="paragraph" w:styleId="15">
    <w:name w:val="toc 3"/>
    <w:basedOn w:val="1"/>
    <w:next w:val="1"/>
    <w:unhideWhenUsed/>
    <w:qFormat/>
    <w:uiPriority w:val="39"/>
    <w:pPr>
      <w:ind w:left="840" w:leftChars="400"/>
    </w:pPr>
    <w:rPr>
      <w:rFonts w:ascii="Calibri" w:hAnsi="Calibri"/>
      <w:szCs w:val="22"/>
    </w:rPr>
  </w:style>
  <w:style w:type="paragraph" w:styleId="16">
    <w:name w:val="Date"/>
    <w:basedOn w:val="1"/>
    <w:next w:val="1"/>
    <w:link w:val="62"/>
    <w:unhideWhenUsed/>
    <w:qFormat/>
    <w:uiPriority w:val="99"/>
    <w:pPr>
      <w:ind w:left="100" w:leftChars="2500"/>
    </w:pPr>
    <w:rPr>
      <w:rFonts w:ascii="Calibri" w:hAnsi="Calibri"/>
      <w:bCs/>
      <w:color w:val="000000"/>
      <w:sz w:val="32"/>
    </w:rPr>
  </w:style>
  <w:style w:type="paragraph" w:styleId="17">
    <w:name w:val="Body Text Indent 2"/>
    <w:basedOn w:val="1"/>
    <w:next w:val="1"/>
    <w:unhideWhenUsed/>
    <w:qFormat/>
    <w:uiPriority w:val="0"/>
    <w:pPr>
      <w:spacing w:after="120" w:line="480" w:lineRule="auto"/>
      <w:ind w:left="420" w:leftChars="200"/>
    </w:pPr>
    <w:rPr>
      <w:rFonts w:ascii="Times New Roman" w:hAnsi="Times New Roman"/>
      <w:kern w:val="0"/>
      <w:sz w:val="20"/>
      <w:szCs w:val="24"/>
    </w:rPr>
  </w:style>
  <w:style w:type="paragraph" w:styleId="18">
    <w:name w:val="Balloon Text"/>
    <w:basedOn w:val="1"/>
    <w:link w:val="43"/>
    <w:unhideWhenUsed/>
    <w:qFormat/>
    <w:uiPriority w:val="99"/>
    <w:rPr>
      <w:rFonts w:ascii="Calibri" w:hAnsi="Calibri"/>
      <w:kern w:val="0"/>
      <w:sz w:val="18"/>
      <w:szCs w:val="18"/>
      <w:lang w:val="zh-CN"/>
    </w:rPr>
  </w:style>
  <w:style w:type="paragraph" w:styleId="19">
    <w:name w:val="footer"/>
    <w:basedOn w:val="1"/>
    <w:link w:val="40"/>
    <w:unhideWhenUsed/>
    <w:qFormat/>
    <w:uiPriority w:val="99"/>
    <w:pPr>
      <w:tabs>
        <w:tab w:val="center" w:pos="4153"/>
        <w:tab w:val="right" w:pos="8306"/>
      </w:tabs>
      <w:snapToGrid w:val="0"/>
      <w:jc w:val="left"/>
    </w:pPr>
    <w:rPr>
      <w:rFonts w:ascii="Calibri" w:hAnsi="Calibri"/>
      <w:sz w:val="18"/>
      <w:szCs w:val="18"/>
      <w:lang w:val="zh-CN"/>
    </w:rPr>
  </w:style>
  <w:style w:type="paragraph" w:styleId="20">
    <w:name w:val="Body Text First Indent 2"/>
    <w:basedOn w:val="13"/>
    <w:next w:val="11"/>
    <w:unhideWhenUsed/>
    <w:qFormat/>
    <w:uiPriority w:val="0"/>
    <w:pPr>
      <w:spacing w:before="50"/>
      <w:ind w:left="420" w:firstLine="420" w:firstLineChars="200"/>
    </w:pPr>
    <w:rPr>
      <w:rFonts w:ascii="Calibri" w:hAnsi="Calibri"/>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rFonts w:ascii="Calibri" w:hAnsi="Calibri"/>
      <w:sz w:val="18"/>
      <w:szCs w:val="18"/>
      <w:lang w:val="zh-CN"/>
    </w:rPr>
  </w:style>
  <w:style w:type="paragraph" w:styleId="22">
    <w:name w:val="toc 1"/>
    <w:basedOn w:val="1"/>
    <w:next w:val="1"/>
    <w:qFormat/>
    <w:uiPriority w:val="39"/>
    <w:pPr>
      <w:spacing w:before="120" w:after="120"/>
      <w:jc w:val="left"/>
    </w:pPr>
    <w:rPr>
      <w:b/>
      <w:bCs/>
      <w:caps/>
      <w:sz w:val="20"/>
      <w:szCs w:val="20"/>
    </w:rPr>
  </w:style>
  <w:style w:type="paragraph" w:styleId="23">
    <w:name w:val="toc 2"/>
    <w:basedOn w:val="1"/>
    <w:next w:val="1"/>
    <w:unhideWhenUsed/>
    <w:qFormat/>
    <w:uiPriority w:val="39"/>
    <w:pPr>
      <w:ind w:left="420" w:leftChars="200"/>
    </w:pPr>
    <w:rPr>
      <w:rFonts w:ascii="Calibri" w:hAnsi="Calibri"/>
      <w:szCs w:val="22"/>
    </w:rPr>
  </w:style>
  <w:style w:type="paragraph" w:styleId="24">
    <w:name w:val="List Continue 2"/>
    <w:basedOn w:val="1"/>
    <w:unhideWhenUsed/>
    <w:qFormat/>
    <w:uiPriority w:val="99"/>
    <w:pPr>
      <w:spacing w:after="120"/>
      <w:ind w:left="840" w:leftChars="400"/>
      <w:contextualSpacing/>
    </w:pPr>
    <w:rPr>
      <w:rFonts w:ascii="Calibri" w:hAnsi="Calibri"/>
      <w:szCs w:val="22"/>
    </w:r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link w:val="52"/>
    <w:unhideWhenUsed/>
    <w:qFormat/>
    <w:uiPriority w:val="99"/>
    <w:pPr>
      <w:widowControl/>
      <w:spacing w:before="100" w:beforeAutospacing="1" w:after="100" w:afterAutospacing="1"/>
      <w:jc w:val="left"/>
    </w:pPr>
    <w:rPr>
      <w:rFonts w:ascii="宋体" w:hAnsi="宋体"/>
      <w:kern w:val="0"/>
      <w:sz w:val="24"/>
      <w:lang w:val="zh-CN"/>
    </w:rPr>
  </w:style>
  <w:style w:type="character" w:styleId="28">
    <w:name w:val="FollowedHyperlink"/>
    <w:basedOn w:val="27"/>
    <w:unhideWhenUsed/>
    <w:qFormat/>
    <w:uiPriority w:val="99"/>
    <w:rPr>
      <w:color w:val="000000"/>
      <w:u w:val="none"/>
    </w:rPr>
  </w:style>
  <w:style w:type="character" w:styleId="29">
    <w:name w:val="Hyperlink"/>
    <w:unhideWhenUsed/>
    <w:qFormat/>
    <w:uiPriority w:val="99"/>
    <w:rPr>
      <w:color w:val="0563C1"/>
      <w:u w:val="single"/>
    </w:rPr>
  </w:style>
  <w:style w:type="character" w:styleId="30">
    <w:name w:val="annotation reference"/>
    <w:unhideWhenUsed/>
    <w:qFormat/>
    <w:uiPriority w:val="99"/>
    <w:rPr>
      <w:sz w:val="21"/>
      <w:szCs w:val="21"/>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_Style 1"/>
    <w:basedOn w:val="1"/>
    <w:qFormat/>
    <w:uiPriority w:val="99"/>
    <w:pPr>
      <w:spacing w:line="360" w:lineRule="auto"/>
      <w:ind w:firstLine="420" w:firstLineChars="200"/>
    </w:pPr>
    <w:rPr>
      <w:sz w:val="24"/>
    </w:rPr>
  </w:style>
  <w:style w:type="paragraph" w:customStyle="1" w:styleId="34">
    <w:name w:val="List Paragraph"/>
    <w:basedOn w:val="1"/>
    <w:next w:val="1"/>
    <w:qFormat/>
    <w:uiPriority w:val="0"/>
    <w:pPr>
      <w:ind w:firstLine="420" w:firstLineChars="200"/>
    </w:pPr>
  </w:style>
  <w:style w:type="character" w:customStyle="1" w:styleId="35">
    <w:name w:val="标题 1 字符"/>
    <w:link w:val="3"/>
    <w:qFormat/>
    <w:uiPriority w:val="9"/>
    <w:rPr>
      <w:b/>
      <w:bCs/>
      <w:kern w:val="44"/>
      <w:sz w:val="44"/>
      <w:szCs w:val="44"/>
      <w:lang w:val="zh-CN" w:eastAsia="zh-CN"/>
    </w:rPr>
  </w:style>
  <w:style w:type="character" w:customStyle="1" w:styleId="36">
    <w:name w:val="标题 2 字符"/>
    <w:link w:val="4"/>
    <w:qFormat/>
    <w:uiPriority w:val="9"/>
    <w:rPr>
      <w:rFonts w:ascii="Calibri Light" w:hAnsi="Calibri Light"/>
      <w:b/>
      <w:bCs/>
      <w:sz w:val="32"/>
      <w:szCs w:val="32"/>
      <w:lang w:val="zh-CN" w:eastAsia="zh-CN"/>
    </w:rPr>
  </w:style>
  <w:style w:type="character" w:customStyle="1" w:styleId="37">
    <w:name w:val="标题 4 字符"/>
    <w:link w:val="6"/>
    <w:qFormat/>
    <w:uiPriority w:val="9"/>
    <w:rPr>
      <w:rFonts w:ascii="Arial" w:hAnsi="Arial" w:eastAsia="黑体"/>
      <w:b/>
      <w:bCs/>
      <w:kern w:val="2"/>
      <w:sz w:val="28"/>
      <w:szCs w:val="28"/>
    </w:rPr>
  </w:style>
  <w:style w:type="character" w:customStyle="1" w:styleId="38">
    <w:name w:val="标题 3 字符"/>
    <w:link w:val="5"/>
    <w:qFormat/>
    <w:uiPriority w:val="9"/>
    <w:rPr>
      <w:b/>
      <w:bCs/>
      <w:sz w:val="32"/>
      <w:szCs w:val="32"/>
      <w:lang w:val="zh-CN" w:eastAsia="zh-CN"/>
    </w:rPr>
  </w:style>
  <w:style w:type="character" w:customStyle="1" w:styleId="39">
    <w:name w:val="页眉 字符"/>
    <w:link w:val="21"/>
    <w:qFormat/>
    <w:uiPriority w:val="99"/>
    <w:rPr>
      <w:kern w:val="2"/>
      <w:sz w:val="18"/>
      <w:szCs w:val="18"/>
    </w:rPr>
  </w:style>
  <w:style w:type="character" w:customStyle="1" w:styleId="40">
    <w:name w:val="页脚 字符"/>
    <w:link w:val="19"/>
    <w:qFormat/>
    <w:uiPriority w:val="99"/>
    <w:rPr>
      <w:kern w:val="2"/>
      <w:sz w:val="18"/>
      <w:szCs w:val="18"/>
    </w:rPr>
  </w:style>
  <w:style w:type="character" w:customStyle="1" w:styleId="41">
    <w:name w:val="批注文字 字符"/>
    <w:link w:val="10"/>
    <w:qFormat/>
    <w:uiPriority w:val="0"/>
    <w:rPr>
      <w:kern w:val="2"/>
      <w:sz w:val="21"/>
      <w:szCs w:val="22"/>
    </w:rPr>
  </w:style>
  <w:style w:type="character" w:customStyle="1" w:styleId="42">
    <w:name w:val="批注主题 字符"/>
    <w:link w:val="9"/>
    <w:qFormat/>
    <w:uiPriority w:val="99"/>
    <w:rPr>
      <w:b/>
      <w:bCs/>
      <w:kern w:val="2"/>
      <w:sz w:val="21"/>
      <w:szCs w:val="22"/>
      <w:lang w:val="zh-CN" w:eastAsia="zh-CN"/>
    </w:rPr>
  </w:style>
  <w:style w:type="character" w:customStyle="1" w:styleId="43">
    <w:name w:val="批注框文本 字符"/>
    <w:link w:val="18"/>
    <w:qFormat/>
    <w:uiPriority w:val="99"/>
    <w:rPr>
      <w:sz w:val="18"/>
      <w:szCs w:val="18"/>
      <w:lang w:val="zh-CN" w:eastAsia="zh-CN"/>
    </w:rPr>
  </w:style>
  <w:style w:type="paragraph" w:customStyle="1" w:styleId="44">
    <w:name w:val="目录 11"/>
    <w:basedOn w:val="1"/>
    <w:next w:val="1"/>
    <w:unhideWhenUsed/>
    <w:qFormat/>
    <w:uiPriority w:val="39"/>
    <w:pPr>
      <w:tabs>
        <w:tab w:val="right" w:leader="dot" w:pos="9736"/>
      </w:tabs>
      <w:spacing w:line="600" w:lineRule="exact"/>
      <w:ind w:left="283" w:leftChars="135"/>
    </w:pPr>
    <w:rPr>
      <w:rFonts w:ascii="Calibri" w:hAnsi="Calibri"/>
      <w:szCs w:val="22"/>
    </w:rPr>
  </w:style>
  <w:style w:type="paragraph" w:customStyle="1" w:styleId="45">
    <w:name w:val="TOC 标题1"/>
    <w:basedOn w:val="3"/>
    <w:next w:val="1"/>
    <w:unhideWhenUsed/>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6">
    <w:name w:val="列出段落1"/>
    <w:basedOn w:val="1"/>
    <w:qFormat/>
    <w:uiPriority w:val="34"/>
    <w:pPr>
      <w:ind w:firstLine="420" w:firstLineChars="200"/>
    </w:pPr>
    <w:rPr>
      <w:rFonts w:ascii="Calibri" w:hAnsi="Calibri"/>
      <w:szCs w:val="22"/>
    </w:rPr>
  </w:style>
  <w:style w:type="paragraph" w:customStyle="1" w:styleId="4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table" w:customStyle="1" w:styleId="48">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9">
    <w:name w:val="我的正文"/>
    <w:basedOn w:val="1"/>
    <w:qFormat/>
    <w:uiPriority w:val="0"/>
    <w:pPr>
      <w:spacing w:line="360" w:lineRule="auto"/>
      <w:ind w:firstLine="480" w:firstLineChars="200"/>
    </w:pPr>
    <w:rPr>
      <w:rFonts w:ascii="Calibri" w:hAnsi="Calibri"/>
      <w:sz w:val="24"/>
      <w:szCs w:val="22"/>
    </w:rPr>
  </w:style>
  <w:style w:type="character" w:customStyle="1" w:styleId="50">
    <w:name w:val="apple-converted-space"/>
    <w:basedOn w:val="27"/>
    <w:qFormat/>
    <w:uiPriority w:val="0"/>
  </w:style>
  <w:style w:type="paragraph" w:customStyle="1" w:styleId="5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2">
    <w:name w:val="普通(网站) 字符"/>
    <w:link w:val="26"/>
    <w:qFormat/>
    <w:uiPriority w:val="0"/>
    <w:rPr>
      <w:rFonts w:ascii="宋体" w:hAnsi="宋体"/>
      <w:sz w:val="24"/>
      <w:szCs w:val="24"/>
      <w:lang w:val="zh-CN" w:eastAsia="zh-CN"/>
    </w:rPr>
  </w:style>
  <w:style w:type="character" w:customStyle="1" w:styleId="53">
    <w:name w:val="正文文本 字符"/>
    <w:link w:val="2"/>
    <w:qFormat/>
    <w:locked/>
    <w:uiPriority w:val="99"/>
    <w:rPr>
      <w:rFonts w:ascii="Times New Roman" w:hAnsi="Times New Roman"/>
    </w:rPr>
  </w:style>
  <w:style w:type="character" w:customStyle="1" w:styleId="54">
    <w:name w:val="正文文本 字符1"/>
    <w:semiHidden/>
    <w:qFormat/>
    <w:uiPriority w:val="99"/>
    <w:rPr>
      <w:kern w:val="2"/>
      <w:sz w:val="21"/>
      <w:szCs w:val="22"/>
    </w:rPr>
  </w:style>
  <w:style w:type="paragraph" w:customStyle="1" w:styleId="55">
    <w:name w:val="样式 首行缩进:  2 字符"/>
    <w:basedOn w:val="1"/>
    <w:next w:val="1"/>
    <w:qFormat/>
    <w:uiPriority w:val="0"/>
    <w:pPr>
      <w:ind w:firstLine="560"/>
    </w:pPr>
    <w:rPr>
      <w:rFonts w:eastAsia="仿宋_GB2312" w:cs="宋体"/>
      <w:sz w:val="24"/>
      <w:szCs w:val="20"/>
    </w:rPr>
  </w:style>
  <w:style w:type="character" w:customStyle="1" w:styleId="56">
    <w:name w:val="正文文本 Char"/>
    <w:basedOn w:val="27"/>
    <w:semiHidden/>
    <w:qFormat/>
    <w:uiPriority w:val="0"/>
    <w:rPr>
      <w:rFonts w:ascii="Times New Roman" w:hAnsi="Times New Roman" w:eastAsia="宋体" w:cs="Times New Roman"/>
      <w:kern w:val="0"/>
      <w:sz w:val="20"/>
      <w:szCs w:val="20"/>
    </w:rPr>
  </w:style>
  <w:style w:type="character" w:customStyle="1" w:styleId="57">
    <w:name w:val="未处理的提及1"/>
    <w:basedOn w:val="27"/>
    <w:unhideWhenUsed/>
    <w:qFormat/>
    <w:uiPriority w:val="99"/>
    <w:rPr>
      <w:color w:val="605E5C"/>
      <w:shd w:val="clear" w:color="auto" w:fill="E1DFDD"/>
    </w:rPr>
  </w:style>
  <w:style w:type="character" w:customStyle="1" w:styleId="58">
    <w:name w:val="普通(网站) Char"/>
    <w:qFormat/>
    <w:uiPriority w:val="0"/>
    <w:rPr>
      <w:rFonts w:ascii="宋体" w:hAnsi="宋体"/>
      <w:sz w:val="24"/>
    </w:rPr>
  </w:style>
  <w:style w:type="paragraph" w:customStyle="1" w:styleId="59">
    <w:name w:val="样式 正文缩进正文（首行缩进两字）特点ALT+Z表正文正文非缩进四号段1Normal Indent Char2...4"/>
    <w:basedOn w:val="13"/>
    <w:qFormat/>
    <w:uiPriority w:val="0"/>
    <w:pPr>
      <w:tabs>
        <w:tab w:val="left" w:pos="312"/>
        <w:tab w:val="left" w:pos="510"/>
      </w:tabs>
      <w:adjustRightInd w:val="0"/>
      <w:spacing w:line="300" w:lineRule="auto"/>
      <w:ind w:left="0" w:leftChars="0"/>
    </w:pPr>
    <w:rPr>
      <w:rFonts w:ascii="Courier New" w:hAnsi="Arial" w:cs="Courier New"/>
      <w:color w:val="000000"/>
      <w:kern w:val="0"/>
      <w:sz w:val="20"/>
      <w:szCs w:val="20"/>
      <w:u w:val="single"/>
    </w:rPr>
  </w:style>
  <w:style w:type="character" w:customStyle="1" w:styleId="60">
    <w:name w:val="正文文本缩进 字符"/>
    <w:basedOn w:val="27"/>
    <w:link w:val="13"/>
    <w:semiHidden/>
    <w:qFormat/>
    <w:uiPriority w:val="99"/>
    <w:rPr>
      <w:kern w:val="2"/>
      <w:sz w:val="21"/>
      <w:szCs w:val="22"/>
    </w:rPr>
  </w:style>
  <w:style w:type="paragraph" w:customStyle="1" w:styleId="61">
    <w:name w:val="6'"/>
    <w:basedOn w:val="1"/>
    <w:qFormat/>
    <w:uiPriority w:val="0"/>
    <w:pPr>
      <w:autoSpaceDE w:val="0"/>
      <w:autoSpaceDN w:val="0"/>
      <w:adjustRightInd w:val="0"/>
      <w:snapToGrid w:val="0"/>
      <w:spacing w:line="320" w:lineRule="exact"/>
      <w:jc w:val="center"/>
      <w:textAlignment w:val="baseline"/>
    </w:pPr>
    <w:rPr>
      <w:color w:val="000000"/>
      <w:spacing w:val="20"/>
      <w:kern w:val="28"/>
      <w:sz w:val="30"/>
      <w:szCs w:val="20"/>
      <w:u w:val="single"/>
    </w:rPr>
  </w:style>
  <w:style w:type="character" w:customStyle="1" w:styleId="62">
    <w:name w:val="日期 字符"/>
    <w:basedOn w:val="27"/>
    <w:link w:val="16"/>
    <w:semiHidden/>
    <w:qFormat/>
    <w:uiPriority w:val="99"/>
    <w:rPr>
      <w:bCs/>
      <w:color w:val="000000"/>
      <w:kern w:val="2"/>
      <w:sz w:val="32"/>
      <w:szCs w:val="24"/>
    </w:rPr>
  </w:style>
  <w:style w:type="paragraph" w:customStyle="1" w:styleId="63">
    <w:name w:val="_Style 2"/>
    <w:basedOn w:val="1"/>
    <w:qFormat/>
    <w:uiPriority w:val="99"/>
    <w:pPr>
      <w:ind w:firstLine="420" w:firstLineChars="200"/>
    </w:pPr>
    <w:rPr>
      <w:rFonts w:ascii="Calibri" w:hAnsi="Calibri"/>
      <w:bCs/>
      <w:color w:val="000000"/>
      <w:sz w:val="32"/>
    </w:rPr>
  </w:style>
  <w:style w:type="paragraph" w:customStyle="1" w:styleId="64">
    <w:name w:val="Table Paragraph"/>
    <w:basedOn w:val="65"/>
    <w:qFormat/>
    <w:uiPriority w:val="1"/>
    <w:rPr>
      <w:rFonts w:ascii="宋体" w:hAnsi="宋体" w:cs="宋体"/>
      <w:lang w:val="zh-CN"/>
    </w:rPr>
  </w:style>
  <w:style w:type="paragraph" w:customStyle="1" w:styleId="65">
    <w:name w:val="正文1"/>
    <w:qFormat/>
    <w:uiPriority w:val="1"/>
    <w:pPr>
      <w:widowControl w:val="0"/>
    </w:pPr>
    <w:rPr>
      <w:rFonts w:ascii="宋体" w:hAnsi="宋体" w:eastAsia="宋体" w:cs="宋体"/>
      <w:sz w:val="22"/>
      <w:szCs w:val="22"/>
      <w:lang w:val="en-US" w:eastAsia="zh-CN" w:bidi="ar-SA"/>
    </w:rPr>
  </w:style>
  <w:style w:type="paragraph" w:customStyle="1" w:styleId="66">
    <w:name w:val="BodyText1I2"/>
    <w:basedOn w:val="67"/>
    <w:next w:val="1"/>
    <w:qFormat/>
    <w:locked/>
    <w:uiPriority w:val="0"/>
    <w:pPr>
      <w:spacing w:after="120" w:line="240" w:lineRule="auto"/>
      <w:ind w:left="420" w:leftChars="200" w:firstLine="420"/>
    </w:pPr>
    <w:rPr>
      <w:rFonts w:ascii="Times New Roman"/>
      <w:sz w:val="24"/>
      <w:szCs w:val="24"/>
    </w:rPr>
  </w:style>
  <w:style w:type="paragraph" w:customStyle="1" w:styleId="67">
    <w:name w:val="BodyTextIndent"/>
    <w:basedOn w:val="1"/>
    <w:qFormat/>
    <w:locked/>
    <w:uiPriority w:val="0"/>
    <w:pPr>
      <w:spacing w:line="600" w:lineRule="exact"/>
      <w:ind w:firstLine="480" w:firstLineChars="200"/>
    </w:pPr>
    <w:rPr>
      <w:rFonts w:ascii="宋体"/>
      <w:sz w:val="28"/>
      <w:szCs w:val="28"/>
      <w:lang w:val="zh-CN"/>
    </w:rPr>
  </w:style>
  <w:style w:type="table" w:customStyle="1" w:styleId="68">
    <w:name w:val="Table Normal"/>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69">
    <w:name w:val="p0"/>
    <w:basedOn w:val="1"/>
    <w:qFormat/>
    <w:uiPriority w:val="0"/>
    <w:pPr>
      <w:widowControl/>
    </w:pPr>
    <w:rPr>
      <w:rFonts w:asciiTheme="minorHAnsi" w:hAnsiTheme="minorHAnsi" w:cstheme="minorBid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81</Pages>
  <Words>31246</Words>
  <Characters>38498</Characters>
  <Lines>136</Lines>
  <Paragraphs>38</Paragraphs>
  <ScaleCrop>false</ScaleCrop>
  <LinksUpToDate>false</LinksUpToDate>
  <CharactersWithSpaces>38827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2020-06-03T00:14:00Z</dcterms:created>
  <dc:creator>王大勇</dc:creator>
  <cp:lastModifiedBy>iPhone</cp:lastModifiedBy>
  <cp:lastPrinted>2022-04-22T22:11:00Z</cp:lastPrinted>
  <dcterms:modified xsi:type="dcterms:W3CDTF">2023-03-28T15:45:34Z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2052-11.34.2</vt:lpwstr>
  </property>
  <property fmtid="{D5CDD505-2E9C-101B-9397-08002B2CF9AE}" pid="3" name="ICV">
    <vt:lpwstr>4FF98EAFDD224222AEE84A3C794FC3A5</vt:lpwstr>
  </property>
</Properties>
</file>